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684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325F61B6">
            <wp:extent cx="1752600" cy="933450"/>
            <wp:effectExtent l="0" t="0" r="0" b="0"/>
            <wp:docPr id="2" name="Picture 2" descr="RMA Australian Government Coat of Arm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55D0" w14:textId="77777777" w:rsidR="00715914" w:rsidRPr="00FA33FB" w:rsidRDefault="00715914" w:rsidP="00715914">
      <w:pPr>
        <w:rPr>
          <w:sz w:val="19"/>
        </w:rPr>
      </w:pPr>
    </w:p>
    <w:p w14:paraId="43820D97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6F502B9A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71A5934D" w14:textId="63BDB76B" w:rsidR="00D4089F" w:rsidRDefault="00156704" w:rsidP="00D4089F">
      <w:pPr>
        <w:pStyle w:val="Plainheader"/>
      </w:pPr>
      <w:r>
        <w:t>CHRONIC MULTISYMPTOM ILLNESS</w:t>
      </w:r>
      <w:r w:rsidR="00997416">
        <w:br/>
      </w:r>
      <w:r w:rsidR="00D4089F">
        <w:t xml:space="preserve">(Balance of Probabilities) </w:t>
      </w:r>
    </w:p>
    <w:p w14:paraId="7810E196" w14:textId="090692CF" w:rsidR="00715914" w:rsidRPr="00024911" w:rsidRDefault="00D4089F" w:rsidP="00D4089F">
      <w:pPr>
        <w:pStyle w:val="Plainheader"/>
      </w:pPr>
      <w:r w:rsidRPr="00024911">
        <w:t xml:space="preserve">(No. </w:t>
      </w:r>
      <w:r w:rsidR="00A525FA">
        <w:t>49</w:t>
      </w:r>
      <w:r w:rsidRPr="00024911">
        <w:t xml:space="preserve"> of</w:t>
      </w:r>
      <w:r>
        <w:t xml:space="preserve"> </w:t>
      </w:r>
      <w:r w:rsidR="00156704">
        <w:t>2026</w:t>
      </w:r>
      <w:r w:rsidRPr="00024911">
        <w:t>)</w:t>
      </w:r>
    </w:p>
    <w:p w14:paraId="3AAB37FF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</w:t>
      </w:r>
      <w:proofErr w:type="gramStart"/>
      <w:r w:rsidR="00420AD3" w:rsidRPr="001C008B">
        <w:rPr>
          <w:sz w:val="24"/>
          <w:szCs w:val="24"/>
        </w:rPr>
        <w:t>B(</w:t>
      </w:r>
      <w:proofErr w:type="gramEnd"/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558FF8E4" w14:textId="77777777" w:rsidR="00F97A62" w:rsidRPr="00F97A62" w:rsidRDefault="00F97A62" w:rsidP="00F97A62">
      <w:pPr>
        <w:rPr>
          <w:lang w:eastAsia="en-AU"/>
        </w:rPr>
      </w:pPr>
    </w:p>
    <w:p w14:paraId="0F4C3911" w14:textId="4FF71771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84550D">
        <w:t>16 June 2026</w:t>
      </w:r>
    </w:p>
    <w:p w14:paraId="7A360CC6" w14:textId="77777777" w:rsidR="00D93DA9" w:rsidRDefault="00D93DA9" w:rsidP="00764D43">
      <w:pPr>
        <w:pStyle w:val="Plain"/>
      </w:pPr>
    </w:p>
    <w:p w14:paraId="069512B3" w14:textId="77777777" w:rsidR="00D93DA9" w:rsidRDefault="00D93DA9" w:rsidP="00764D43">
      <w:pPr>
        <w:pStyle w:val="Plain"/>
      </w:pPr>
    </w:p>
    <w:p w14:paraId="1FFB1FCA" w14:textId="77777777" w:rsidR="00D93DA9" w:rsidRDefault="00D93DA9" w:rsidP="00764D43">
      <w:pPr>
        <w:pStyle w:val="Plain"/>
      </w:pPr>
    </w:p>
    <w:p w14:paraId="7FFF5C26" w14:textId="77777777" w:rsidR="00D93DA9" w:rsidRDefault="00D93DA9" w:rsidP="00764D43">
      <w:pPr>
        <w:pStyle w:val="Plain"/>
      </w:pPr>
    </w:p>
    <w:p w14:paraId="027F20DC" w14:textId="77777777" w:rsidR="003E35F4" w:rsidRDefault="003E35F4" w:rsidP="00764D43">
      <w:pPr>
        <w:pStyle w:val="Plain"/>
      </w:pPr>
    </w:p>
    <w:p w14:paraId="621C3F8F" w14:textId="77777777" w:rsidR="003E35F4" w:rsidRDefault="003E35F4" w:rsidP="00764D43">
      <w:pPr>
        <w:pStyle w:val="Plain"/>
      </w:pPr>
    </w:p>
    <w:p w14:paraId="70BF2E29" w14:textId="77777777" w:rsidR="003E35F4" w:rsidRDefault="003E35F4" w:rsidP="00764D43">
      <w:pPr>
        <w:pStyle w:val="Plain"/>
      </w:pPr>
    </w:p>
    <w:p w14:paraId="715ACA3C" w14:textId="77777777" w:rsidR="003E35F4" w:rsidRDefault="003E35F4" w:rsidP="00764D43">
      <w:pPr>
        <w:pStyle w:val="Plain"/>
      </w:pPr>
    </w:p>
    <w:p w14:paraId="430D5D01" w14:textId="77777777" w:rsidR="003E35F4" w:rsidRDefault="003E35F4" w:rsidP="00764D43">
      <w:pPr>
        <w:pStyle w:val="Plain"/>
      </w:pPr>
    </w:p>
    <w:p w14:paraId="72B5B6EB" w14:textId="77777777" w:rsidR="003E35F4" w:rsidRDefault="003E35F4" w:rsidP="00764D43">
      <w:pPr>
        <w:pStyle w:val="Plain"/>
      </w:pPr>
    </w:p>
    <w:p w14:paraId="4037411E" w14:textId="77777777" w:rsidR="003E35F4" w:rsidRDefault="003E35F4" w:rsidP="003E35F4">
      <w:pPr>
        <w:pStyle w:val="Plain"/>
      </w:pPr>
      <w:r>
        <w:t>Professor Terence Campbell AM</w:t>
      </w:r>
    </w:p>
    <w:p w14:paraId="22C9FD88" w14:textId="77777777" w:rsidR="003E35F4" w:rsidRDefault="003E35F4" w:rsidP="003E35F4">
      <w:pPr>
        <w:pStyle w:val="Plain"/>
      </w:pPr>
      <w:r>
        <w:t>Chairperson</w:t>
      </w:r>
    </w:p>
    <w:p w14:paraId="3A1017E2" w14:textId="77777777" w:rsidR="003E35F4" w:rsidRDefault="003E35F4" w:rsidP="003E35F4">
      <w:pPr>
        <w:pStyle w:val="Plain"/>
      </w:pPr>
      <w:r>
        <w:t>by and on behalf of</w:t>
      </w:r>
    </w:p>
    <w:p w14:paraId="16710BE6" w14:textId="77777777" w:rsidR="003E35F4" w:rsidRDefault="003E35F4" w:rsidP="003E35F4">
      <w:pPr>
        <w:pStyle w:val="Plain"/>
      </w:pPr>
      <w:r>
        <w:t>The Repatriation Medical Authority</w:t>
      </w:r>
    </w:p>
    <w:p w14:paraId="534FAB14" w14:textId="3262F422" w:rsidR="003625BA" w:rsidRDefault="003625BA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09E24562" w14:textId="45465CDE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lastRenderedPageBreak/>
        <w:t xml:space="preserve"> </w:t>
      </w:r>
      <w:r w:rsidRPr="00FA33FB">
        <w:rPr>
          <w:rStyle w:val="CharChapText"/>
        </w:rPr>
        <w:t xml:space="preserve"> </w:t>
      </w:r>
    </w:p>
    <w:p w14:paraId="488C7760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0" w:name="BKCheck15B_2"/>
    <w:bookmarkEnd w:id="0"/>
    <w:p w14:paraId="0F22004E" w14:textId="6B86FC5B" w:rsidR="00EB1591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B1591">
        <w:rPr>
          <w:noProof/>
        </w:rPr>
        <w:t>1</w:t>
      </w:r>
      <w:r w:rsidR="00EB1591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EB1591">
        <w:rPr>
          <w:noProof/>
        </w:rPr>
        <w:t>Name</w:t>
      </w:r>
      <w:r w:rsidR="00EB1591">
        <w:rPr>
          <w:noProof/>
        </w:rPr>
        <w:tab/>
      </w:r>
      <w:r w:rsidR="00EB1591">
        <w:rPr>
          <w:noProof/>
        </w:rPr>
        <w:fldChar w:fldCharType="begin"/>
      </w:r>
      <w:r w:rsidR="00EB1591">
        <w:rPr>
          <w:noProof/>
        </w:rPr>
        <w:instrText xml:space="preserve"> PAGEREF _Toc231467293 \h </w:instrText>
      </w:r>
      <w:r w:rsidR="00EB1591">
        <w:rPr>
          <w:noProof/>
        </w:rPr>
      </w:r>
      <w:r w:rsidR="00EB1591">
        <w:rPr>
          <w:noProof/>
        </w:rPr>
        <w:fldChar w:fldCharType="separate"/>
      </w:r>
      <w:r w:rsidR="00EB1591">
        <w:rPr>
          <w:noProof/>
        </w:rPr>
        <w:t>3</w:t>
      </w:r>
      <w:r w:rsidR="00EB1591">
        <w:rPr>
          <w:noProof/>
        </w:rPr>
        <w:fldChar w:fldCharType="end"/>
      </w:r>
    </w:p>
    <w:p w14:paraId="26726563" w14:textId="014E6B78" w:rsidR="00EB1591" w:rsidRDefault="00EB159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_Toc231467294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A85186" w14:textId="44AEAF7A" w:rsidR="00EB1591" w:rsidRDefault="00EB159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_Toc231467295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4C2AE5" w14:textId="0BEADEFF" w:rsidR="00EB1591" w:rsidRDefault="00EB159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_Toc231467296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7CD9B68" w14:textId="3E1642EC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5CFA525" w14:textId="77777777" w:rsidR="003A2FFE" w:rsidRDefault="003A2FFE" w:rsidP="003A2FFE">
      <w:pPr>
        <w:tabs>
          <w:tab w:val="left" w:pos="3631"/>
        </w:tabs>
      </w:pPr>
    </w:p>
    <w:p w14:paraId="49FF5767" w14:textId="77777777"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63C8F7E3" w14:textId="77777777" w:rsidR="00877AE3" w:rsidRDefault="00877AE3" w:rsidP="0069220C">
      <w:pPr>
        <w:pStyle w:val="LV1"/>
        <w:numPr>
          <w:ilvl w:val="0"/>
          <w:numId w:val="19"/>
        </w:numPr>
      </w:pPr>
      <w:bookmarkStart w:id="1" w:name="_Toc231467293"/>
      <w:r>
        <w:lastRenderedPageBreak/>
        <w:t>Name</w:t>
      </w:r>
      <w:bookmarkEnd w:id="1"/>
    </w:p>
    <w:p w14:paraId="2FDAA7C4" w14:textId="7E9874DE"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2" w:name="BKCheck15B_3"/>
      <w:bookmarkEnd w:id="2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156704">
        <w:rPr>
          <w:i/>
        </w:rPr>
        <w:t xml:space="preserve">chronic </w:t>
      </w:r>
      <w:proofErr w:type="spellStart"/>
      <w:r w:rsidR="00156704">
        <w:rPr>
          <w:i/>
        </w:rPr>
        <w:t>multisymptom</w:t>
      </w:r>
      <w:proofErr w:type="spellEnd"/>
      <w:r w:rsidR="00156704">
        <w:rPr>
          <w:i/>
        </w:rPr>
        <w:t xml:space="preserve"> illness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A525FA">
        <w:t>49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156704">
        <w:t>2026</w:t>
      </w:r>
      <w:r w:rsidR="00E55F66" w:rsidRPr="00F97A62">
        <w:t>)</w:t>
      </w:r>
      <w:r w:rsidRPr="00F97A62">
        <w:t>.</w:t>
      </w:r>
    </w:p>
    <w:p w14:paraId="7262DE0C" w14:textId="77777777" w:rsidR="00F67B67" w:rsidRPr="00684C0E" w:rsidRDefault="00F67B67" w:rsidP="0069220C">
      <w:pPr>
        <w:pStyle w:val="LV1"/>
      </w:pPr>
      <w:bookmarkStart w:id="3" w:name="_Toc231467294"/>
      <w:r w:rsidRPr="00684C0E">
        <w:t>Commencement</w:t>
      </w:r>
      <w:bookmarkEnd w:id="3"/>
    </w:p>
    <w:p w14:paraId="55ED5603" w14:textId="6C213406" w:rsidR="00F67B67" w:rsidRPr="007527C1" w:rsidRDefault="00F67B67" w:rsidP="00DA3996">
      <w:pPr>
        <w:pStyle w:val="PlainIndent"/>
      </w:pPr>
      <w:r w:rsidRPr="007527C1">
        <w:t xml:space="preserve">This instrument commences on </w:t>
      </w:r>
      <w:r w:rsidR="0084550D">
        <w:rPr>
          <w:b/>
        </w:rPr>
        <w:t>23 June 2026</w:t>
      </w:r>
      <w:r w:rsidRPr="007527C1">
        <w:t>.</w:t>
      </w:r>
    </w:p>
    <w:p w14:paraId="0D09A169" w14:textId="77777777" w:rsidR="00F67B67" w:rsidRPr="00684C0E" w:rsidRDefault="00F67B67" w:rsidP="0069220C">
      <w:pPr>
        <w:pStyle w:val="LV1"/>
      </w:pPr>
      <w:bookmarkStart w:id="4" w:name="_Toc231467295"/>
      <w:r w:rsidRPr="00684C0E">
        <w:t>Authority</w:t>
      </w:r>
      <w:bookmarkEnd w:id="4"/>
    </w:p>
    <w:p w14:paraId="4581F756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</w:t>
      </w:r>
      <w:proofErr w:type="gramStart"/>
      <w:r w:rsidR="00420AD3" w:rsidRPr="00420AD3">
        <w:t>B(</w:t>
      </w:r>
      <w:proofErr w:type="gramEnd"/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25FA6EF1" w14:textId="77777777" w:rsidR="00420AD3" w:rsidRDefault="00420AD3" w:rsidP="00420AD3">
      <w:pPr>
        <w:pStyle w:val="LV1"/>
      </w:pPr>
      <w:bookmarkStart w:id="5" w:name="_Toc417979035"/>
      <w:bookmarkStart w:id="6" w:name="_Toc231467296"/>
      <w:bookmarkStart w:id="7" w:name="_Ref409687573"/>
      <w:bookmarkStart w:id="8" w:name="_Ref409687579"/>
      <w:bookmarkStart w:id="9" w:name="_Ref409687725"/>
      <w:r>
        <w:t>Amendment</w:t>
      </w:r>
      <w:bookmarkEnd w:id="5"/>
      <w:bookmarkEnd w:id="6"/>
    </w:p>
    <w:p w14:paraId="137EDF15" w14:textId="0D19346F" w:rsidR="00420AD3" w:rsidRDefault="00420AD3" w:rsidP="00CC2B3F">
      <w:pPr>
        <w:pStyle w:val="PlainIndent"/>
      </w:pPr>
      <w:bookmarkStart w:id="10" w:name="_Ref403053584"/>
      <w:bookmarkEnd w:id="7"/>
      <w:bookmarkEnd w:id="8"/>
      <w:bookmarkEnd w:id="9"/>
      <w:r>
        <w:t>The</w:t>
      </w:r>
      <w:r w:rsidRPr="00D5620B">
        <w:t xml:space="preserve"> </w:t>
      </w:r>
      <w:bookmarkEnd w:id="10"/>
      <w:r w:rsidR="000A3994" w:rsidRPr="000A3994">
        <w:t xml:space="preserve">Statement of Principles concerning </w:t>
      </w:r>
      <w:r w:rsidR="00156704">
        <w:rPr>
          <w:i/>
        </w:rPr>
        <w:t xml:space="preserve">chronic </w:t>
      </w:r>
      <w:proofErr w:type="spellStart"/>
      <w:r w:rsidR="00156704">
        <w:rPr>
          <w:i/>
        </w:rPr>
        <w:t>multisymptom</w:t>
      </w:r>
      <w:proofErr w:type="spellEnd"/>
      <w:r w:rsidR="00156704">
        <w:rPr>
          <w:i/>
        </w:rPr>
        <w:t xml:space="preserve"> illness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156704">
        <w:t>4</w:t>
      </w:r>
      <w:r w:rsidR="000A3994" w:rsidRPr="000A3994">
        <w:t xml:space="preserve"> of </w:t>
      </w:r>
      <w:r w:rsidR="00156704">
        <w:t>2020</w:t>
      </w:r>
      <w:r w:rsidR="000A3994" w:rsidRPr="000A3994">
        <w:t xml:space="preserve">) </w:t>
      </w:r>
      <w:r w:rsidR="00A93686">
        <w:t>(Federal Register of Legislation No. F</w:t>
      </w:r>
      <w:r w:rsidR="00156704">
        <w:t>2020L00209</w:t>
      </w:r>
      <w:r w:rsidR="00A93686">
        <w:t>)</w:t>
      </w:r>
      <w:r>
        <w:t xml:space="preserve"> is amended in the following manner:</w:t>
      </w:r>
    </w:p>
    <w:p w14:paraId="0540DFB5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68F6A9DC" w14:textId="77777777" w:rsidTr="006E04A4">
        <w:tc>
          <w:tcPr>
            <w:tcW w:w="1559" w:type="dxa"/>
          </w:tcPr>
          <w:p w14:paraId="24D2C346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449A27D3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B10BF8" w14:paraId="5F9412AF" w14:textId="77777777" w:rsidTr="006E04A4">
        <w:tc>
          <w:tcPr>
            <w:tcW w:w="1559" w:type="dxa"/>
          </w:tcPr>
          <w:p w14:paraId="150295DE" w14:textId="4E9DA954" w:rsidR="00B10BF8" w:rsidRDefault="00B10BF8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756" w:type="dxa"/>
          </w:tcPr>
          <w:p w14:paraId="1F3C18E7" w14:textId="5F817827" w:rsidR="00B10BF8" w:rsidRPr="00E910AC" w:rsidRDefault="00B10BF8" w:rsidP="00316EFD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Delete the existing note in section 4</w:t>
            </w:r>
          </w:p>
        </w:tc>
      </w:tr>
      <w:tr w:rsidR="001D3EA4" w14:paraId="07192CAF" w14:textId="77777777" w:rsidTr="006E04A4">
        <w:tc>
          <w:tcPr>
            <w:tcW w:w="1559" w:type="dxa"/>
          </w:tcPr>
          <w:p w14:paraId="59DF3F74" w14:textId="7CF7C626" w:rsidR="001D3EA4" w:rsidRPr="00B33F5C" w:rsidRDefault="00316EFD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7(2)</w:t>
            </w:r>
          </w:p>
        </w:tc>
        <w:tc>
          <w:tcPr>
            <w:tcW w:w="5756" w:type="dxa"/>
          </w:tcPr>
          <w:p w14:paraId="3739DADF" w14:textId="77777777" w:rsidR="00316EFD" w:rsidRPr="00E910AC" w:rsidRDefault="00316EFD" w:rsidP="00316EFD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 xml:space="preserve">existing </w:t>
            </w:r>
            <w:r>
              <w:rPr>
                <w:i/>
                <w:sz w:val="24"/>
                <w:szCs w:val="24"/>
              </w:rPr>
              <w:t>definition</w:t>
            </w:r>
            <w:r w:rsidRPr="00E910AC">
              <w:rPr>
                <w:i/>
                <w:sz w:val="24"/>
                <w:szCs w:val="24"/>
              </w:rPr>
              <w:t xml:space="preserve"> in subsection </w:t>
            </w:r>
            <w:r>
              <w:rPr>
                <w:i/>
                <w:sz w:val="24"/>
                <w:szCs w:val="24"/>
              </w:rPr>
              <w:t>7</w:t>
            </w:r>
            <w:r w:rsidRPr="00E910A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2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14:paraId="418E5FD9" w14:textId="77777777" w:rsidR="00316EFD" w:rsidRPr="00D16E00" w:rsidRDefault="00316EFD" w:rsidP="00316EFD">
            <w:pPr>
              <w:spacing w:before="180" w:after="120"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>For the purposes of this Statement of Principles,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 </w:t>
            </w:r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chronic </w:t>
            </w:r>
            <w:proofErr w:type="spellStart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>multisymptom</w:t>
            </w:r>
            <w:proofErr w:type="spellEnd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 illness means a condition characterised by multiple somatic symptoms which has been diagnosed by a specialist physician or a </w:t>
            </w:r>
            <w:proofErr w:type="gramStart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>psychiatrist</w:t>
            </w:r>
            <w:proofErr w:type="gramEnd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 and which meets the following criteria:</w:t>
            </w:r>
          </w:p>
          <w:p w14:paraId="0DFFE293" w14:textId="77777777" w:rsidR="00316EFD" w:rsidRPr="00D16E00" w:rsidRDefault="00316EFD" w:rsidP="00316EFD">
            <w:pPr>
              <w:numPr>
                <w:ilvl w:val="0"/>
                <w:numId w:val="21"/>
              </w:numPr>
              <w:tabs>
                <w:tab w:val="clear" w:pos="2868"/>
                <w:tab w:val="num" w:pos="2869"/>
              </w:tabs>
              <w:spacing w:after="60" w:line="240" w:lineRule="atLeast"/>
              <w:ind w:left="720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>There are one or more current symptoms from 2 of the following 3 categories:</w:t>
            </w:r>
          </w:p>
          <w:p w14:paraId="2CA3D39B" w14:textId="77777777" w:rsidR="00316EFD" w:rsidRPr="00D16E00" w:rsidRDefault="00316EFD" w:rsidP="00316EFD">
            <w:pPr>
              <w:numPr>
                <w:ilvl w:val="3"/>
                <w:numId w:val="4"/>
              </w:numPr>
              <w:spacing w:before="60" w:line="240" w:lineRule="auto"/>
              <w:ind w:left="1134"/>
              <w:contextualSpacing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fatigue; </w:t>
            </w:r>
          </w:p>
          <w:p w14:paraId="23F9AF9C" w14:textId="77777777" w:rsidR="00316EFD" w:rsidRPr="00D16E00" w:rsidRDefault="00316EFD" w:rsidP="00316EFD">
            <w:pPr>
              <w:pStyle w:val="LV4"/>
              <w:spacing w:before="0"/>
              <w:ind w:left="1134"/>
            </w:pPr>
            <w:r w:rsidRPr="00D16E00">
              <w:t>mood-cognition: feeling depressed, difficulty remembering or concentrating, feeling moody, feeling anxious, trouble finding words or difficulty sleeping; or</w:t>
            </w:r>
          </w:p>
          <w:p w14:paraId="3CD2C665" w14:textId="77777777" w:rsidR="00316EFD" w:rsidRPr="00D16E00" w:rsidRDefault="00316EFD" w:rsidP="00316EFD">
            <w:pPr>
              <w:pStyle w:val="LV4"/>
              <w:spacing w:before="0"/>
              <w:ind w:left="1134"/>
            </w:pPr>
            <w:r w:rsidRPr="00D16E00">
              <w:t xml:space="preserve">musculoskeletal: joint pain, joint stiffness or muscle pain; and </w:t>
            </w:r>
          </w:p>
          <w:p w14:paraId="7D11D88B" w14:textId="77777777" w:rsidR="00316EFD" w:rsidRPr="00D16E00" w:rsidRDefault="00316EFD" w:rsidP="00316EFD">
            <w:pPr>
              <w:spacing w:after="60" w:line="240" w:lineRule="atLeast"/>
              <w:ind w:left="2127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30AD541E" w14:textId="77777777" w:rsidR="00316EFD" w:rsidRPr="00D16E00" w:rsidRDefault="00316EFD" w:rsidP="00316EFD">
            <w:pPr>
              <w:numPr>
                <w:ilvl w:val="0"/>
                <w:numId w:val="21"/>
              </w:numPr>
              <w:tabs>
                <w:tab w:val="clear" w:pos="2868"/>
                <w:tab w:val="num" w:pos="2869"/>
              </w:tabs>
              <w:spacing w:after="60" w:line="240" w:lineRule="atLeast"/>
              <w:ind w:left="709" w:hanging="709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>The collection of symptoms relied upon to make the diagnosis is distressing and results in significant disruption of social and occupational functioning; and</w:t>
            </w:r>
          </w:p>
          <w:p w14:paraId="0480D40D" w14:textId="77777777" w:rsidR="00316EFD" w:rsidRPr="00D16E00" w:rsidRDefault="00316EFD" w:rsidP="00316EFD">
            <w:pPr>
              <w:numPr>
                <w:ilvl w:val="0"/>
                <w:numId w:val="21"/>
              </w:numPr>
              <w:tabs>
                <w:tab w:val="clear" w:pos="2868"/>
                <w:tab w:val="num" w:pos="2869"/>
              </w:tabs>
              <w:spacing w:after="120" w:line="240" w:lineRule="atLeast"/>
              <w:ind w:left="709" w:hanging="709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lastRenderedPageBreak/>
              <w:t>The collection of symptoms relied upon to make the diagnosis must have persisted for at least 6 consecutive months; and</w:t>
            </w:r>
          </w:p>
          <w:p w14:paraId="515A0FB3" w14:textId="6112D210" w:rsidR="001D3EA4" w:rsidRPr="00280BF2" w:rsidRDefault="00280BF2" w:rsidP="00280BF2">
            <w:pPr>
              <w:numPr>
                <w:ilvl w:val="0"/>
                <w:numId w:val="21"/>
              </w:numPr>
              <w:spacing w:after="120" w:line="240" w:lineRule="atLeast"/>
              <w:ind w:left="709" w:hanging="709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The </w:t>
            </w:r>
            <w:r w:rsidRPr="00D16E00"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>symptoms are not better explained by another medical condition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>,</w:t>
            </w:r>
            <w:r w:rsidRPr="00D16E00"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 xml:space="preserve"> including but not limited to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>,</w:t>
            </w:r>
            <w:r w:rsidRPr="00D16E00"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 xml:space="preserve"> moderate to severe traumatic brain injury, chronic fatigue syndrome, fibromyalgia, Gulf War Illness, somatic symptom disorder or posttraumatic stress disorder.</w:t>
            </w:r>
          </w:p>
        </w:tc>
      </w:tr>
    </w:tbl>
    <w:p w14:paraId="6F4DEA33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p w14:paraId="1B1E93DA" w14:textId="77777777" w:rsidR="00782F4E" w:rsidRPr="00E64EE4" w:rsidRDefault="00782F4E" w:rsidP="00DA3996">
      <w:pPr>
        <w:pStyle w:val="PlainIndent"/>
      </w:pPr>
    </w:p>
    <w:p w14:paraId="7F1AC644" w14:textId="77777777"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4135281F" w14:textId="77777777" w:rsidR="00F03C06" w:rsidRDefault="00F03C06" w:rsidP="00DA3996">
      <w:pPr>
        <w:pStyle w:val="PlainIndent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B202" w14:textId="77777777" w:rsidR="00DC6BB8" w:rsidRDefault="00DC6BB8" w:rsidP="00715914">
      <w:pPr>
        <w:spacing w:line="240" w:lineRule="auto"/>
      </w:pPr>
      <w:r>
        <w:separator/>
      </w:r>
    </w:p>
  </w:endnote>
  <w:endnote w:type="continuationSeparator" w:id="0">
    <w:p w14:paraId="4D9A9582" w14:textId="77777777" w:rsidR="00DC6BB8" w:rsidRDefault="00DC6BB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E976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7FD2F420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4937AC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1E9993A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69A81471" w14:textId="5A78D2B8" w:rsidR="00D87D43" w:rsidRDefault="00156704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Chronic </w:t>
          </w:r>
          <w:proofErr w:type="spellStart"/>
          <w:r>
            <w:rPr>
              <w:i/>
              <w:sz w:val="18"/>
              <w:szCs w:val="18"/>
            </w:rPr>
            <w:t>Multisymptom</w:t>
          </w:r>
          <w:proofErr w:type="spellEnd"/>
          <w:r>
            <w:rPr>
              <w:i/>
              <w:sz w:val="18"/>
              <w:szCs w:val="18"/>
            </w:rPr>
            <w:t xml:space="preserve"> Illness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A525FA">
            <w:rPr>
              <w:i/>
              <w:sz w:val="18"/>
            </w:rPr>
            <w:t>49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2026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7025331A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E26568B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5AEC6376" w14:textId="77777777"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B74D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7FC6CDF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CFBB72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6D56E047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38E6E8CC" w14:textId="521E8FB9" w:rsidR="00D87D43" w:rsidRDefault="00156704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Chronic </w:t>
          </w:r>
          <w:proofErr w:type="spellStart"/>
          <w:r>
            <w:rPr>
              <w:i/>
              <w:sz w:val="18"/>
              <w:szCs w:val="18"/>
            </w:rPr>
            <w:t>Multisymptom</w:t>
          </w:r>
          <w:proofErr w:type="spellEnd"/>
          <w:r>
            <w:rPr>
              <w:i/>
              <w:sz w:val="18"/>
              <w:szCs w:val="18"/>
            </w:rPr>
            <w:t xml:space="preserve"> Illness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A525FA">
            <w:rPr>
              <w:i/>
              <w:sz w:val="18"/>
            </w:rPr>
            <w:t>49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2026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0D7DAE42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2992CCC8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08D8C7F1" w14:textId="77777777"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669B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102C" w14:textId="77777777"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06DC" w14:textId="77777777"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BBF2" w14:textId="77777777" w:rsidR="00DC6BB8" w:rsidRDefault="00DC6BB8" w:rsidP="00715914">
      <w:pPr>
        <w:spacing w:line="240" w:lineRule="auto"/>
      </w:pPr>
      <w:r>
        <w:separator/>
      </w:r>
    </w:p>
  </w:footnote>
  <w:footnote w:type="continuationSeparator" w:id="0">
    <w:p w14:paraId="2B9F4D84" w14:textId="77777777" w:rsidR="00DC6BB8" w:rsidRDefault="00DC6BB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5E1C" w14:textId="2AF2D47E" w:rsidR="00D87D43" w:rsidRPr="00220BB4" w:rsidRDefault="00D87D43" w:rsidP="00220BB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415" w14:textId="77777777"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56EC" w14:textId="77777777" w:rsidR="00885EAB" w:rsidRPr="00D87D43" w:rsidRDefault="00885EAB" w:rsidP="00D87D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6DB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44D0768"/>
    <w:multiLevelType w:val="hybridMultilevel"/>
    <w:tmpl w:val="47645190"/>
    <w:lvl w:ilvl="0" w:tplc="FFFFFFFF">
      <w:start w:val="1"/>
      <w:numFmt w:val="upperLetter"/>
      <w:lvlText w:val="%1."/>
      <w:lvlJc w:val="left"/>
      <w:pPr>
        <w:tabs>
          <w:tab w:val="num" w:pos="2868"/>
        </w:tabs>
        <w:ind w:left="2868" w:hanging="720"/>
      </w:pPr>
      <w:rPr>
        <w:b w:val="0"/>
        <w:i w:val="0"/>
        <w:sz w:val="26"/>
      </w:rPr>
    </w:lvl>
    <w:lvl w:ilvl="1" w:tplc="FFFFFFFF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24675002">
    <w:abstractNumId w:val="15"/>
  </w:num>
  <w:num w:numId="2" w16cid:durableId="1035697197">
    <w:abstractNumId w:val="13"/>
  </w:num>
  <w:num w:numId="3" w16cid:durableId="902720380">
    <w:abstractNumId w:val="11"/>
  </w:num>
  <w:num w:numId="4" w16cid:durableId="1320575241">
    <w:abstractNumId w:val="10"/>
  </w:num>
  <w:num w:numId="5" w16cid:durableId="508835992">
    <w:abstractNumId w:val="14"/>
  </w:num>
  <w:num w:numId="6" w16cid:durableId="1883128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5753250">
    <w:abstractNumId w:val="9"/>
  </w:num>
  <w:num w:numId="8" w16cid:durableId="1926455569">
    <w:abstractNumId w:val="7"/>
  </w:num>
  <w:num w:numId="9" w16cid:durableId="1168859736">
    <w:abstractNumId w:val="6"/>
  </w:num>
  <w:num w:numId="10" w16cid:durableId="2114084961">
    <w:abstractNumId w:val="5"/>
  </w:num>
  <w:num w:numId="11" w16cid:durableId="710572447">
    <w:abstractNumId w:val="4"/>
  </w:num>
  <w:num w:numId="12" w16cid:durableId="2055034148">
    <w:abstractNumId w:val="8"/>
  </w:num>
  <w:num w:numId="13" w16cid:durableId="1304500321">
    <w:abstractNumId w:val="3"/>
  </w:num>
  <w:num w:numId="14" w16cid:durableId="703599707">
    <w:abstractNumId w:val="2"/>
  </w:num>
  <w:num w:numId="15" w16cid:durableId="1132671370">
    <w:abstractNumId w:val="1"/>
  </w:num>
  <w:num w:numId="16" w16cid:durableId="428358724">
    <w:abstractNumId w:val="0"/>
  </w:num>
  <w:num w:numId="17" w16cid:durableId="1722091149">
    <w:abstractNumId w:val="10"/>
  </w:num>
  <w:num w:numId="18" w16cid:durableId="1161772252">
    <w:abstractNumId w:val="10"/>
  </w:num>
  <w:num w:numId="19" w16cid:durableId="1054545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5011481">
    <w:abstractNumId w:val="16"/>
  </w:num>
  <w:num w:numId="21" w16cid:durableId="113190133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B7129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6704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35D0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0BF2"/>
    <w:rsid w:val="00281308"/>
    <w:rsid w:val="00281DF7"/>
    <w:rsid w:val="00284719"/>
    <w:rsid w:val="00286CEF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16EFD"/>
    <w:rsid w:val="0033221D"/>
    <w:rsid w:val="003354D2"/>
    <w:rsid w:val="00335BC6"/>
    <w:rsid w:val="003415D3"/>
    <w:rsid w:val="00344701"/>
    <w:rsid w:val="00350CCF"/>
    <w:rsid w:val="00352B0F"/>
    <w:rsid w:val="00356690"/>
    <w:rsid w:val="00356FAA"/>
    <w:rsid w:val="00360459"/>
    <w:rsid w:val="003625BA"/>
    <w:rsid w:val="00365E25"/>
    <w:rsid w:val="003734C6"/>
    <w:rsid w:val="00375BB3"/>
    <w:rsid w:val="003802D6"/>
    <w:rsid w:val="00385187"/>
    <w:rsid w:val="0038766F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35F4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4A4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3B7B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4550D"/>
    <w:rsid w:val="00850A63"/>
    <w:rsid w:val="00850DD5"/>
    <w:rsid w:val="0085384C"/>
    <w:rsid w:val="008545B7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D619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42D2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25FA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AF2C3E"/>
    <w:rsid w:val="00B03A2C"/>
    <w:rsid w:val="00B05CF4"/>
    <w:rsid w:val="00B07CDB"/>
    <w:rsid w:val="00B10BF8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C6BB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1F2E"/>
    <w:rsid w:val="00E92D94"/>
    <w:rsid w:val="00E9347E"/>
    <w:rsid w:val="00E93E6F"/>
    <w:rsid w:val="00E94D5E"/>
    <w:rsid w:val="00EA7100"/>
    <w:rsid w:val="00EA7F9F"/>
    <w:rsid w:val="00EB1274"/>
    <w:rsid w:val="00EB1591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6719"/>
    <w:rsid w:val="00F32BA8"/>
    <w:rsid w:val="00F349F1"/>
    <w:rsid w:val="00F349FD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F7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2129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2026-06-16T04:52:00Z</dcterms:created>
  <dcterms:modified xsi:type="dcterms:W3CDTF">2026-06-16T04:52:00Z</dcterms:modified>
  <cp:category/>
  <cp:contentStatus/>
  <dc:language/>
  <cp:version/>
</cp:coreProperties>
</file>