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1359" w14:textId="77777777" w:rsidR="00715914" w:rsidRPr="00FA33FB" w:rsidRDefault="00997416" w:rsidP="00764E31">
      <w:pPr>
        <w:pStyle w:val="Plain"/>
        <w:jc w:val="center"/>
        <w:rPr>
          <w:sz w:val="28"/>
        </w:rPr>
      </w:pPr>
      <w:r>
        <w:rPr>
          <w:noProof/>
        </w:rPr>
        <w:drawing>
          <wp:inline distT="0" distB="0" distL="0" distR="0" wp14:anchorId="2973A103" wp14:editId="0B6C9E85">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4A6D15BF" w14:textId="77777777" w:rsidR="00715914" w:rsidRPr="00FA33FB" w:rsidRDefault="00715914" w:rsidP="00715914">
      <w:pPr>
        <w:rPr>
          <w:sz w:val="19"/>
        </w:rPr>
      </w:pPr>
    </w:p>
    <w:p w14:paraId="55E8271D" w14:textId="77777777" w:rsidR="000F76FA" w:rsidRPr="00024911" w:rsidRDefault="00E55F66" w:rsidP="006647B7">
      <w:pPr>
        <w:pStyle w:val="Plainheader"/>
      </w:pPr>
      <w:r w:rsidRPr="00024911">
        <w:t>Statement of Principles</w:t>
      </w:r>
    </w:p>
    <w:p w14:paraId="46315E80" w14:textId="77777777" w:rsidR="000F76FA" w:rsidRPr="00024911" w:rsidRDefault="000F76FA" w:rsidP="006647B7">
      <w:pPr>
        <w:pStyle w:val="Plainheader"/>
      </w:pPr>
      <w:r w:rsidRPr="00024911">
        <w:t>c</w:t>
      </w:r>
      <w:r w:rsidR="00E55F66" w:rsidRPr="00024911">
        <w:t>oncerning</w:t>
      </w:r>
    </w:p>
    <w:p w14:paraId="6F031B9B" w14:textId="334613A2" w:rsidR="00054930" w:rsidRDefault="006D501F" w:rsidP="006647B7">
      <w:pPr>
        <w:pStyle w:val="Plainheader"/>
      </w:pPr>
      <w:r>
        <w:t>GULF WAR ILLNESS</w:t>
      </w:r>
      <w:r w:rsidR="00997416">
        <w:br/>
        <w:t>(</w:t>
      </w:r>
      <w:r w:rsidR="005E589B">
        <w:t>Reasonable Hypothesis</w:t>
      </w:r>
      <w:r w:rsidR="00997416">
        <w:t xml:space="preserve">) </w:t>
      </w:r>
    </w:p>
    <w:p w14:paraId="6546F19B" w14:textId="19931671" w:rsidR="00715914" w:rsidRPr="00024911" w:rsidRDefault="00E55F66" w:rsidP="006647B7">
      <w:pPr>
        <w:pStyle w:val="Plainheader"/>
      </w:pPr>
      <w:r w:rsidRPr="00024911">
        <w:t xml:space="preserve">(No. </w:t>
      </w:r>
      <w:r w:rsidR="009A436C">
        <w:t>47</w:t>
      </w:r>
      <w:r w:rsidRPr="00024911">
        <w:t xml:space="preserve"> of</w:t>
      </w:r>
      <w:r w:rsidR="00085567">
        <w:t xml:space="preserve"> </w:t>
      </w:r>
      <w:r w:rsidR="006D501F">
        <w:t>2026</w:t>
      </w:r>
      <w:r w:rsidRPr="00024911">
        <w:t>)</w:t>
      </w:r>
    </w:p>
    <w:p w14:paraId="6DAFC184"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2F6582">
        <w:rPr>
          <w:i/>
          <w:sz w:val="24"/>
          <w:szCs w:val="24"/>
        </w:rPr>
        <w:t>'</w:t>
      </w:r>
      <w:r w:rsidR="00997416" w:rsidRPr="00BB78C9">
        <w:rPr>
          <w:i/>
          <w:sz w:val="24"/>
          <w:szCs w:val="24"/>
        </w:rPr>
        <w:t xml:space="preserve"> Entitlements Act 1986</w:t>
      </w:r>
      <w:r w:rsidRPr="007527C1">
        <w:rPr>
          <w:sz w:val="24"/>
          <w:szCs w:val="24"/>
        </w:rPr>
        <w:t>.</w:t>
      </w:r>
    </w:p>
    <w:p w14:paraId="0A9FC89D" w14:textId="77777777" w:rsidR="00F97A62" w:rsidRPr="00F97A62" w:rsidRDefault="00F97A62" w:rsidP="00F97A62">
      <w:pPr>
        <w:rPr>
          <w:lang w:eastAsia="en-AU"/>
        </w:rPr>
      </w:pPr>
    </w:p>
    <w:p w14:paraId="2EDFD2A1" w14:textId="55F861A0" w:rsidR="00F67B67" w:rsidRPr="00764E31" w:rsidRDefault="00F67B67" w:rsidP="00764E31">
      <w:pPr>
        <w:pStyle w:val="Plain"/>
        <w:spacing w:before="0"/>
        <w:ind w:left="0"/>
        <w:rPr>
          <w:b w:val="0"/>
        </w:rPr>
      </w:pPr>
      <w:r w:rsidRPr="00764E31">
        <w:rPr>
          <w:b w:val="0"/>
        </w:rPr>
        <w:t>Dated</w:t>
      </w:r>
      <w:r w:rsidR="009079E9">
        <w:rPr>
          <w:b w:val="0"/>
        </w:rPr>
        <w:t xml:space="preserve"> </w:t>
      </w:r>
      <w:r w:rsidR="00002431">
        <w:rPr>
          <w:b w:val="0"/>
        </w:rPr>
        <w:t>16 June 2026</w:t>
      </w:r>
    </w:p>
    <w:p w14:paraId="5BA028AD" w14:textId="77777777" w:rsidR="00D93DA9" w:rsidRPr="00764E31" w:rsidRDefault="00D93DA9" w:rsidP="00764E31">
      <w:pPr>
        <w:pStyle w:val="Plain"/>
        <w:spacing w:before="0"/>
        <w:ind w:left="0"/>
        <w:rPr>
          <w:b w:val="0"/>
        </w:rPr>
      </w:pPr>
    </w:p>
    <w:p w14:paraId="2A456BE9" w14:textId="77777777" w:rsidR="00D93DA9" w:rsidRPr="00764E31" w:rsidRDefault="00D93DA9" w:rsidP="00764E31">
      <w:pPr>
        <w:pStyle w:val="Plain"/>
        <w:spacing w:before="0"/>
        <w:ind w:left="0"/>
        <w:rPr>
          <w:b w:val="0"/>
        </w:rPr>
      </w:pPr>
    </w:p>
    <w:p w14:paraId="4449952C" w14:textId="77777777" w:rsidR="00D93DA9" w:rsidRPr="00764E31" w:rsidRDefault="00D93DA9" w:rsidP="00764E31">
      <w:pPr>
        <w:pStyle w:val="Plain"/>
        <w:spacing w:before="0"/>
        <w:ind w:left="0"/>
        <w:rPr>
          <w:b w:val="0"/>
        </w:rPr>
      </w:pPr>
    </w:p>
    <w:p w14:paraId="55EC966B" w14:textId="77777777" w:rsidR="00D93DA9" w:rsidRDefault="00D93DA9" w:rsidP="00764E31">
      <w:pPr>
        <w:pStyle w:val="Plain"/>
        <w:spacing w:before="0"/>
        <w:ind w:left="0"/>
        <w:rPr>
          <w:b w:val="0"/>
        </w:rPr>
      </w:pPr>
    </w:p>
    <w:p w14:paraId="7053741D" w14:textId="77777777" w:rsidR="00953587" w:rsidRDefault="00953587" w:rsidP="00764E31">
      <w:pPr>
        <w:pStyle w:val="Plain"/>
        <w:spacing w:before="0"/>
        <w:ind w:left="0"/>
        <w:rPr>
          <w:b w:val="0"/>
        </w:rPr>
      </w:pPr>
    </w:p>
    <w:p w14:paraId="4C9A764B" w14:textId="77777777" w:rsidR="00953587" w:rsidRDefault="00953587" w:rsidP="00764E31">
      <w:pPr>
        <w:pStyle w:val="Plain"/>
        <w:spacing w:before="0"/>
        <w:ind w:left="0"/>
        <w:rPr>
          <w:b w:val="0"/>
        </w:rPr>
      </w:pPr>
    </w:p>
    <w:p w14:paraId="5CB8FB87" w14:textId="77777777" w:rsidR="00953587" w:rsidRDefault="00953587" w:rsidP="00764E31">
      <w:pPr>
        <w:pStyle w:val="Plain"/>
        <w:spacing w:before="0"/>
        <w:ind w:left="0"/>
        <w:rPr>
          <w:b w:val="0"/>
        </w:rPr>
      </w:pPr>
    </w:p>
    <w:p w14:paraId="3F96538B" w14:textId="77777777" w:rsidR="00953587" w:rsidRDefault="00953587" w:rsidP="00764E31">
      <w:pPr>
        <w:pStyle w:val="Plain"/>
        <w:spacing w:before="0"/>
        <w:ind w:left="0"/>
        <w:rPr>
          <w:b w:val="0"/>
        </w:rPr>
      </w:pPr>
    </w:p>
    <w:p w14:paraId="050FCBC0" w14:textId="77777777" w:rsidR="00953587" w:rsidRDefault="00953587" w:rsidP="00764E31">
      <w:pPr>
        <w:pStyle w:val="Plain"/>
        <w:spacing w:before="0"/>
        <w:ind w:left="0"/>
        <w:rPr>
          <w:b w:val="0"/>
        </w:rPr>
      </w:pPr>
    </w:p>
    <w:p w14:paraId="4A082678" w14:textId="77777777" w:rsidR="00953587" w:rsidRDefault="00953587" w:rsidP="00764E31">
      <w:pPr>
        <w:pStyle w:val="Plain"/>
        <w:spacing w:before="0"/>
        <w:ind w:left="0"/>
        <w:rPr>
          <w:b w:val="0"/>
        </w:rPr>
      </w:pPr>
    </w:p>
    <w:p w14:paraId="35B89965" w14:textId="77777777" w:rsidR="00953587" w:rsidRPr="00953587" w:rsidRDefault="00953587" w:rsidP="00953587">
      <w:pPr>
        <w:tabs>
          <w:tab w:val="left" w:pos="567"/>
        </w:tabs>
        <w:spacing w:line="240" w:lineRule="auto"/>
        <w:rPr>
          <w:rFonts w:eastAsia="Times New Roman"/>
          <w:sz w:val="24"/>
          <w:szCs w:val="24"/>
          <w:lang w:eastAsia="en-AU"/>
        </w:rPr>
      </w:pPr>
      <w:r w:rsidRPr="00953587">
        <w:rPr>
          <w:rFonts w:eastAsia="Times New Roman"/>
          <w:sz w:val="24"/>
          <w:szCs w:val="24"/>
          <w:lang w:eastAsia="en-AU"/>
        </w:rPr>
        <w:t>Professor Terence Campbell AM</w:t>
      </w:r>
    </w:p>
    <w:p w14:paraId="05E17C54" w14:textId="77777777" w:rsidR="00953587" w:rsidRPr="00953587" w:rsidRDefault="00953587" w:rsidP="00953587">
      <w:pPr>
        <w:tabs>
          <w:tab w:val="left" w:pos="567"/>
        </w:tabs>
        <w:spacing w:line="240" w:lineRule="auto"/>
        <w:rPr>
          <w:rFonts w:eastAsia="Times New Roman"/>
          <w:sz w:val="24"/>
          <w:szCs w:val="24"/>
          <w:lang w:eastAsia="en-AU"/>
        </w:rPr>
      </w:pPr>
      <w:r w:rsidRPr="00953587">
        <w:rPr>
          <w:rFonts w:eastAsia="Times New Roman"/>
          <w:sz w:val="24"/>
          <w:szCs w:val="24"/>
          <w:lang w:eastAsia="en-AU"/>
        </w:rPr>
        <w:t>Chairperson</w:t>
      </w:r>
    </w:p>
    <w:p w14:paraId="366B64AE" w14:textId="77777777" w:rsidR="00953587" w:rsidRPr="00953587" w:rsidRDefault="00953587" w:rsidP="00953587">
      <w:pPr>
        <w:tabs>
          <w:tab w:val="left" w:pos="567"/>
        </w:tabs>
        <w:spacing w:line="240" w:lineRule="auto"/>
        <w:rPr>
          <w:rFonts w:eastAsia="Times New Roman"/>
          <w:sz w:val="24"/>
          <w:szCs w:val="24"/>
          <w:lang w:eastAsia="en-AU"/>
        </w:rPr>
      </w:pPr>
      <w:r w:rsidRPr="00953587">
        <w:rPr>
          <w:rFonts w:eastAsia="Times New Roman"/>
          <w:sz w:val="24"/>
          <w:szCs w:val="24"/>
          <w:lang w:eastAsia="en-AU"/>
        </w:rPr>
        <w:t>by and on behalf of</w:t>
      </w:r>
    </w:p>
    <w:p w14:paraId="51022999" w14:textId="77777777" w:rsidR="00953587" w:rsidRPr="00953587" w:rsidRDefault="00953587" w:rsidP="00953587">
      <w:pPr>
        <w:tabs>
          <w:tab w:val="left" w:pos="567"/>
        </w:tabs>
        <w:spacing w:line="240" w:lineRule="auto"/>
        <w:rPr>
          <w:rFonts w:eastAsia="Times New Roman"/>
          <w:sz w:val="24"/>
          <w:szCs w:val="24"/>
          <w:lang w:eastAsia="en-AU"/>
        </w:rPr>
      </w:pPr>
      <w:r w:rsidRPr="00953587">
        <w:rPr>
          <w:rFonts w:eastAsia="Times New Roman"/>
          <w:sz w:val="24"/>
          <w:szCs w:val="24"/>
          <w:lang w:eastAsia="en-AU"/>
        </w:rPr>
        <w:t>The Repatriation Medical Authority</w:t>
      </w:r>
    </w:p>
    <w:p w14:paraId="5B02A9DF" w14:textId="2CF24534" w:rsidR="009079E9" w:rsidRDefault="009079E9">
      <w:pPr>
        <w:spacing w:line="240" w:lineRule="auto"/>
        <w:rPr>
          <w:rFonts w:eastAsia="Times New Roman"/>
          <w:sz w:val="24"/>
          <w:szCs w:val="24"/>
          <w:lang w:eastAsia="en-AU"/>
        </w:rPr>
      </w:pPr>
      <w:r>
        <w:rPr>
          <w:b/>
        </w:rPr>
        <w:br w:type="page"/>
      </w:r>
    </w:p>
    <w:p w14:paraId="103BC14E" w14:textId="77777777" w:rsidR="00953587" w:rsidRPr="00764E31" w:rsidRDefault="00953587" w:rsidP="00764E31">
      <w:pPr>
        <w:pStyle w:val="Plain"/>
        <w:spacing w:before="0"/>
        <w:ind w:left="0"/>
        <w:rPr>
          <w:b w:val="0"/>
        </w:rPr>
      </w:pPr>
    </w:p>
    <w:p w14:paraId="5F739963" w14:textId="10932BA9"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p>
    <w:p w14:paraId="70D052D0"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0" w:name="BKCheck15B_2"/>
    <w:bookmarkEnd w:id="0"/>
    <w:p w14:paraId="77122989" w14:textId="4400E370" w:rsidR="00B91006" w:rsidRDefault="002A3436">
      <w:pPr>
        <w:pStyle w:val="TOC1"/>
        <w:tabs>
          <w:tab w:val="left" w:pos="1134"/>
        </w:tabs>
        <w:rPr>
          <w:rFonts w:asciiTheme="minorHAnsi" w:eastAsiaTheme="minorEastAsia" w:hAnsiTheme="minorHAnsi" w:cstheme="minorBidi"/>
          <w:noProof/>
          <w:kern w:val="2"/>
          <w:sz w:val="24"/>
          <w:szCs w:val="24"/>
          <w14:ligatures w14:val="standardContextual"/>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B91006">
        <w:rPr>
          <w:noProof/>
        </w:rPr>
        <w:t>1</w:t>
      </w:r>
      <w:r w:rsidR="00B91006">
        <w:rPr>
          <w:rFonts w:asciiTheme="minorHAnsi" w:eastAsiaTheme="minorEastAsia" w:hAnsiTheme="minorHAnsi" w:cstheme="minorBidi"/>
          <w:noProof/>
          <w:kern w:val="2"/>
          <w:sz w:val="24"/>
          <w:szCs w:val="24"/>
          <w14:ligatures w14:val="standardContextual"/>
        </w:rPr>
        <w:tab/>
      </w:r>
      <w:r w:rsidR="00B91006">
        <w:rPr>
          <w:noProof/>
        </w:rPr>
        <w:t>Name</w:t>
      </w:r>
      <w:r w:rsidR="00B91006">
        <w:rPr>
          <w:noProof/>
        </w:rPr>
        <w:tab/>
      </w:r>
      <w:r w:rsidR="00B91006">
        <w:rPr>
          <w:noProof/>
        </w:rPr>
        <w:fldChar w:fldCharType="begin"/>
      </w:r>
      <w:r w:rsidR="00B91006">
        <w:rPr>
          <w:noProof/>
        </w:rPr>
        <w:instrText xml:space="preserve"> PAGEREF _Toc230012968 \h </w:instrText>
      </w:r>
      <w:r w:rsidR="00B91006">
        <w:rPr>
          <w:noProof/>
        </w:rPr>
      </w:r>
      <w:r w:rsidR="00B91006">
        <w:rPr>
          <w:noProof/>
        </w:rPr>
        <w:fldChar w:fldCharType="separate"/>
      </w:r>
      <w:r w:rsidR="00B91006">
        <w:rPr>
          <w:noProof/>
        </w:rPr>
        <w:t>3</w:t>
      </w:r>
      <w:r w:rsidR="00B91006">
        <w:rPr>
          <w:noProof/>
        </w:rPr>
        <w:fldChar w:fldCharType="end"/>
      </w:r>
    </w:p>
    <w:p w14:paraId="0ED06316" w14:textId="4456E06C" w:rsidR="00B91006" w:rsidRDefault="00B91006">
      <w:pPr>
        <w:pStyle w:val="TOC1"/>
        <w:tabs>
          <w:tab w:val="left" w:pos="1134"/>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Commencement</w:t>
      </w:r>
      <w:r>
        <w:rPr>
          <w:noProof/>
        </w:rPr>
        <w:tab/>
      </w:r>
      <w:r>
        <w:rPr>
          <w:noProof/>
        </w:rPr>
        <w:fldChar w:fldCharType="begin"/>
      </w:r>
      <w:r>
        <w:rPr>
          <w:noProof/>
        </w:rPr>
        <w:instrText xml:space="preserve"> PAGEREF _Toc230012969 \h </w:instrText>
      </w:r>
      <w:r>
        <w:rPr>
          <w:noProof/>
        </w:rPr>
      </w:r>
      <w:r>
        <w:rPr>
          <w:noProof/>
        </w:rPr>
        <w:fldChar w:fldCharType="separate"/>
      </w:r>
      <w:r>
        <w:rPr>
          <w:noProof/>
        </w:rPr>
        <w:t>3</w:t>
      </w:r>
      <w:r>
        <w:rPr>
          <w:noProof/>
        </w:rPr>
        <w:fldChar w:fldCharType="end"/>
      </w:r>
    </w:p>
    <w:p w14:paraId="6B75EF46" w14:textId="2F095544" w:rsidR="00B91006" w:rsidRDefault="00B91006">
      <w:pPr>
        <w:pStyle w:val="TOC1"/>
        <w:tabs>
          <w:tab w:val="left" w:pos="1134"/>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Authority</w:t>
      </w:r>
      <w:r>
        <w:rPr>
          <w:noProof/>
        </w:rPr>
        <w:tab/>
      </w:r>
      <w:r>
        <w:rPr>
          <w:noProof/>
        </w:rPr>
        <w:fldChar w:fldCharType="begin"/>
      </w:r>
      <w:r>
        <w:rPr>
          <w:noProof/>
        </w:rPr>
        <w:instrText xml:space="preserve"> PAGEREF _Toc230012970 \h </w:instrText>
      </w:r>
      <w:r>
        <w:rPr>
          <w:noProof/>
        </w:rPr>
      </w:r>
      <w:r>
        <w:rPr>
          <w:noProof/>
        </w:rPr>
        <w:fldChar w:fldCharType="separate"/>
      </w:r>
      <w:r>
        <w:rPr>
          <w:noProof/>
        </w:rPr>
        <w:t>3</w:t>
      </w:r>
      <w:r>
        <w:rPr>
          <w:noProof/>
        </w:rPr>
        <w:fldChar w:fldCharType="end"/>
      </w:r>
    </w:p>
    <w:p w14:paraId="266937AF" w14:textId="196D580D" w:rsidR="00B91006" w:rsidRDefault="00B91006">
      <w:pPr>
        <w:pStyle w:val="TOC1"/>
        <w:tabs>
          <w:tab w:val="left" w:pos="1134"/>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Application</w:t>
      </w:r>
      <w:r>
        <w:rPr>
          <w:noProof/>
        </w:rPr>
        <w:tab/>
      </w:r>
      <w:r>
        <w:rPr>
          <w:noProof/>
        </w:rPr>
        <w:fldChar w:fldCharType="begin"/>
      </w:r>
      <w:r>
        <w:rPr>
          <w:noProof/>
        </w:rPr>
        <w:instrText xml:space="preserve"> PAGEREF _Toc230012971 \h </w:instrText>
      </w:r>
      <w:r>
        <w:rPr>
          <w:noProof/>
        </w:rPr>
      </w:r>
      <w:r>
        <w:rPr>
          <w:noProof/>
        </w:rPr>
        <w:fldChar w:fldCharType="separate"/>
      </w:r>
      <w:r>
        <w:rPr>
          <w:noProof/>
        </w:rPr>
        <w:t>3</w:t>
      </w:r>
      <w:r>
        <w:rPr>
          <w:noProof/>
        </w:rPr>
        <w:fldChar w:fldCharType="end"/>
      </w:r>
    </w:p>
    <w:p w14:paraId="2D89F3BD" w14:textId="78B9AFB5" w:rsidR="00B91006" w:rsidRDefault="00B91006">
      <w:pPr>
        <w:pStyle w:val="TOC1"/>
        <w:tabs>
          <w:tab w:val="left" w:pos="1134"/>
        </w:tabs>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_Toc230012972 \h </w:instrText>
      </w:r>
      <w:r>
        <w:rPr>
          <w:noProof/>
        </w:rPr>
      </w:r>
      <w:r>
        <w:rPr>
          <w:noProof/>
        </w:rPr>
        <w:fldChar w:fldCharType="separate"/>
      </w:r>
      <w:r>
        <w:rPr>
          <w:noProof/>
        </w:rPr>
        <w:t>3</w:t>
      </w:r>
      <w:r>
        <w:rPr>
          <w:noProof/>
        </w:rPr>
        <w:fldChar w:fldCharType="end"/>
      </w:r>
    </w:p>
    <w:p w14:paraId="20587839" w14:textId="5E8FF06C" w:rsidR="00B91006" w:rsidRDefault="00B91006">
      <w:pPr>
        <w:pStyle w:val="TOC1"/>
        <w:tabs>
          <w:tab w:val="left" w:pos="1134"/>
        </w:tabs>
        <w:rPr>
          <w:rFonts w:asciiTheme="minorHAnsi" w:eastAsiaTheme="minorEastAsia" w:hAnsiTheme="minorHAnsi" w:cstheme="minorBidi"/>
          <w:noProof/>
          <w:kern w:val="2"/>
          <w:sz w:val="24"/>
          <w:szCs w:val="24"/>
          <w14:ligatures w14:val="standardContextual"/>
        </w:rPr>
      </w:pPr>
      <w:r>
        <w:rPr>
          <w:noProof/>
        </w:rPr>
        <w:t>6</w:t>
      </w:r>
      <w:r>
        <w:rPr>
          <w:rFonts w:asciiTheme="minorHAnsi" w:eastAsiaTheme="minorEastAsia" w:hAnsiTheme="minorHAnsi" w:cstheme="minorBidi"/>
          <w:noProof/>
          <w:kern w:val="2"/>
          <w:sz w:val="24"/>
          <w:szCs w:val="24"/>
          <w14:ligatures w14:val="standardContextual"/>
        </w:rPr>
        <w:tab/>
      </w:r>
      <w:r>
        <w:rPr>
          <w:noProof/>
        </w:rPr>
        <w:t>Kind of injury, disease or death to which this Statement of Principles relates</w:t>
      </w:r>
      <w:r>
        <w:rPr>
          <w:noProof/>
        </w:rPr>
        <w:tab/>
      </w:r>
      <w:r>
        <w:rPr>
          <w:noProof/>
        </w:rPr>
        <w:fldChar w:fldCharType="begin"/>
      </w:r>
      <w:r>
        <w:rPr>
          <w:noProof/>
        </w:rPr>
        <w:instrText xml:space="preserve"> PAGEREF _Toc230012973 \h </w:instrText>
      </w:r>
      <w:r>
        <w:rPr>
          <w:noProof/>
        </w:rPr>
      </w:r>
      <w:r>
        <w:rPr>
          <w:noProof/>
        </w:rPr>
        <w:fldChar w:fldCharType="separate"/>
      </w:r>
      <w:r>
        <w:rPr>
          <w:noProof/>
        </w:rPr>
        <w:t>3</w:t>
      </w:r>
      <w:r>
        <w:rPr>
          <w:noProof/>
        </w:rPr>
        <w:fldChar w:fldCharType="end"/>
      </w:r>
    </w:p>
    <w:p w14:paraId="7D08DF05" w14:textId="58812FED" w:rsidR="00B91006" w:rsidRDefault="00B91006">
      <w:pPr>
        <w:pStyle w:val="TOC1"/>
        <w:tabs>
          <w:tab w:val="left" w:pos="1134"/>
        </w:tabs>
        <w:rPr>
          <w:rFonts w:asciiTheme="minorHAnsi" w:eastAsiaTheme="minorEastAsia" w:hAnsiTheme="minorHAnsi" w:cstheme="minorBidi"/>
          <w:noProof/>
          <w:kern w:val="2"/>
          <w:sz w:val="24"/>
          <w:szCs w:val="24"/>
          <w14:ligatures w14:val="standardContextual"/>
        </w:rPr>
      </w:pPr>
      <w:r>
        <w:rPr>
          <w:noProof/>
        </w:rPr>
        <w:t>7</w:t>
      </w:r>
      <w:r>
        <w:rPr>
          <w:rFonts w:asciiTheme="minorHAnsi" w:eastAsiaTheme="minorEastAsia" w:hAnsiTheme="minorHAnsi" w:cstheme="minorBidi"/>
          <w:noProof/>
          <w:kern w:val="2"/>
          <w:sz w:val="24"/>
          <w:szCs w:val="24"/>
          <w14:ligatures w14:val="standardContextual"/>
        </w:rPr>
        <w:tab/>
      </w:r>
      <w:r>
        <w:rPr>
          <w:noProof/>
        </w:rPr>
        <w:t>Basis for determining the factors</w:t>
      </w:r>
      <w:r>
        <w:rPr>
          <w:noProof/>
        </w:rPr>
        <w:tab/>
      </w:r>
      <w:r>
        <w:rPr>
          <w:noProof/>
        </w:rPr>
        <w:fldChar w:fldCharType="begin"/>
      </w:r>
      <w:r>
        <w:rPr>
          <w:noProof/>
        </w:rPr>
        <w:instrText xml:space="preserve"> PAGEREF _Toc230012974 \h </w:instrText>
      </w:r>
      <w:r>
        <w:rPr>
          <w:noProof/>
        </w:rPr>
      </w:r>
      <w:r>
        <w:rPr>
          <w:noProof/>
        </w:rPr>
        <w:fldChar w:fldCharType="separate"/>
      </w:r>
      <w:r>
        <w:rPr>
          <w:noProof/>
        </w:rPr>
        <w:t>4</w:t>
      </w:r>
      <w:r>
        <w:rPr>
          <w:noProof/>
        </w:rPr>
        <w:fldChar w:fldCharType="end"/>
      </w:r>
    </w:p>
    <w:p w14:paraId="5860CB7C" w14:textId="17A31982" w:rsidR="00B91006" w:rsidRDefault="00B91006">
      <w:pPr>
        <w:pStyle w:val="TOC1"/>
        <w:tabs>
          <w:tab w:val="left" w:pos="1134"/>
        </w:tabs>
        <w:rPr>
          <w:rFonts w:asciiTheme="minorHAnsi" w:eastAsiaTheme="minorEastAsia" w:hAnsiTheme="minorHAnsi" w:cstheme="minorBidi"/>
          <w:noProof/>
          <w:kern w:val="2"/>
          <w:sz w:val="24"/>
          <w:szCs w:val="24"/>
          <w14:ligatures w14:val="standardContextual"/>
        </w:rPr>
      </w:pPr>
      <w:r>
        <w:rPr>
          <w:noProof/>
        </w:rPr>
        <w:t>8</w:t>
      </w:r>
      <w:r>
        <w:rPr>
          <w:rFonts w:asciiTheme="minorHAnsi" w:eastAsiaTheme="minorEastAsia" w:hAnsiTheme="minorHAnsi" w:cstheme="minorBidi"/>
          <w:noProof/>
          <w:kern w:val="2"/>
          <w:sz w:val="24"/>
          <w:szCs w:val="24"/>
          <w14:ligatures w14:val="standardContextual"/>
        </w:rPr>
        <w:tab/>
      </w:r>
      <w:r>
        <w:rPr>
          <w:noProof/>
        </w:rPr>
        <w:t>Factors that must exist</w:t>
      </w:r>
      <w:r>
        <w:rPr>
          <w:noProof/>
        </w:rPr>
        <w:tab/>
      </w:r>
      <w:r>
        <w:rPr>
          <w:noProof/>
        </w:rPr>
        <w:fldChar w:fldCharType="begin"/>
      </w:r>
      <w:r>
        <w:rPr>
          <w:noProof/>
        </w:rPr>
        <w:instrText xml:space="preserve"> PAGEREF _Toc230012975 \h </w:instrText>
      </w:r>
      <w:r>
        <w:rPr>
          <w:noProof/>
        </w:rPr>
      </w:r>
      <w:r>
        <w:rPr>
          <w:noProof/>
        </w:rPr>
        <w:fldChar w:fldCharType="separate"/>
      </w:r>
      <w:r>
        <w:rPr>
          <w:noProof/>
        </w:rPr>
        <w:t>5</w:t>
      </w:r>
      <w:r>
        <w:rPr>
          <w:noProof/>
        </w:rPr>
        <w:fldChar w:fldCharType="end"/>
      </w:r>
    </w:p>
    <w:p w14:paraId="146B39E1" w14:textId="5F383F25" w:rsidR="00B91006" w:rsidRDefault="00B91006">
      <w:pPr>
        <w:pStyle w:val="TOC1"/>
        <w:tabs>
          <w:tab w:val="left" w:pos="1134"/>
        </w:tabs>
        <w:rPr>
          <w:rFonts w:asciiTheme="minorHAnsi" w:eastAsiaTheme="minorEastAsia" w:hAnsiTheme="minorHAnsi" w:cstheme="minorBidi"/>
          <w:noProof/>
          <w:kern w:val="2"/>
          <w:sz w:val="24"/>
          <w:szCs w:val="24"/>
          <w14:ligatures w14:val="standardContextual"/>
        </w:rPr>
      </w:pPr>
      <w:r>
        <w:rPr>
          <w:noProof/>
        </w:rPr>
        <w:t>9</w:t>
      </w:r>
      <w:r>
        <w:rPr>
          <w:rFonts w:asciiTheme="minorHAnsi" w:eastAsiaTheme="minorEastAsia" w:hAnsiTheme="minorHAnsi" w:cstheme="minorBidi"/>
          <w:noProof/>
          <w:kern w:val="2"/>
          <w:sz w:val="24"/>
          <w:szCs w:val="24"/>
          <w14:ligatures w14:val="standardContextual"/>
        </w:rPr>
        <w:tab/>
      </w:r>
      <w:r>
        <w:rPr>
          <w:noProof/>
        </w:rPr>
        <w:t>Relationship to service</w:t>
      </w:r>
      <w:r>
        <w:rPr>
          <w:noProof/>
        </w:rPr>
        <w:tab/>
      </w:r>
      <w:r>
        <w:rPr>
          <w:noProof/>
        </w:rPr>
        <w:fldChar w:fldCharType="begin"/>
      </w:r>
      <w:r>
        <w:rPr>
          <w:noProof/>
        </w:rPr>
        <w:instrText xml:space="preserve"> PAGEREF _Toc230012976 \h </w:instrText>
      </w:r>
      <w:r>
        <w:rPr>
          <w:noProof/>
        </w:rPr>
      </w:r>
      <w:r>
        <w:rPr>
          <w:noProof/>
        </w:rPr>
        <w:fldChar w:fldCharType="separate"/>
      </w:r>
      <w:r>
        <w:rPr>
          <w:noProof/>
        </w:rPr>
        <w:t>5</w:t>
      </w:r>
      <w:r>
        <w:rPr>
          <w:noProof/>
        </w:rPr>
        <w:fldChar w:fldCharType="end"/>
      </w:r>
    </w:p>
    <w:p w14:paraId="70981A71" w14:textId="7659C4DC" w:rsidR="00B91006" w:rsidRDefault="00B91006">
      <w:pPr>
        <w:pStyle w:val="TOC1"/>
        <w:tabs>
          <w:tab w:val="left" w:pos="1134"/>
        </w:tabs>
        <w:rPr>
          <w:rFonts w:asciiTheme="minorHAnsi" w:eastAsiaTheme="minorEastAsia" w:hAnsiTheme="minorHAnsi" w:cstheme="minorBidi"/>
          <w:noProof/>
          <w:kern w:val="2"/>
          <w:sz w:val="24"/>
          <w:szCs w:val="24"/>
          <w14:ligatures w14:val="standardContextual"/>
        </w:rPr>
      </w:pPr>
      <w:r>
        <w:rPr>
          <w:noProof/>
        </w:rPr>
        <w:t>10</w:t>
      </w:r>
      <w:r>
        <w:rPr>
          <w:rFonts w:asciiTheme="minorHAnsi" w:eastAsiaTheme="minorEastAsia" w:hAnsiTheme="minorHAnsi" w:cstheme="minorBidi"/>
          <w:noProof/>
          <w:kern w:val="2"/>
          <w:sz w:val="24"/>
          <w:szCs w:val="24"/>
          <w14:ligatures w14:val="standardContextual"/>
        </w:rPr>
        <w:tab/>
      </w:r>
      <w:r>
        <w:rPr>
          <w:noProof/>
        </w:rPr>
        <w:t>Factors referring to an injury or disease covered by another Statement of Principles</w:t>
      </w:r>
      <w:r>
        <w:rPr>
          <w:noProof/>
        </w:rPr>
        <w:tab/>
      </w:r>
      <w:r>
        <w:rPr>
          <w:noProof/>
        </w:rPr>
        <w:fldChar w:fldCharType="begin"/>
      </w:r>
      <w:r>
        <w:rPr>
          <w:noProof/>
        </w:rPr>
        <w:instrText xml:space="preserve"> PAGEREF _Toc230012977 \h </w:instrText>
      </w:r>
      <w:r>
        <w:rPr>
          <w:noProof/>
        </w:rPr>
      </w:r>
      <w:r>
        <w:rPr>
          <w:noProof/>
        </w:rPr>
        <w:fldChar w:fldCharType="separate"/>
      </w:r>
      <w:r>
        <w:rPr>
          <w:noProof/>
        </w:rPr>
        <w:t>5</w:t>
      </w:r>
      <w:r>
        <w:rPr>
          <w:noProof/>
        </w:rPr>
        <w:fldChar w:fldCharType="end"/>
      </w:r>
    </w:p>
    <w:p w14:paraId="163B599D" w14:textId="3AE36376" w:rsidR="00B91006" w:rsidRDefault="00B91006">
      <w:pPr>
        <w:pStyle w:val="TOC6"/>
        <w:rPr>
          <w:rFonts w:asciiTheme="minorHAnsi" w:eastAsiaTheme="minorEastAsia" w:hAnsiTheme="minorHAnsi" w:cstheme="minorBidi"/>
          <w:b w:val="0"/>
          <w:noProof/>
          <w:kern w:val="2"/>
          <w:sz w:val="24"/>
          <w:szCs w:val="24"/>
          <w14:ligatures w14:val="standardContextual"/>
        </w:rPr>
      </w:pPr>
      <w:r>
        <w:rPr>
          <w:noProof/>
        </w:rPr>
        <w:t>Schedule 1 - Dictionary</w:t>
      </w:r>
      <w:r>
        <w:rPr>
          <w:noProof/>
        </w:rPr>
        <w:tab/>
      </w:r>
      <w:r>
        <w:rPr>
          <w:noProof/>
        </w:rPr>
        <w:fldChar w:fldCharType="begin"/>
      </w:r>
      <w:r>
        <w:rPr>
          <w:noProof/>
        </w:rPr>
        <w:instrText xml:space="preserve"> PAGEREF _Toc230012978 \h </w:instrText>
      </w:r>
      <w:r>
        <w:rPr>
          <w:noProof/>
        </w:rPr>
      </w:r>
      <w:r>
        <w:rPr>
          <w:noProof/>
        </w:rPr>
        <w:fldChar w:fldCharType="separate"/>
      </w:r>
      <w:r>
        <w:rPr>
          <w:noProof/>
        </w:rPr>
        <w:t>6</w:t>
      </w:r>
      <w:r>
        <w:rPr>
          <w:noProof/>
        </w:rPr>
        <w:fldChar w:fldCharType="end"/>
      </w:r>
    </w:p>
    <w:p w14:paraId="7DE9998C" w14:textId="7479F22B" w:rsidR="00B91006" w:rsidRDefault="00B91006">
      <w:pPr>
        <w:pStyle w:val="TOC1"/>
        <w:tabs>
          <w:tab w:val="left" w:pos="1134"/>
        </w:tabs>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_Toc230012979 \h </w:instrText>
      </w:r>
      <w:r>
        <w:rPr>
          <w:noProof/>
        </w:rPr>
      </w:r>
      <w:r>
        <w:rPr>
          <w:noProof/>
        </w:rPr>
        <w:fldChar w:fldCharType="separate"/>
      </w:r>
      <w:r>
        <w:rPr>
          <w:noProof/>
        </w:rPr>
        <w:t>6</w:t>
      </w:r>
      <w:r>
        <w:rPr>
          <w:noProof/>
        </w:rPr>
        <w:fldChar w:fldCharType="end"/>
      </w:r>
    </w:p>
    <w:p w14:paraId="6F47C20E" w14:textId="05B494F0" w:rsidR="003A2FFE" w:rsidRDefault="002A3436" w:rsidP="00715914">
      <w:r>
        <w:rPr>
          <w:rFonts w:eastAsia="Times New Roman"/>
          <w:b/>
          <w:kern w:val="28"/>
          <w:sz w:val="18"/>
          <w:lang w:eastAsia="en-AU"/>
        </w:rPr>
        <w:fldChar w:fldCharType="end"/>
      </w:r>
    </w:p>
    <w:p w14:paraId="2EEC765E" w14:textId="77777777" w:rsidR="003A2FFE" w:rsidRDefault="003A2FFE" w:rsidP="003A2FFE">
      <w:pPr>
        <w:tabs>
          <w:tab w:val="left" w:pos="3631"/>
        </w:tabs>
      </w:pPr>
    </w:p>
    <w:p w14:paraId="4085C18D" w14:textId="77777777" w:rsidR="007843ED" w:rsidRDefault="007843ED">
      <w:pPr>
        <w:spacing w:line="240" w:lineRule="auto"/>
        <w:rPr>
          <w:b/>
          <w:sz w:val="24"/>
          <w:szCs w:val="24"/>
        </w:rPr>
      </w:pPr>
      <w:r>
        <w:br w:type="page"/>
      </w:r>
    </w:p>
    <w:p w14:paraId="665F0A0C" w14:textId="77777777" w:rsidR="00503619" w:rsidRDefault="00503619" w:rsidP="00503619">
      <w:pPr>
        <w:pStyle w:val="LV1"/>
      </w:pPr>
      <w:bookmarkStart w:id="1" w:name="_Toc432153670"/>
      <w:bookmarkStart w:id="2" w:name="_Toc230012968"/>
      <w:r>
        <w:lastRenderedPageBreak/>
        <w:t>Name</w:t>
      </w:r>
      <w:bookmarkEnd w:id="1"/>
      <w:bookmarkEnd w:id="2"/>
    </w:p>
    <w:p w14:paraId="671167AB" w14:textId="3906C6EC" w:rsidR="00237471" w:rsidRPr="00F97A62" w:rsidRDefault="00715914" w:rsidP="006E1E5A">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6D501F">
        <w:rPr>
          <w:i/>
        </w:rPr>
        <w:t>Gulf War Illness</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9A436C">
        <w:t>47</w:t>
      </w:r>
      <w:r w:rsidR="00085567">
        <w:t xml:space="preserve"> </w:t>
      </w:r>
      <w:r w:rsidR="00E55F66" w:rsidRPr="00F97A62">
        <w:t>of</w:t>
      </w:r>
      <w:r w:rsidR="00085567">
        <w:t xml:space="preserve"> </w:t>
      </w:r>
      <w:r w:rsidR="006D501F">
        <w:t>2026</w:t>
      </w:r>
      <w:r w:rsidR="00E55F66" w:rsidRPr="00F97A62">
        <w:t>)</w:t>
      </w:r>
      <w:r w:rsidRPr="00F97A62">
        <w:t>.</w:t>
      </w:r>
    </w:p>
    <w:p w14:paraId="21C2E7E2" w14:textId="77777777" w:rsidR="00F67B67" w:rsidRPr="00684C0E" w:rsidRDefault="00F67B67" w:rsidP="00503619">
      <w:pPr>
        <w:pStyle w:val="LV1"/>
      </w:pPr>
      <w:bookmarkStart w:id="4" w:name="_Toc230012969"/>
      <w:r w:rsidRPr="00684C0E">
        <w:t>Commencement</w:t>
      </w:r>
      <w:bookmarkEnd w:id="4"/>
    </w:p>
    <w:p w14:paraId="4D469DFF" w14:textId="36DA136D" w:rsidR="00F67B67" w:rsidRPr="007527C1" w:rsidRDefault="00F67B67" w:rsidP="006E1E5A">
      <w:pPr>
        <w:pStyle w:val="PlainIndent"/>
      </w:pPr>
      <w:r w:rsidRPr="007527C1">
        <w:t xml:space="preserve">This instrument commences on </w:t>
      </w:r>
      <w:r w:rsidR="00002431">
        <w:rPr>
          <w:b/>
        </w:rPr>
        <w:t>23 June 2026</w:t>
      </w:r>
      <w:r w:rsidRPr="007527C1">
        <w:t>.</w:t>
      </w:r>
    </w:p>
    <w:p w14:paraId="292811C3" w14:textId="77777777" w:rsidR="00F67B67" w:rsidRPr="00684C0E" w:rsidRDefault="00F67B67" w:rsidP="00503619">
      <w:pPr>
        <w:pStyle w:val="LV1"/>
      </w:pPr>
      <w:bookmarkStart w:id="5" w:name="_Toc230012970"/>
      <w:r w:rsidRPr="00684C0E">
        <w:t>Authority</w:t>
      </w:r>
      <w:bookmarkEnd w:id="5"/>
    </w:p>
    <w:p w14:paraId="013E1C51" w14:textId="77777777" w:rsidR="00F67B67" w:rsidRPr="007527C1" w:rsidRDefault="00F67B67" w:rsidP="006E1E5A">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2F6582">
        <w:rPr>
          <w:i/>
        </w:rPr>
        <w:t>'</w:t>
      </w:r>
      <w:r w:rsidRPr="007527C1">
        <w:rPr>
          <w:i/>
        </w:rPr>
        <w:t xml:space="preserve"> Entitlements Act 1986</w:t>
      </w:r>
      <w:r w:rsidRPr="007527C1">
        <w:t>.</w:t>
      </w:r>
    </w:p>
    <w:p w14:paraId="46D104ED" w14:textId="77777777" w:rsidR="007C7DEE" w:rsidRPr="00684C0E" w:rsidRDefault="007C7DEE" w:rsidP="00503619">
      <w:pPr>
        <w:pStyle w:val="LV1"/>
      </w:pPr>
      <w:bookmarkStart w:id="6" w:name="_Toc230012971"/>
      <w:r w:rsidRPr="00684C0E">
        <w:t>Application</w:t>
      </w:r>
      <w:bookmarkEnd w:id="6"/>
    </w:p>
    <w:p w14:paraId="5BB6C619" w14:textId="77777777" w:rsidR="007C7DEE" w:rsidRPr="007527C1" w:rsidRDefault="007C7DEE" w:rsidP="006E1E5A">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0DDA95C3" w14:textId="77777777" w:rsidR="007C7DEE" w:rsidRPr="00684C0E" w:rsidRDefault="007C7DEE" w:rsidP="00503619">
      <w:pPr>
        <w:pStyle w:val="LV1"/>
      </w:pPr>
      <w:bookmarkStart w:id="7" w:name="_Ref410129949"/>
      <w:bookmarkStart w:id="8" w:name="_Toc230012972"/>
      <w:r w:rsidRPr="00684C0E">
        <w:t>Definitions</w:t>
      </w:r>
      <w:bookmarkEnd w:id="7"/>
      <w:bookmarkEnd w:id="8"/>
    </w:p>
    <w:p w14:paraId="15B003CD" w14:textId="77777777" w:rsidR="00237471" w:rsidRPr="00D5620B" w:rsidRDefault="007142FB" w:rsidP="006E1E5A">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C8E9E86" w14:textId="77777777" w:rsidR="007C7DEE" w:rsidRPr="00684C0E" w:rsidRDefault="007C7DEE" w:rsidP="00503619">
      <w:pPr>
        <w:pStyle w:val="LV1"/>
      </w:pPr>
      <w:bookmarkStart w:id="9" w:name="_Ref409687573"/>
      <w:bookmarkStart w:id="10" w:name="_Ref409687579"/>
      <w:bookmarkStart w:id="11" w:name="_Ref409687725"/>
      <w:bookmarkStart w:id="12" w:name="_Toc230012973"/>
      <w:r w:rsidRPr="00684C0E">
        <w:t>Kind of injury, disease or death</w:t>
      </w:r>
      <w:r w:rsidR="00215860" w:rsidRPr="00684C0E">
        <w:t xml:space="preserve"> to which this Statement of Principles relates</w:t>
      </w:r>
      <w:bookmarkEnd w:id="9"/>
      <w:bookmarkEnd w:id="10"/>
      <w:bookmarkEnd w:id="11"/>
      <w:bookmarkEnd w:id="12"/>
    </w:p>
    <w:p w14:paraId="2664465C" w14:textId="3D0F1354" w:rsidR="007C7DEE" w:rsidRPr="00D5620B" w:rsidRDefault="007C7DEE" w:rsidP="006E1E5A">
      <w:pPr>
        <w:pStyle w:val="LV2"/>
      </w:pPr>
      <w:bookmarkStart w:id="13" w:name="_Ref403053584"/>
      <w:r w:rsidRPr="00D5620B">
        <w:t xml:space="preserve">This Statement of Principles is </w:t>
      </w:r>
      <w:r w:rsidRPr="002F77A1">
        <w:t xml:space="preserve">about </w:t>
      </w:r>
      <w:r w:rsidR="006D501F">
        <w:t>Gulf War Illness</w:t>
      </w:r>
      <w:r w:rsidR="00D5620B" w:rsidRPr="002F77A1">
        <w:t xml:space="preserve"> </w:t>
      </w:r>
      <w:r w:rsidRPr="002F77A1">
        <w:t>and death</w:t>
      </w:r>
      <w:r w:rsidRPr="00D5620B">
        <w:t xml:space="preserve"> from</w:t>
      </w:r>
      <w:r w:rsidR="002F77A1">
        <w:t xml:space="preserve"> </w:t>
      </w:r>
      <w:r w:rsidR="006D501F">
        <w:t>Gulf War Illness</w:t>
      </w:r>
      <w:r w:rsidRPr="00D5620B">
        <w:t>.</w:t>
      </w:r>
      <w:bookmarkEnd w:id="13"/>
    </w:p>
    <w:p w14:paraId="6FEBFC6E" w14:textId="6D7A8D75" w:rsidR="00215860" w:rsidRPr="00C670B0" w:rsidRDefault="00215860" w:rsidP="00C670B0">
      <w:pPr>
        <w:pStyle w:val="LVtext"/>
      </w:pPr>
      <w:r w:rsidRPr="00C670B0">
        <w:t>Meaning of</w:t>
      </w:r>
      <w:r w:rsidR="00D60FC8" w:rsidRPr="00C670B0">
        <w:t xml:space="preserve"> </w:t>
      </w:r>
      <w:r w:rsidR="006D501F">
        <w:rPr>
          <w:b/>
        </w:rPr>
        <w:t>Gulf War Illness</w:t>
      </w:r>
    </w:p>
    <w:p w14:paraId="4B3FECF7" w14:textId="34AE4B5D" w:rsidR="002716E4" w:rsidRDefault="007C7DEE" w:rsidP="006E1E5A">
      <w:pPr>
        <w:pStyle w:val="LV2"/>
      </w:pPr>
      <w:bookmarkStart w:id="14" w:name="_Ref409598124"/>
      <w:bookmarkStart w:id="15" w:name="_Ref402529683"/>
      <w:r w:rsidRPr="00850259">
        <w:t>For the purposes of this Statement of Principles,</w:t>
      </w:r>
      <w:r w:rsidR="002F77A1" w:rsidRPr="00850259">
        <w:t xml:space="preserve"> </w:t>
      </w:r>
      <w:r w:rsidR="006D501F" w:rsidRPr="00850259">
        <w:t>Gulf War Illness</w:t>
      </w:r>
      <w:r w:rsidR="002716E4" w:rsidRPr="00850259">
        <w:t>:</w:t>
      </w:r>
      <w:bookmarkEnd w:id="14"/>
    </w:p>
    <w:bookmarkEnd w:id="15"/>
    <w:p w14:paraId="5601CFFF" w14:textId="77777777" w:rsidR="00D95D92" w:rsidRDefault="00953587" w:rsidP="006E1E5A">
      <w:pPr>
        <w:pStyle w:val="LV2"/>
        <w:numPr>
          <w:ilvl w:val="0"/>
          <w:numId w:val="0"/>
        </w:numPr>
        <w:ind w:left="1418"/>
        <w:rPr>
          <w:lang w:val="en-US"/>
        </w:rPr>
      </w:pPr>
      <w:r w:rsidRPr="00850259">
        <w:t>means</w:t>
      </w:r>
      <w:r w:rsidR="006D501F" w:rsidRPr="00850259">
        <w:rPr>
          <w:lang w:val="en-US"/>
        </w:rPr>
        <w:t xml:space="preserve"> </w:t>
      </w:r>
      <w:r w:rsidR="00D95D92">
        <w:rPr>
          <w:lang w:val="en-US"/>
        </w:rPr>
        <w:t>multiple medically unexplained symptoms seen in military personnel that meets the following diagnostic criteria (derived from the Kansas definition):</w:t>
      </w:r>
    </w:p>
    <w:p w14:paraId="1E954CFE" w14:textId="77777777" w:rsidR="00D95D92" w:rsidRPr="00397D26" w:rsidRDefault="00D95D92" w:rsidP="006E1E5A">
      <w:pPr>
        <w:pStyle w:val="LV3"/>
        <w:rPr>
          <w:lang w:val="en-US"/>
        </w:rPr>
      </w:pPr>
      <w:r>
        <w:rPr>
          <w:lang w:val="en-US"/>
        </w:rPr>
        <w:t>t</w:t>
      </w:r>
      <w:r w:rsidRPr="00397D26">
        <w:rPr>
          <w:lang w:val="en-US"/>
        </w:rPr>
        <w:t>he symptoms have persisted for at least 6 consecutive months;</w:t>
      </w:r>
    </w:p>
    <w:p w14:paraId="60B78091" w14:textId="28E9C7B8" w:rsidR="00D95D92" w:rsidRPr="007334DD" w:rsidRDefault="00D95D92" w:rsidP="006E1E5A">
      <w:pPr>
        <w:pStyle w:val="LV3"/>
      </w:pPr>
      <w:r>
        <w:rPr>
          <w:lang w:val="en-US"/>
        </w:rPr>
        <w:t>t</w:t>
      </w:r>
      <w:r w:rsidRPr="00397D26">
        <w:rPr>
          <w:lang w:val="en-US"/>
        </w:rPr>
        <w:t>he symptoms are not better explained by another medical condition</w:t>
      </w:r>
      <w:r>
        <w:rPr>
          <w:lang w:val="en-US"/>
        </w:rPr>
        <w:t xml:space="preserve"> including </w:t>
      </w:r>
      <w:r w:rsidR="00025050">
        <w:rPr>
          <w:lang w:val="en-US"/>
        </w:rPr>
        <w:t xml:space="preserve">but not limited to </w:t>
      </w:r>
      <w:r>
        <w:rPr>
          <w:lang w:val="en-US"/>
        </w:rPr>
        <w:t xml:space="preserve">moderate to severe traumatic brain injury, chronic fatigue syndrome, fibromyalgia, chronic multisymptom illness, somatic symptom disorder or </w:t>
      </w:r>
      <w:r w:rsidRPr="00D9589C">
        <w:rPr>
          <w:lang w:val="en-US"/>
        </w:rPr>
        <w:t>posttraumatic stress disorder</w:t>
      </w:r>
      <w:r>
        <w:rPr>
          <w:lang w:val="en-US"/>
        </w:rPr>
        <w:t xml:space="preserve">; </w:t>
      </w:r>
      <w:r w:rsidRPr="007334DD">
        <w:rPr>
          <w:lang w:val="en-US"/>
        </w:rPr>
        <w:t>and</w:t>
      </w:r>
    </w:p>
    <w:p w14:paraId="7ACC21C6" w14:textId="77777777" w:rsidR="00D95D92" w:rsidRPr="00397D26" w:rsidRDefault="00D95D92" w:rsidP="006E1E5A">
      <w:pPr>
        <w:pStyle w:val="LV3"/>
        <w:spacing w:before="0"/>
      </w:pPr>
      <w:r>
        <w:rPr>
          <w:lang w:val="en-US"/>
        </w:rPr>
        <w:t>h</w:t>
      </w:r>
      <w:r w:rsidRPr="00397D26">
        <w:rPr>
          <w:lang w:val="en-US"/>
        </w:rPr>
        <w:t xml:space="preserve">aving concurrently at </w:t>
      </w:r>
      <w:r w:rsidRPr="00397D26">
        <w:t xml:space="preserve">least one symptom of moderate </w:t>
      </w:r>
      <w:r>
        <w:t xml:space="preserve">or severe </w:t>
      </w:r>
      <w:r w:rsidRPr="00397D26">
        <w:t xml:space="preserve">severity or at least two symptoms </w:t>
      </w:r>
      <w:r>
        <w:t xml:space="preserve">of mild severity </w:t>
      </w:r>
      <w:r w:rsidRPr="00397D26">
        <w:t xml:space="preserve">in at least 3 of </w:t>
      </w:r>
      <w:r>
        <w:t xml:space="preserve">the </w:t>
      </w:r>
      <w:r w:rsidRPr="00397D26">
        <w:t xml:space="preserve">6 </w:t>
      </w:r>
      <w:r>
        <w:t xml:space="preserve">following </w:t>
      </w:r>
      <w:r w:rsidRPr="00397D26">
        <w:t>symptom domains:</w:t>
      </w:r>
    </w:p>
    <w:p w14:paraId="0438A6BD" w14:textId="77777777" w:rsidR="00D95D92" w:rsidRDefault="00D95D92" w:rsidP="006E1E5A">
      <w:pPr>
        <w:pStyle w:val="LV4"/>
      </w:pPr>
      <w:r w:rsidRPr="009B1C8E">
        <w:t>Fatigue and sleep symptom domain;</w:t>
      </w:r>
    </w:p>
    <w:p w14:paraId="0C61533D" w14:textId="77777777" w:rsidR="00D95D92" w:rsidRDefault="00D95D92" w:rsidP="006E1E5A">
      <w:pPr>
        <w:pStyle w:val="LV5"/>
        <w:spacing w:before="0"/>
      </w:pPr>
      <w:r>
        <w:t>Fatigue; or</w:t>
      </w:r>
    </w:p>
    <w:p w14:paraId="0CC315F1" w14:textId="77777777" w:rsidR="00D95D92" w:rsidRDefault="00D95D92" w:rsidP="006E1E5A">
      <w:pPr>
        <w:pStyle w:val="LV5"/>
        <w:spacing w:before="0"/>
      </w:pPr>
      <w:r>
        <w:t>Feeling unwell after exercise or exertion; or</w:t>
      </w:r>
    </w:p>
    <w:p w14:paraId="332D7CAB" w14:textId="77777777" w:rsidR="00D95D92" w:rsidRDefault="00D95D92" w:rsidP="006E1E5A">
      <w:pPr>
        <w:pStyle w:val="LV5"/>
        <w:spacing w:before="0"/>
      </w:pPr>
      <w:r>
        <w:lastRenderedPageBreak/>
        <w:t>Problems falling or staying asleep; or</w:t>
      </w:r>
    </w:p>
    <w:p w14:paraId="731475D9" w14:textId="77777777" w:rsidR="00D95D92" w:rsidRPr="009B1C8E" w:rsidRDefault="00D95D92" w:rsidP="006E1E5A">
      <w:pPr>
        <w:pStyle w:val="LV5"/>
        <w:spacing w:before="0"/>
      </w:pPr>
      <w:r>
        <w:t>Not feeling rested after sleep;</w:t>
      </w:r>
    </w:p>
    <w:p w14:paraId="72F9FBD7" w14:textId="77777777" w:rsidR="00D95D92" w:rsidRDefault="00D95D92" w:rsidP="006E1E5A">
      <w:pPr>
        <w:pStyle w:val="LV4"/>
      </w:pPr>
      <w:r w:rsidRPr="009B1C8E">
        <w:t>Pain symptom domain;</w:t>
      </w:r>
    </w:p>
    <w:p w14:paraId="7B3F6A9A" w14:textId="77777777" w:rsidR="00D95D92" w:rsidRDefault="00D95D92" w:rsidP="006E1E5A">
      <w:pPr>
        <w:pStyle w:val="LV5"/>
        <w:spacing w:before="0"/>
      </w:pPr>
      <w:r>
        <w:t>Pain in joints; or</w:t>
      </w:r>
    </w:p>
    <w:p w14:paraId="4AE98DC1" w14:textId="77777777" w:rsidR="00D95D92" w:rsidRDefault="00D95D92" w:rsidP="006E1E5A">
      <w:pPr>
        <w:pStyle w:val="LV5"/>
        <w:spacing w:before="0"/>
      </w:pPr>
      <w:r>
        <w:t>Pain in muscles; or</w:t>
      </w:r>
    </w:p>
    <w:p w14:paraId="7CF01008" w14:textId="77777777" w:rsidR="00D95D92" w:rsidRDefault="00D95D92" w:rsidP="006E1E5A">
      <w:pPr>
        <w:pStyle w:val="LV5"/>
        <w:spacing w:before="0"/>
      </w:pPr>
      <w:r>
        <w:t xml:space="preserve">Body pain where you hurt all over; </w:t>
      </w:r>
    </w:p>
    <w:p w14:paraId="20A40AD4" w14:textId="77777777" w:rsidR="00D95D92" w:rsidRDefault="00D95D92" w:rsidP="006E1E5A">
      <w:pPr>
        <w:pStyle w:val="LV4"/>
      </w:pPr>
      <w:r w:rsidRPr="009B1C8E">
        <w:t>Neurological/Cognitive/Mood symptom domain;</w:t>
      </w:r>
    </w:p>
    <w:p w14:paraId="50402DAC" w14:textId="77777777" w:rsidR="00D95D92" w:rsidRDefault="00D95D92" w:rsidP="006E1E5A">
      <w:pPr>
        <w:pStyle w:val="LV5"/>
        <w:spacing w:before="0"/>
      </w:pPr>
      <w:r>
        <w:t>Problems remembering recent information; or</w:t>
      </w:r>
    </w:p>
    <w:p w14:paraId="49250456" w14:textId="77777777" w:rsidR="00D95D92" w:rsidRDefault="00D95D92" w:rsidP="006E1E5A">
      <w:pPr>
        <w:pStyle w:val="LV5"/>
        <w:spacing w:before="0"/>
      </w:pPr>
      <w:r>
        <w:t>Feeling irritable or having angry outbursts; or</w:t>
      </w:r>
    </w:p>
    <w:p w14:paraId="2C2443D1" w14:textId="77777777" w:rsidR="00D95D92" w:rsidRDefault="00D95D92" w:rsidP="006E1E5A">
      <w:pPr>
        <w:pStyle w:val="LV5"/>
        <w:spacing w:before="0"/>
      </w:pPr>
      <w:r>
        <w:t xml:space="preserve">Numbness or tingling in extremities; or </w:t>
      </w:r>
    </w:p>
    <w:p w14:paraId="064A63F9" w14:textId="77777777" w:rsidR="00D95D92" w:rsidRDefault="00D95D92" w:rsidP="006E1E5A">
      <w:pPr>
        <w:pStyle w:val="LV5"/>
        <w:spacing w:before="0"/>
      </w:pPr>
      <w:r>
        <w:t xml:space="preserve">Headaches; or </w:t>
      </w:r>
    </w:p>
    <w:p w14:paraId="6EEA0006" w14:textId="77777777" w:rsidR="00D95D92" w:rsidRDefault="00D95D92" w:rsidP="006E1E5A">
      <w:pPr>
        <w:pStyle w:val="LV5"/>
        <w:spacing w:before="0"/>
      </w:pPr>
      <w:r>
        <w:t xml:space="preserve">Eyes very sensitive to light; or </w:t>
      </w:r>
    </w:p>
    <w:p w14:paraId="220FEBB4" w14:textId="77777777" w:rsidR="00D95D92" w:rsidRDefault="00D95D92" w:rsidP="006E1E5A">
      <w:pPr>
        <w:pStyle w:val="LV5"/>
        <w:spacing w:before="0"/>
      </w:pPr>
      <w:r>
        <w:t>Trouble finding words when speaking; or</w:t>
      </w:r>
    </w:p>
    <w:p w14:paraId="57D2263D" w14:textId="77777777" w:rsidR="00D95D92" w:rsidRDefault="00D95D92" w:rsidP="006E1E5A">
      <w:pPr>
        <w:pStyle w:val="LV5"/>
        <w:spacing w:before="0"/>
      </w:pPr>
      <w:r>
        <w:t>Feeling down or depressed; or</w:t>
      </w:r>
    </w:p>
    <w:p w14:paraId="3411E7CC" w14:textId="77777777" w:rsidR="00D95D92" w:rsidRDefault="00D95D92" w:rsidP="006E1E5A">
      <w:pPr>
        <w:pStyle w:val="LV5"/>
        <w:spacing w:before="0"/>
      </w:pPr>
      <w:r>
        <w:t xml:space="preserve">Difficulty concentrating; or </w:t>
      </w:r>
    </w:p>
    <w:p w14:paraId="2DF65DB2" w14:textId="77777777" w:rsidR="00D95D92" w:rsidRDefault="00D95D92" w:rsidP="006E1E5A">
      <w:pPr>
        <w:pStyle w:val="LV5"/>
        <w:spacing w:before="0"/>
      </w:pPr>
      <w:r>
        <w:t xml:space="preserve">Night sweats; or </w:t>
      </w:r>
    </w:p>
    <w:p w14:paraId="5F752E4F" w14:textId="77777777" w:rsidR="00D95D92" w:rsidRDefault="00D95D92" w:rsidP="006E1E5A">
      <w:pPr>
        <w:pStyle w:val="LV5"/>
        <w:spacing w:before="0"/>
      </w:pPr>
      <w:r>
        <w:t xml:space="preserve">Feeling dizzy, lightheaded or faint; or </w:t>
      </w:r>
    </w:p>
    <w:p w14:paraId="2D7E72D4" w14:textId="77777777" w:rsidR="00D95D92" w:rsidRDefault="00D95D92" w:rsidP="006E1E5A">
      <w:pPr>
        <w:pStyle w:val="LV5"/>
        <w:spacing w:before="0"/>
      </w:pPr>
      <w:r>
        <w:t xml:space="preserve">Low tolerance for heat or cold; or </w:t>
      </w:r>
    </w:p>
    <w:p w14:paraId="6707F898" w14:textId="77777777" w:rsidR="00D95D92" w:rsidRDefault="00D95D92" w:rsidP="006E1E5A">
      <w:pPr>
        <w:pStyle w:val="LV5"/>
        <w:spacing w:before="0"/>
      </w:pPr>
      <w:r>
        <w:t>Symptoms in response to smells or chemicals; or</w:t>
      </w:r>
    </w:p>
    <w:p w14:paraId="37D8C74C" w14:textId="77777777" w:rsidR="00D95D92" w:rsidRDefault="00D95D92" w:rsidP="006E1E5A">
      <w:pPr>
        <w:pStyle w:val="LV5"/>
        <w:spacing w:before="0"/>
      </w:pPr>
      <w:r>
        <w:t>Blurred or double vision; or</w:t>
      </w:r>
    </w:p>
    <w:p w14:paraId="12626D8D" w14:textId="77777777" w:rsidR="00D95D92" w:rsidRDefault="00D95D92" w:rsidP="006E1E5A">
      <w:pPr>
        <w:pStyle w:val="LV5"/>
        <w:spacing w:before="0"/>
      </w:pPr>
      <w:r>
        <w:t>Tremors or shaking; or</w:t>
      </w:r>
    </w:p>
    <w:p w14:paraId="651183E0" w14:textId="77777777" w:rsidR="00D95D92" w:rsidRDefault="00D95D92" w:rsidP="006E1E5A">
      <w:pPr>
        <w:pStyle w:val="LV4"/>
      </w:pPr>
      <w:r w:rsidRPr="009B1C8E">
        <w:t>Gastrointestinal symptom domain;</w:t>
      </w:r>
    </w:p>
    <w:p w14:paraId="6BFD176B" w14:textId="77777777" w:rsidR="00D95D92" w:rsidRDefault="00D95D92" w:rsidP="006E1E5A">
      <w:pPr>
        <w:pStyle w:val="LV5"/>
        <w:spacing w:before="0"/>
      </w:pPr>
      <w:r>
        <w:t>Diarrhoea; or</w:t>
      </w:r>
    </w:p>
    <w:p w14:paraId="6778450D" w14:textId="77777777" w:rsidR="00D95D92" w:rsidRDefault="00D95D92" w:rsidP="006E1E5A">
      <w:pPr>
        <w:pStyle w:val="LV5"/>
        <w:spacing w:before="0"/>
      </w:pPr>
      <w:r>
        <w:t xml:space="preserve">Nausea or upset stomach; or </w:t>
      </w:r>
    </w:p>
    <w:p w14:paraId="0BFDF432" w14:textId="77777777" w:rsidR="00D95D92" w:rsidRPr="009B1C8E" w:rsidRDefault="00D95D92" w:rsidP="006E1E5A">
      <w:pPr>
        <w:pStyle w:val="LV5"/>
        <w:spacing w:before="0"/>
      </w:pPr>
      <w:r>
        <w:t xml:space="preserve">Abdominal pain or cramping; or  </w:t>
      </w:r>
    </w:p>
    <w:p w14:paraId="288DC7EE" w14:textId="77777777" w:rsidR="00D95D92" w:rsidRDefault="00D95D92" w:rsidP="006E1E5A">
      <w:pPr>
        <w:pStyle w:val="LV4"/>
      </w:pPr>
      <w:r w:rsidRPr="009B1C8E">
        <w:t xml:space="preserve">Respiratory symptom domain; </w:t>
      </w:r>
    </w:p>
    <w:p w14:paraId="623BBDEA" w14:textId="77777777" w:rsidR="00D95D92" w:rsidRDefault="00D95D92" w:rsidP="006E1E5A">
      <w:pPr>
        <w:pStyle w:val="LV5"/>
        <w:spacing w:before="0"/>
      </w:pPr>
      <w:r>
        <w:t>Difficulty breathing; or</w:t>
      </w:r>
    </w:p>
    <w:p w14:paraId="28F1ACA6" w14:textId="77777777" w:rsidR="00D95D92" w:rsidRDefault="00D95D92" w:rsidP="006E1E5A">
      <w:pPr>
        <w:pStyle w:val="LV5"/>
        <w:spacing w:before="0"/>
      </w:pPr>
      <w:r>
        <w:t xml:space="preserve">Frequent coughing without a cold; or </w:t>
      </w:r>
    </w:p>
    <w:p w14:paraId="5A7932B2" w14:textId="77777777" w:rsidR="00D95D92" w:rsidRPr="009B1C8E" w:rsidRDefault="00D95D92" w:rsidP="006E1E5A">
      <w:pPr>
        <w:pStyle w:val="LV5"/>
        <w:spacing w:before="0"/>
      </w:pPr>
      <w:r>
        <w:t xml:space="preserve">Wheezing in chest; </w:t>
      </w:r>
      <w:r w:rsidRPr="00AD2ECB">
        <w:rPr>
          <w:u w:val="single"/>
        </w:rPr>
        <w:t xml:space="preserve">or </w:t>
      </w:r>
    </w:p>
    <w:p w14:paraId="769AC10F" w14:textId="77777777" w:rsidR="00D95D92" w:rsidRPr="009B1C8E" w:rsidRDefault="00D95D92" w:rsidP="006E1E5A">
      <w:pPr>
        <w:pStyle w:val="LV4"/>
      </w:pPr>
      <w:r w:rsidRPr="009B1C8E">
        <w:t>Skin symptom domain.</w:t>
      </w:r>
    </w:p>
    <w:p w14:paraId="29ED59F5" w14:textId="77777777" w:rsidR="00D95D92" w:rsidRPr="00100338" w:rsidRDefault="00D95D92" w:rsidP="006E1E5A">
      <w:pPr>
        <w:pStyle w:val="LV5"/>
        <w:spacing w:before="0"/>
      </w:pPr>
      <w:r w:rsidRPr="00100338">
        <w:t>Skin rash</w:t>
      </w:r>
      <w:r>
        <w:t xml:space="preserve">; or </w:t>
      </w:r>
    </w:p>
    <w:p w14:paraId="11A0C913" w14:textId="77777777" w:rsidR="00D95D92" w:rsidRPr="00251227" w:rsidRDefault="00D95D92" w:rsidP="006E1E5A">
      <w:pPr>
        <w:pStyle w:val="LV5"/>
        <w:spacing w:before="0"/>
      </w:pPr>
      <w:r w:rsidRPr="007334DD">
        <w:t xml:space="preserve">Other skin problems. </w:t>
      </w:r>
    </w:p>
    <w:p w14:paraId="3C9FD18A" w14:textId="44EBC915" w:rsidR="00FD775E" w:rsidRDefault="00237BAF" w:rsidP="00C670B0">
      <w:pPr>
        <w:pStyle w:val="LVtext"/>
      </w:pPr>
      <w:r w:rsidRPr="003A5C26">
        <w:t>Death from</w:t>
      </w:r>
      <w:r w:rsidR="008F572A" w:rsidRPr="00237BAF">
        <w:t xml:space="preserve"> </w:t>
      </w:r>
      <w:r w:rsidR="006D501F">
        <w:rPr>
          <w:b/>
        </w:rPr>
        <w:t>Gulf War Illness</w:t>
      </w:r>
    </w:p>
    <w:p w14:paraId="5A367AF7" w14:textId="459698BB" w:rsidR="008F572A" w:rsidRPr="00237BAF" w:rsidRDefault="008F572A" w:rsidP="006E1E5A">
      <w:pPr>
        <w:pStyle w:val="LV2"/>
      </w:pPr>
      <w:r w:rsidRPr="00237BAF">
        <w:t xml:space="preserve">For the purposes of this Statement of </w:t>
      </w:r>
      <w:r w:rsidR="00D5620B">
        <w:t xml:space="preserve">Principles, </w:t>
      </w:r>
      <w:r w:rsidR="006D501F">
        <w:t>Gulf War Illness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2F6582">
        <w:t>'</w:t>
      </w:r>
      <w:r w:rsidRPr="00D5620B">
        <w:t>s</w:t>
      </w:r>
      <w:r w:rsidR="002F77A1">
        <w:t xml:space="preserve"> </w:t>
      </w:r>
      <w:r w:rsidR="006D501F">
        <w:t>Gulf War Illness</w:t>
      </w:r>
      <w:r w:rsidRPr="00D5620B">
        <w:t>.</w:t>
      </w:r>
    </w:p>
    <w:p w14:paraId="77183BC8" w14:textId="77777777" w:rsidR="007C7DEE" w:rsidRPr="00046E67" w:rsidRDefault="00046E67" w:rsidP="00503619">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1732A5">
        <w:t>–</w:t>
      </w:r>
      <w:r w:rsidR="00D32F71">
        <w:t xml:space="preserve"> </w:t>
      </w:r>
      <w:r w:rsidR="00885EAB" w:rsidRPr="00046E67">
        <w:t>Dictionary</w:t>
      </w:r>
      <w:r w:rsidR="001732A5">
        <w:t>.</w:t>
      </w:r>
    </w:p>
    <w:p w14:paraId="77BA50A1" w14:textId="77777777" w:rsidR="007C7DEE" w:rsidRPr="00A20CA1" w:rsidRDefault="007C7DEE" w:rsidP="00503619">
      <w:pPr>
        <w:pStyle w:val="LV1"/>
      </w:pPr>
      <w:bookmarkStart w:id="16" w:name="_Toc230012974"/>
      <w:r w:rsidRPr="00A20CA1">
        <w:t>Basis for determining the factors</w:t>
      </w:r>
      <w:bookmarkEnd w:id="16"/>
    </w:p>
    <w:p w14:paraId="41B41CC3" w14:textId="3BB32E8E" w:rsidR="007C7DEE" w:rsidRPr="00237BAF" w:rsidRDefault="00F863D4" w:rsidP="006E1E5A">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6D501F">
        <w:t>Gulf War Illness</w:t>
      </w:r>
      <w:r>
        <w:t xml:space="preserve"> </w:t>
      </w:r>
      <w:r w:rsidRPr="00D5620B">
        <w:t>and death from</w:t>
      </w:r>
      <w:r>
        <w:t xml:space="preserve"> </w:t>
      </w:r>
      <w:r w:rsidR="006D501F">
        <w:t>Gulf War Illness</w:t>
      </w:r>
      <w:r>
        <w:t xml:space="preserve"> </w:t>
      </w:r>
      <w:r w:rsidRPr="00D5620B">
        <w:t>can</w:t>
      </w:r>
      <w:r w:rsidRPr="00237BAF">
        <w:t xml:space="preserve"> be related to relevant service </w:t>
      </w:r>
      <w:r w:rsidRPr="00283A64">
        <w:t xml:space="preserve">rendered by veterans, </w:t>
      </w:r>
      <w:r w:rsidRPr="00283A64">
        <w:lastRenderedPageBreak/>
        <w:t>members of Peacekeeping Forces, or members of the Forces under the VEA, or members under the MRCA</w:t>
      </w:r>
      <w:r w:rsidRPr="00237BAF">
        <w:t>.</w:t>
      </w:r>
    </w:p>
    <w:p w14:paraId="35C02A73" w14:textId="77777777" w:rsidR="00503619" w:rsidRPr="00046E67" w:rsidRDefault="00503619" w:rsidP="009079E9">
      <w:pPr>
        <w:pStyle w:val="Note2"/>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28294DCD" w14:textId="77777777" w:rsidR="007C7DEE" w:rsidRPr="00301C54" w:rsidRDefault="007C7DEE" w:rsidP="00503619">
      <w:pPr>
        <w:pStyle w:val="LV1"/>
      </w:pPr>
      <w:bookmarkStart w:id="17" w:name="_Ref411946955"/>
      <w:bookmarkStart w:id="18" w:name="_Ref411946997"/>
      <w:bookmarkStart w:id="19" w:name="_Ref412032503"/>
      <w:bookmarkStart w:id="20" w:name="_Toc230012975"/>
      <w:r w:rsidRPr="00301C54">
        <w:t xml:space="preserve">Factors that must </w:t>
      </w:r>
      <w:r w:rsidR="00D32F71">
        <w:t>exist</w:t>
      </w:r>
      <w:bookmarkEnd w:id="17"/>
      <w:bookmarkEnd w:id="18"/>
      <w:bookmarkEnd w:id="19"/>
      <w:bookmarkEnd w:id="20"/>
    </w:p>
    <w:p w14:paraId="539A8B03" w14:textId="51F3E7F9" w:rsidR="007C7DEE" w:rsidRPr="00AA6D8B" w:rsidRDefault="003F76A7" w:rsidP="006E1E5A">
      <w:pPr>
        <w:pStyle w:val="PlainIndent"/>
      </w:pPr>
      <w:bookmarkStart w:id="21" w:name="_Ref402530190"/>
      <w:r>
        <w:t>T</w:t>
      </w:r>
      <w:r w:rsidR="002716E4" w:rsidRPr="00AA6D8B">
        <w:t xml:space="preserve">he following </w:t>
      </w:r>
      <w:r w:rsidR="007C7DEE" w:rsidRPr="00AA6D8B">
        <w:t xml:space="preserve">factor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6D501F">
        <w:t>Gulf War Illness</w:t>
      </w:r>
      <w:r w:rsidR="007A3989">
        <w:t xml:space="preserve"> </w:t>
      </w:r>
      <w:r w:rsidR="007C7DEE" w:rsidRPr="00AA6D8B">
        <w:t xml:space="preserve">or death from </w:t>
      </w:r>
      <w:r w:rsidR="006D501F">
        <w:t>Gulf War Illness</w:t>
      </w:r>
      <w:r w:rsidR="007A3989">
        <w:t xml:space="preserve"> </w:t>
      </w:r>
      <w:r w:rsidR="007C7DEE" w:rsidRPr="00AA6D8B">
        <w:t>with the circumstances of a pers</w:t>
      </w:r>
      <w:r w:rsidR="002A1ECC" w:rsidRPr="00AA6D8B">
        <w:t>on</w:t>
      </w:r>
      <w:r w:rsidR="002F6582">
        <w:t>'</w:t>
      </w:r>
      <w:r w:rsidR="002A1ECC" w:rsidRPr="00AA6D8B">
        <w:t>s relevant service</w:t>
      </w:r>
      <w:r w:rsidR="007C7DEE" w:rsidRPr="00AA6D8B">
        <w:t>:</w:t>
      </w:r>
      <w:bookmarkEnd w:id="21"/>
    </w:p>
    <w:p w14:paraId="3968E3C8" w14:textId="038CFF4E" w:rsidR="006E1E5A" w:rsidRDefault="006E1E5A" w:rsidP="006E1E5A">
      <w:pPr>
        <w:pStyle w:val="LV2"/>
      </w:pPr>
      <w:bookmarkStart w:id="22" w:name="_Ref402530260"/>
      <w:bookmarkStart w:id="23" w:name="_Ref409598844"/>
      <w:r w:rsidRPr="006E1E5A">
        <w:t xml:space="preserve">having deployed to the Gulf War Theatre of Operations at any time during the period 2 August 1990 to 21 September 1991 before clinical onset, and where this deployment has occurred in the </w:t>
      </w:r>
      <w:r w:rsidR="00025050">
        <w:t>10</w:t>
      </w:r>
      <w:r w:rsidRPr="006E1E5A">
        <w:t xml:space="preserve"> years immediately preceding clinical onset;</w:t>
      </w:r>
    </w:p>
    <w:p w14:paraId="6AD3CE40" w14:textId="040470D2" w:rsidR="00503619" w:rsidRPr="008D1B8B" w:rsidRDefault="0066271B" w:rsidP="0066271B">
      <w:pPr>
        <w:pStyle w:val="NOTE"/>
      </w:pPr>
      <w:r>
        <w:t xml:space="preserve">Note: </w:t>
      </w:r>
      <w:r w:rsidRPr="0066271B">
        <w:rPr>
          <w:b/>
          <w:bCs/>
          <w:i/>
          <w:iCs/>
        </w:rPr>
        <w:t>Gulf War Theatre of Operations</w:t>
      </w:r>
      <w:r>
        <w:t xml:space="preserve"> is defined in the Schedule 1 – Dictionary.</w:t>
      </w:r>
    </w:p>
    <w:p w14:paraId="38FD6EA5" w14:textId="77777777" w:rsidR="000C21A3" w:rsidRPr="00684C0E" w:rsidRDefault="00D32F71" w:rsidP="00503619">
      <w:pPr>
        <w:pStyle w:val="LV1"/>
      </w:pPr>
      <w:bookmarkStart w:id="24" w:name="_Toc230012976"/>
      <w:bookmarkStart w:id="25" w:name="_Ref402530057"/>
      <w:bookmarkEnd w:id="22"/>
      <w:bookmarkEnd w:id="23"/>
      <w:r>
        <w:t>Relationship to s</w:t>
      </w:r>
      <w:r w:rsidR="000C21A3" w:rsidRPr="00684C0E">
        <w:t>ervice</w:t>
      </w:r>
      <w:bookmarkEnd w:id="24"/>
    </w:p>
    <w:p w14:paraId="6D8A8D73" w14:textId="57003F27" w:rsidR="00F03C06" w:rsidRPr="00187DE1" w:rsidRDefault="00F03C06" w:rsidP="00572775">
      <w:pPr>
        <w:pStyle w:val="PlainIndent"/>
      </w:pPr>
      <w:r w:rsidRPr="00187DE1">
        <w:t xml:space="preserve">The existence </w:t>
      </w:r>
      <w:r w:rsidR="00D32F71">
        <w:t xml:space="preserve">in a person </w:t>
      </w:r>
      <w:r w:rsidRPr="00187DE1">
        <w:t xml:space="preserve">of </w:t>
      </w:r>
      <w:r w:rsidR="003F76A7">
        <w:t>the</w:t>
      </w:r>
      <w:r w:rsidRPr="00187DE1">
        <w:t xml:space="preserve"> factor referred to in </w:t>
      </w:r>
      <w:r w:rsidR="00FF1D47">
        <w:t>section 8</w:t>
      </w:r>
      <w:r w:rsidRPr="00187DE1">
        <w:t>, must be related to the relevant service rendered by the person.</w:t>
      </w:r>
    </w:p>
    <w:p w14:paraId="6F05A79F" w14:textId="77777777" w:rsidR="00774897" w:rsidRPr="00301C54" w:rsidRDefault="00774897" w:rsidP="00503619">
      <w:pPr>
        <w:pStyle w:val="LV1"/>
      </w:pPr>
      <w:bookmarkStart w:id="26" w:name="_Toc230012977"/>
      <w:bookmarkEnd w:id="25"/>
      <w:r w:rsidRPr="00301C54">
        <w:t>Factors referring to an injury or disea</w:t>
      </w:r>
      <w:r w:rsidR="008B2204">
        <w:t>se covered by another Statement</w:t>
      </w:r>
      <w:r w:rsidRPr="00301C54">
        <w:t xml:space="preserve"> of Principles</w:t>
      </w:r>
      <w:bookmarkEnd w:id="26"/>
    </w:p>
    <w:p w14:paraId="46FC6663" w14:textId="77777777" w:rsidR="00F03C06" w:rsidRPr="00E64EE4" w:rsidRDefault="00F03C06" w:rsidP="006E1E5A">
      <w:pPr>
        <w:pStyle w:val="PlainIndent"/>
      </w:pPr>
      <w:r w:rsidRPr="00E64EE4">
        <w:t>In this Statement of Principles:</w:t>
      </w:r>
    </w:p>
    <w:p w14:paraId="5BF0C5E5" w14:textId="0ABEA0BD" w:rsidR="00F03C06" w:rsidRPr="00E64EE4" w:rsidRDefault="00F03C06" w:rsidP="006E1E5A">
      <w:pPr>
        <w:pStyle w:val="LV2"/>
      </w:pPr>
      <w:r w:rsidRPr="00E64EE4">
        <w:t xml:space="preserve">if </w:t>
      </w:r>
      <w:r w:rsidR="003F76A7">
        <w:t>the</w:t>
      </w:r>
      <w:r w:rsidRPr="00E64EE4">
        <w:t xml:space="preserve"> f</w:t>
      </w:r>
      <w:r w:rsidR="003802D6">
        <w:t xml:space="preserve">actor referred to in </w:t>
      </w:r>
      <w:r w:rsidR="00741718">
        <w:t>section</w:t>
      </w:r>
      <w:r w:rsidR="00A06E7A">
        <w:t xml:space="preserve"> 8</w:t>
      </w:r>
      <w:r w:rsidRPr="00E64EE4">
        <w:t xml:space="preserve"> applies in relation to a person; and </w:t>
      </w:r>
    </w:p>
    <w:p w14:paraId="3EE4CB8A" w14:textId="659C301B" w:rsidR="00733269" w:rsidRPr="00E64EE4" w:rsidRDefault="00F03C06" w:rsidP="006E1E5A">
      <w:pPr>
        <w:pStyle w:val="LV2"/>
      </w:pPr>
      <w:r w:rsidRPr="00E64EE4">
        <w:t>th</w:t>
      </w:r>
      <w:r w:rsidR="003F76A7">
        <w:t>e</w:t>
      </w:r>
      <w:r w:rsidRPr="00E64EE4">
        <w:t xml:space="preserve">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14:paraId="6A6155CE" w14:textId="35858796" w:rsidR="00F03C06" w:rsidRDefault="00733269" w:rsidP="006E1E5A">
      <w:pPr>
        <w:pStyle w:val="PlainIndent"/>
      </w:pPr>
      <w:r w:rsidRPr="00E64EE4">
        <w:t xml:space="preserve">then </w:t>
      </w:r>
      <w:r w:rsidR="00F03C06" w:rsidRPr="00E64EE4">
        <w:t>the factor in that Statement of Principles appl</w:t>
      </w:r>
      <w:r w:rsidR="003F76A7">
        <w:t>ies</w:t>
      </w:r>
      <w:r w:rsidR="00F03C06" w:rsidRPr="00E64EE4">
        <w:t xml:space="preserve"> in accordance with the terms of that Statement of Principles as in force from time to time.</w:t>
      </w:r>
    </w:p>
    <w:p w14:paraId="3325B686" w14:textId="77777777" w:rsidR="00782F4E" w:rsidRPr="00E64EE4" w:rsidRDefault="00782F4E" w:rsidP="006E1E5A">
      <w:pPr>
        <w:pStyle w:val="PlainIndent"/>
      </w:pPr>
    </w:p>
    <w:p w14:paraId="48D801BB" w14:textId="77777777" w:rsidR="00081B7C" w:rsidRPr="00FA33FB" w:rsidRDefault="00081B7C" w:rsidP="006E1E5A">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21C72E9D" w14:textId="77777777" w:rsidR="00F03C06" w:rsidRDefault="00F03C06" w:rsidP="006E1E5A">
      <w:pPr>
        <w:pStyle w:val="PlainIndent"/>
      </w:pPr>
    </w:p>
    <w:p w14:paraId="7154020B" w14:textId="77777777" w:rsidR="00CF2367" w:rsidRPr="00FA33FB" w:rsidRDefault="00CF2367" w:rsidP="002A3436">
      <w:pPr>
        <w:pStyle w:val="SHHeader"/>
      </w:pPr>
      <w:bookmarkStart w:id="27" w:name="opcAmSched"/>
      <w:bookmarkStart w:id="28" w:name="opcCurrentFind"/>
      <w:bookmarkStart w:id="29" w:name="_Toc230012978"/>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7"/>
      <w:bookmarkEnd w:id="28"/>
      <w:bookmarkEnd w:id="29"/>
      <w:r w:rsidRPr="00FA33FB">
        <w:rPr>
          <w:rStyle w:val="CharAmPartNo"/>
        </w:rPr>
        <w:t xml:space="preserve"> </w:t>
      </w:r>
      <w:r w:rsidRPr="00FA33FB">
        <w:rPr>
          <w:rStyle w:val="CharAmPartText"/>
        </w:rPr>
        <w:t xml:space="preserve"> </w:t>
      </w:r>
    </w:p>
    <w:p w14:paraId="3EDF4500" w14:textId="5EB7D074" w:rsidR="00702C42" w:rsidRPr="003F39C0" w:rsidRDefault="00702C42" w:rsidP="003F39C0">
      <w:pPr>
        <w:pStyle w:val="NOTEScheduleonly"/>
      </w:pPr>
      <w:r w:rsidRPr="003F39C0">
        <w:t>Note:</w:t>
      </w:r>
      <w:r w:rsidR="00AE67D2">
        <w:t xml:space="preserve"> </w:t>
      </w:r>
      <w:r w:rsidRPr="003F39C0">
        <w:t>See</w:t>
      </w:r>
      <w:r w:rsidR="00101F89" w:rsidRPr="003F39C0">
        <w:t xml:space="preserve"> Section</w:t>
      </w:r>
      <w:r w:rsidR="009056AF">
        <w:t xml:space="preserve"> 5</w:t>
      </w:r>
    </w:p>
    <w:p w14:paraId="1666E526" w14:textId="77777777" w:rsidR="00BD3334" w:rsidRDefault="00702C42" w:rsidP="00516768">
      <w:pPr>
        <w:pStyle w:val="SH1"/>
      </w:pPr>
      <w:bookmarkStart w:id="30" w:name="_Toc405472918"/>
      <w:bookmarkStart w:id="31" w:name="_Toc230012979"/>
      <w:r w:rsidRPr="00D97BB3">
        <w:t>Definitions</w:t>
      </w:r>
      <w:bookmarkEnd w:id="30"/>
      <w:bookmarkEnd w:id="31"/>
    </w:p>
    <w:p w14:paraId="0471959C" w14:textId="77777777" w:rsidR="00702C42" w:rsidRPr="00516768" w:rsidRDefault="00702C42" w:rsidP="006E1E5A">
      <w:pPr>
        <w:pStyle w:val="SH2"/>
      </w:pPr>
      <w:r w:rsidRPr="00516768">
        <w:t>In this instrument:</w:t>
      </w:r>
    </w:p>
    <w:p w14:paraId="29260237" w14:textId="77777777" w:rsidR="0066271B" w:rsidRPr="00513D05" w:rsidRDefault="0066271B" w:rsidP="0066271B">
      <w:pPr>
        <w:pStyle w:val="SH3"/>
        <w:ind w:left="851" w:hanging="851"/>
      </w:pPr>
      <w:bookmarkStart w:id="32" w:name="_Ref402530810"/>
      <w:r>
        <w:rPr>
          <w:b/>
          <w:i/>
        </w:rPr>
        <w:t>Gulf War Illness</w:t>
      </w:r>
      <w:r w:rsidRPr="00513D05">
        <w:t>—see subsection</w:t>
      </w:r>
      <w:r>
        <w:t xml:space="preserve"> 6(2).</w:t>
      </w:r>
    </w:p>
    <w:p w14:paraId="56D59E8E" w14:textId="77777777" w:rsidR="0066271B" w:rsidRPr="0066271B" w:rsidRDefault="0066271B" w:rsidP="00984EE9">
      <w:pPr>
        <w:pStyle w:val="SH3"/>
        <w:ind w:left="851" w:hanging="851"/>
      </w:pPr>
      <w:r w:rsidRPr="0066271B">
        <w:rPr>
          <w:b/>
          <w:i/>
        </w:rPr>
        <w:t xml:space="preserve">Gulf War Theatre of Operations </w:t>
      </w:r>
      <w:r w:rsidRPr="0066271B">
        <w:rPr>
          <w:bCs/>
          <w:iCs/>
        </w:rPr>
        <w:t xml:space="preserve">means a geographic area that encompasses: Iraq, Kuwait, Bahrain, Oman, Qatar, Saudi Arabia, the United Arab Emirates and the Island of Cyprus; and the sea areas contained within the Gulf of Suez, the Gulf of Aqaba, the Red Sea, the Gulf of Aden, the Persian Gulf, the Arabian Sea, the Gulf of Oman, the Suez Canal and Mediterranean Sea east of 030 degrees E.  </w:t>
      </w:r>
    </w:p>
    <w:p w14:paraId="14853AFF" w14:textId="5624A4DD"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14:paraId="5634FA63" w14:textId="77777777" w:rsidR="0090262E" w:rsidRPr="0090262E" w:rsidRDefault="0090262E" w:rsidP="0090262E">
      <w:pPr>
        <w:pStyle w:val="SH3"/>
        <w:ind w:left="851" w:hanging="851"/>
      </w:pPr>
      <w:bookmarkStart w:id="33" w:name="_Ref402529607"/>
      <w:bookmarkEnd w:id="32"/>
      <w:r w:rsidRPr="0090262E">
        <w:rPr>
          <w:b/>
          <w:i/>
        </w:rPr>
        <w:t>relevant service</w:t>
      </w:r>
      <w:r w:rsidRPr="0090262E">
        <w:t xml:space="preserve"> means:</w:t>
      </w:r>
    </w:p>
    <w:p w14:paraId="4976992E" w14:textId="77777777" w:rsidR="0090262E" w:rsidRPr="0090262E" w:rsidRDefault="0090262E" w:rsidP="00304166">
      <w:pPr>
        <w:pStyle w:val="SH4"/>
        <w:ind w:left="1418"/>
      </w:pPr>
      <w:r w:rsidRPr="0090262E">
        <w:t xml:space="preserve">operational service under the VEA; </w:t>
      </w:r>
    </w:p>
    <w:p w14:paraId="65DF6528" w14:textId="77777777" w:rsidR="0090262E" w:rsidRPr="0090262E" w:rsidRDefault="0090262E" w:rsidP="00304166">
      <w:pPr>
        <w:pStyle w:val="SH4"/>
        <w:ind w:left="1418"/>
      </w:pPr>
      <w:r w:rsidRPr="0090262E">
        <w:t xml:space="preserve">peacekeeping service under the VEA; </w:t>
      </w:r>
    </w:p>
    <w:p w14:paraId="46389B81" w14:textId="77777777" w:rsidR="0090262E" w:rsidRPr="0090262E" w:rsidRDefault="0090262E" w:rsidP="00304166">
      <w:pPr>
        <w:pStyle w:val="SH4"/>
        <w:ind w:left="1418"/>
      </w:pPr>
      <w:r w:rsidRPr="0090262E">
        <w:t xml:space="preserve">hazardous service under the VEA; </w:t>
      </w:r>
    </w:p>
    <w:p w14:paraId="04B273E4" w14:textId="77777777" w:rsidR="0090262E" w:rsidRPr="0090262E" w:rsidRDefault="0090262E" w:rsidP="00304166">
      <w:pPr>
        <w:pStyle w:val="SH4"/>
        <w:ind w:left="1418"/>
      </w:pPr>
      <w:r w:rsidRPr="0090262E">
        <w:t>British nuclear test defence service under the VEA;</w:t>
      </w:r>
    </w:p>
    <w:p w14:paraId="4D14A501" w14:textId="77777777" w:rsidR="0090262E" w:rsidRPr="0090262E" w:rsidRDefault="0090262E" w:rsidP="00304166">
      <w:pPr>
        <w:pStyle w:val="SH4"/>
        <w:ind w:left="1418"/>
      </w:pPr>
      <w:r w:rsidRPr="0090262E">
        <w:t>warlike service under the MRCA; or</w:t>
      </w:r>
    </w:p>
    <w:p w14:paraId="2C0AF387" w14:textId="77777777" w:rsidR="00885EAB" w:rsidRPr="0090262E" w:rsidRDefault="0090262E" w:rsidP="00304166">
      <w:pPr>
        <w:pStyle w:val="SH4"/>
        <w:ind w:left="1418"/>
      </w:pPr>
      <w:r w:rsidRPr="0090262E">
        <w:t>non-warlike service under the MRCA.</w:t>
      </w:r>
    </w:p>
    <w:p w14:paraId="3B2D458E" w14:textId="77777777" w:rsidR="005B76EA" w:rsidRPr="005B76EA" w:rsidRDefault="005B76EA" w:rsidP="00503619">
      <w:pPr>
        <w:pStyle w:val="ScheduleNote"/>
      </w:pPr>
      <w:r w:rsidRPr="005B76EA">
        <w:t xml:space="preserve">Note: </w:t>
      </w:r>
      <w:r w:rsidRPr="005B76EA">
        <w:rPr>
          <w:b/>
          <w:i/>
        </w:rPr>
        <w:t>MRCA</w:t>
      </w:r>
      <w:r w:rsidRPr="005B76EA">
        <w:t xml:space="preserve"> and </w:t>
      </w:r>
      <w:r w:rsidRPr="005B76EA">
        <w:rPr>
          <w:b/>
          <w:i/>
        </w:rPr>
        <w:t>VEA</w:t>
      </w:r>
      <w:r w:rsidRPr="005B76EA">
        <w:t xml:space="preserve"> are also defined in the Schedule 1 - Dictionary.</w:t>
      </w:r>
    </w:p>
    <w:p w14:paraId="62EE47E6"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3"/>
      <w:r w:rsidR="00513D05" w:rsidRPr="009C404D">
        <w:t xml:space="preserve"> </w:t>
      </w:r>
      <w:r w:rsidR="00885EAB" w:rsidRPr="009C404D">
        <w:t>the following:</w:t>
      </w:r>
    </w:p>
    <w:p w14:paraId="6A493A96" w14:textId="4CC4E741" w:rsidR="00885EAB" w:rsidRPr="00513D05" w:rsidRDefault="00885EAB" w:rsidP="00984EE9">
      <w:pPr>
        <w:pStyle w:val="SH4"/>
        <w:ind w:left="1418"/>
      </w:pPr>
      <w:r w:rsidRPr="00513D05">
        <w:t>pneumonia;</w:t>
      </w:r>
    </w:p>
    <w:p w14:paraId="16598C3F" w14:textId="38E87EC8" w:rsidR="00885EAB" w:rsidRPr="00513D05" w:rsidRDefault="00885EAB" w:rsidP="00984EE9">
      <w:pPr>
        <w:pStyle w:val="SH4"/>
        <w:ind w:left="1418"/>
      </w:pPr>
      <w:r w:rsidRPr="00513D05">
        <w:t>respiratory failure;</w:t>
      </w:r>
    </w:p>
    <w:p w14:paraId="04661B1E" w14:textId="4A549426" w:rsidR="00885EAB" w:rsidRPr="00513D05" w:rsidRDefault="00885EAB" w:rsidP="00984EE9">
      <w:pPr>
        <w:pStyle w:val="SH4"/>
        <w:ind w:left="1418"/>
      </w:pPr>
      <w:r w:rsidRPr="00513D05">
        <w:t>cardiac arrest;</w:t>
      </w:r>
    </w:p>
    <w:p w14:paraId="5C2AF349" w14:textId="29C45950" w:rsidR="00885EAB" w:rsidRPr="00513D05" w:rsidRDefault="00885EAB" w:rsidP="00984EE9">
      <w:pPr>
        <w:pStyle w:val="SH4"/>
        <w:ind w:left="1418"/>
      </w:pPr>
      <w:r w:rsidRPr="00513D05">
        <w:t>circulatory failure;</w:t>
      </w:r>
      <w:r w:rsidR="002376A0">
        <w:t xml:space="preserve"> or</w:t>
      </w:r>
    </w:p>
    <w:p w14:paraId="76C429DB" w14:textId="6CA30DEE" w:rsidR="00BD3334" w:rsidRPr="00BD3334" w:rsidRDefault="00885EAB" w:rsidP="00984EE9">
      <w:pPr>
        <w:pStyle w:val="SH4"/>
        <w:ind w:left="1418"/>
      </w:pPr>
      <w:r w:rsidRPr="00513D05">
        <w:t>cessation of brain function.</w:t>
      </w:r>
    </w:p>
    <w:p w14:paraId="5E86BDCD" w14:textId="77777777"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15109">
        <w:rPr>
          <w:i/>
        </w:rPr>
        <w:t>'</w:t>
      </w:r>
      <w:r w:rsidRPr="0019084F">
        <w:rPr>
          <w:i/>
        </w:rPr>
        <w:t xml:space="preserve"> Entitlements Act 1986</w:t>
      </w:r>
      <w:r w:rsidRPr="0019084F">
        <w:t>.</w:t>
      </w:r>
    </w:p>
    <w:p w14:paraId="722C5C6D" w14:textId="77777777" w:rsidR="00CF2367" w:rsidRPr="00FA33FB" w:rsidRDefault="00CF2367" w:rsidP="00CF2367"/>
    <w:p w14:paraId="2AE2C493"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589C025C"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FF682" w14:textId="77777777" w:rsidR="00762F25" w:rsidRDefault="00762F25" w:rsidP="00715914">
      <w:pPr>
        <w:spacing w:line="240" w:lineRule="auto"/>
      </w:pPr>
      <w:r>
        <w:separator/>
      </w:r>
    </w:p>
  </w:endnote>
  <w:endnote w:type="continuationSeparator" w:id="0">
    <w:p w14:paraId="32035334" w14:textId="77777777" w:rsidR="00762F25" w:rsidRDefault="00762F2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3467" w14:textId="77777777" w:rsidR="0073640D" w:rsidRPr="00E33C1C" w:rsidRDefault="0073640D" w:rsidP="0073640D">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73640D" w:rsidRPr="00C01863" w14:paraId="16E612FE" w14:textId="77777777" w:rsidTr="00CC061E">
      <w:tc>
        <w:tcPr>
          <w:tcW w:w="709" w:type="dxa"/>
          <w:tcBorders>
            <w:top w:val="nil"/>
            <w:left w:val="nil"/>
            <w:bottom w:val="nil"/>
            <w:right w:val="nil"/>
          </w:tcBorders>
        </w:tcPr>
        <w:p w14:paraId="3B3A3340" w14:textId="77777777" w:rsidR="0073640D" w:rsidRPr="00C01863" w:rsidRDefault="0073640D" w:rsidP="0073640D">
          <w:pPr>
            <w:spacing w:line="0" w:lineRule="atLeast"/>
            <w:rPr>
              <w:sz w:val="18"/>
            </w:rPr>
          </w:pPr>
        </w:p>
      </w:tc>
      <w:tc>
        <w:tcPr>
          <w:tcW w:w="7229" w:type="dxa"/>
          <w:tcBorders>
            <w:top w:val="nil"/>
            <w:left w:val="nil"/>
            <w:bottom w:val="nil"/>
            <w:right w:val="nil"/>
          </w:tcBorders>
        </w:tcPr>
        <w:p w14:paraId="42CD0461" w14:textId="77777777" w:rsidR="0073640D" w:rsidRDefault="0073640D" w:rsidP="0073640D">
          <w:pPr>
            <w:spacing w:line="0" w:lineRule="atLeast"/>
            <w:jc w:val="center"/>
            <w:rPr>
              <w:i/>
              <w:sz w:val="18"/>
            </w:rPr>
          </w:pPr>
          <w:r w:rsidRPr="007C5CE0">
            <w:rPr>
              <w:i/>
              <w:sz w:val="18"/>
            </w:rPr>
            <w:t>Statement of Principles concerning</w:t>
          </w:r>
        </w:p>
        <w:p w14:paraId="4E2DC6D1" w14:textId="2F97FA29" w:rsidR="0073640D" w:rsidRDefault="006D501F" w:rsidP="0073640D">
          <w:pPr>
            <w:spacing w:line="0" w:lineRule="atLeast"/>
            <w:jc w:val="center"/>
            <w:rPr>
              <w:i/>
              <w:sz w:val="18"/>
              <w:szCs w:val="18"/>
            </w:rPr>
          </w:pPr>
          <w:r>
            <w:rPr>
              <w:i/>
              <w:sz w:val="18"/>
              <w:szCs w:val="18"/>
            </w:rPr>
            <w:t>Gulf War Illness</w:t>
          </w:r>
          <w:r w:rsidR="0073640D">
            <w:rPr>
              <w:i/>
              <w:sz w:val="18"/>
              <w:szCs w:val="18"/>
            </w:rPr>
            <w:t xml:space="preserve"> (Reasonable Hypothesis) </w:t>
          </w:r>
          <w:r w:rsidR="0073640D" w:rsidRPr="007C5CE0">
            <w:rPr>
              <w:i/>
              <w:sz w:val="18"/>
            </w:rPr>
            <w:t xml:space="preserve">(No. </w:t>
          </w:r>
          <w:r w:rsidR="009A436C">
            <w:rPr>
              <w:i/>
              <w:sz w:val="18"/>
            </w:rPr>
            <w:t>47</w:t>
          </w:r>
          <w:r w:rsidR="0073640D" w:rsidRPr="007C5CE0">
            <w:rPr>
              <w:i/>
              <w:sz w:val="18"/>
              <w:szCs w:val="18"/>
            </w:rPr>
            <w:t xml:space="preserve"> of </w:t>
          </w:r>
          <w:r>
            <w:rPr>
              <w:i/>
              <w:sz w:val="18"/>
              <w:szCs w:val="18"/>
            </w:rPr>
            <w:t>2026</w:t>
          </w:r>
          <w:r w:rsidR="0073640D" w:rsidRPr="007C5CE0">
            <w:rPr>
              <w:i/>
              <w:sz w:val="18"/>
              <w:szCs w:val="18"/>
            </w:rPr>
            <w:t>)</w:t>
          </w:r>
        </w:p>
        <w:p w14:paraId="4D312800" w14:textId="77777777" w:rsidR="0073640D" w:rsidRPr="007C5CE0" w:rsidRDefault="0073640D" w:rsidP="0073640D">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71D86D4D" w14:textId="77777777" w:rsidR="0073640D" w:rsidRPr="00C01863" w:rsidRDefault="0073640D" w:rsidP="0073640D">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53587">
            <w:rPr>
              <w:i/>
              <w:noProof/>
              <w:sz w:val="18"/>
            </w:rPr>
            <w:t>5</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953587">
            <w:rPr>
              <w:i/>
              <w:noProof/>
              <w:sz w:val="18"/>
            </w:rPr>
            <w:t>5</w:t>
          </w:r>
          <w:r>
            <w:rPr>
              <w:i/>
              <w:sz w:val="18"/>
            </w:rPr>
            <w:fldChar w:fldCharType="end"/>
          </w:r>
        </w:p>
      </w:tc>
    </w:tr>
  </w:tbl>
  <w:p w14:paraId="13736308" w14:textId="77777777" w:rsidR="0073640D" w:rsidRPr="000D6A16" w:rsidRDefault="0073640D" w:rsidP="00736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F53E" w14:textId="77777777" w:rsidR="0073640D" w:rsidRPr="00E33C1C" w:rsidRDefault="0073640D" w:rsidP="0073640D">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73640D" w:rsidRPr="00C01863" w14:paraId="33FE7C89" w14:textId="77777777" w:rsidTr="00CC061E">
      <w:tc>
        <w:tcPr>
          <w:tcW w:w="709" w:type="dxa"/>
          <w:tcBorders>
            <w:top w:val="nil"/>
            <w:left w:val="nil"/>
            <w:bottom w:val="nil"/>
            <w:right w:val="nil"/>
          </w:tcBorders>
        </w:tcPr>
        <w:p w14:paraId="7626292E" w14:textId="77777777" w:rsidR="0073640D" w:rsidRPr="00C01863" w:rsidRDefault="0073640D" w:rsidP="0073640D">
          <w:pPr>
            <w:spacing w:line="0" w:lineRule="atLeast"/>
            <w:rPr>
              <w:sz w:val="18"/>
            </w:rPr>
          </w:pPr>
        </w:p>
      </w:tc>
      <w:tc>
        <w:tcPr>
          <w:tcW w:w="7229" w:type="dxa"/>
          <w:tcBorders>
            <w:top w:val="nil"/>
            <w:left w:val="nil"/>
            <w:bottom w:val="nil"/>
            <w:right w:val="nil"/>
          </w:tcBorders>
        </w:tcPr>
        <w:p w14:paraId="3106CBDD" w14:textId="77777777" w:rsidR="0073640D" w:rsidRDefault="0073640D" w:rsidP="0073640D">
          <w:pPr>
            <w:spacing w:line="0" w:lineRule="atLeast"/>
            <w:jc w:val="center"/>
            <w:rPr>
              <w:i/>
              <w:sz w:val="18"/>
            </w:rPr>
          </w:pPr>
          <w:r w:rsidRPr="007C5CE0">
            <w:rPr>
              <w:i/>
              <w:sz w:val="18"/>
            </w:rPr>
            <w:t>Statement of Principles concerning</w:t>
          </w:r>
        </w:p>
        <w:p w14:paraId="6CC7A464" w14:textId="10132D3D" w:rsidR="0073640D" w:rsidRDefault="006D501F" w:rsidP="0073640D">
          <w:pPr>
            <w:spacing w:line="0" w:lineRule="atLeast"/>
            <w:jc w:val="center"/>
            <w:rPr>
              <w:i/>
              <w:sz w:val="18"/>
              <w:szCs w:val="18"/>
            </w:rPr>
          </w:pPr>
          <w:r>
            <w:rPr>
              <w:i/>
              <w:sz w:val="18"/>
              <w:szCs w:val="18"/>
            </w:rPr>
            <w:t xml:space="preserve">Gulf War Illness </w:t>
          </w:r>
          <w:r w:rsidR="0073640D">
            <w:rPr>
              <w:i/>
              <w:sz w:val="18"/>
              <w:szCs w:val="18"/>
            </w:rPr>
            <w:t xml:space="preserve">(Reasonable Hypothesis) </w:t>
          </w:r>
          <w:r w:rsidR="0073640D" w:rsidRPr="007C5CE0">
            <w:rPr>
              <w:i/>
              <w:sz w:val="18"/>
            </w:rPr>
            <w:t xml:space="preserve">(No </w:t>
          </w:r>
          <w:r w:rsidR="009A436C">
            <w:rPr>
              <w:i/>
              <w:sz w:val="18"/>
            </w:rPr>
            <w:t>47</w:t>
          </w:r>
          <w:r>
            <w:rPr>
              <w:i/>
              <w:sz w:val="18"/>
            </w:rPr>
            <w:t xml:space="preserve"> </w:t>
          </w:r>
          <w:r w:rsidR="0073640D" w:rsidRPr="007C5CE0">
            <w:rPr>
              <w:i/>
              <w:sz w:val="18"/>
              <w:szCs w:val="18"/>
            </w:rPr>
            <w:t>of</w:t>
          </w:r>
          <w:r>
            <w:rPr>
              <w:i/>
              <w:sz w:val="18"/>
              <w:szCs w:val="18"/>
            </w:rPr>
            <w:t xml:space="preserve"> 2026</w:t>
          </w:r>
          <w:r w:rsidR="0073640D" w:rsidRPr="007C5CE0">
            <w:rPr>
              <w:i/>
              <w:sz w:val="18"/>
              <w:szCs w:val="18"/>
            </w:rPr>
            <w:t>)</w:t>
          </w:r>
        </w:p>
        <w:p w14:paraId="41FA78A1" w14:textId="77777777" w:rsidR="0073640D" w:rsidRPr="007C5CE0" w:rsidRDefault="0073640D" w:rsidP="0073640D">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0F28C55" w14:textId="77777777" w:rsidR="0073640D" w:rsidRPr="00C01863" w:rsidRDefault="0073640D" w:rsidP="0073640D">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53587">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953587">
            <w:rPr>
              <w:i/>
              <w:noProof/>
              <w:sz w:val="18"/>
            </w:rPr>
            <w:t>5</w:t>
          </w:r>
          <w:r>
            <w:rPr>
              <w:i/>
              <w:sz w:val="18"/>
            </w:rPr>
            <w:fldChar w:fldCharType="end"/>
          </w:r>
        </w:p>
      </w:tc>
    </w:tr>
  </w:tbl>
  <w:p w14:paraId="44FC5D93" w14:textId="77777777" w:rsidR="0073640D" w:rsidRPr="000D6A16" w:rsidRDefault="0073640D" w:rsidP="00736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0AEE" w14:textId="77777777" w:rsidR="00997416" w:rsidRPr="0073640D" w:rsidRDefault="00997416" w:rsidP="007364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DCA2" w14:textId="77777777" w:rsidR="00885EAB" w:rsidRPr="00197073" w:rsidRDefault="00885EAB" w:rsidP="001970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2A7E"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4198" w14:textId="77777777" w:rsidR="00885EAB" w:rsidRPr="001861BB" w:rsidRDefault="00885EAB" w:rsidP="001861B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AF63" w14:textId="77777777" w:rsidR="00885EAB" w:rsidRPr="0073640D" w:rsidRDefault="00885EAB" w:rsidP="0073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6185A" w14:textId="77777777" w:rsidR="00762F25" w:rsidRDefault="00762F25" w:rsidP="00715914">
      <w:pPr>
        <w:spacing w:line="240" w:lineRule="auto"/>
      </w:pPr>
      <w:r>
        <w:separator/>
      </w:r>
    </w:p>
  </w:footnote>
  <w:footnote w:type="continuationSeparator" w:id="0">
    <w:p w14:paraId="27B695E5" w14:textId="77777777" w:rsidR="00762F25" w:rsidRDefault="00762F2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D192" w14:textId="405DC815" w:rsidR="0073640D" w:rsidRPr="00657233" w:rsidRDefault="0073640D" w:rsidP="00657233">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43C3" w14:textId="77777777" w:rsidR="00885EAB" w:rsidRPr="0073640D" w:rsidRDefault="00885EAB" w:rsidP="00736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8619" w14:textId="77777777" w:rsidR="0073640D" w:rsidRDefault="0073640D" w:rsidP="0073640D">
    <w:pPr>
      <w:rPr>
        <w:sz w:val="20"/>
      </w:rPr>
    </w:pPr>
    <w:r>
      <w:rPr>
        <w:b/>
        <w:noProof/>
        <w:sz w:val="20"/>
      </w:rPr>
      <w:t>Schedule 1</w:t>
    </w:r>
    <w:r>
      <w:rPr>
        <w:sz w:val="20"/>
      </w:rPr>
      <w:t xml:space="preserve"> - </w:t>
    </w:r>
    <w:r>
      <w:rPr>
        <w:noProof/>
        <w:sz w:val="20"/>
      </w:rPr>
      <w:t>Dictionary</w:t>
    </w:r>
  </w:p>
  <w:p w14:paraId="32181BEA" w14:textId="77777777" w:rsidR="0073640D" w:rsidRDefault="0073640D" w:rsidP="0073640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4391"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3EE5" w14:textId="77777777" w:rsidR="00885EAB" w:rsidRPr="0073640D" w:rsidRDefault="00885EAB" w:rsidP="007364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D41B" w14:textId="77777777" w:rsidR="00885EAB" w:rsidRPr="0073640D" w:rsidRDefault="00885EAB" w:rsidP="007364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137F"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212DD"/>
    <w:multiLevelType w:val="hybridMultilevel"/>
    <w:tmpl w:val="AA2AB592"/>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03B97D52"/>
    <w:multiLevelType w:val="multilevel"/>
    <w:tmpl w:val="6FBC12F6"/>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upperRoman"/>
      <w:pStyle w:val="LV4"/>
      <w:lvlText w:val="%4."/>
      <w:lvlJc w:val="right"/>
      <w:pPr>
        <w:ind w:left="2487" w:hanging="360"/>
      </w:pPr>
    </w:lvl>
    <w:lvl w:ilvl="4">
      <w:start w:val="1"/>
      <w:numFmt w:val="lowerRoman"/>
      <w:pStyle w:val="LV5"/>
      <w:lvlText w:val="%5."/>
      <w:lvlJc w:val="right"/>
      <w:pPr>
        <w:ind w:left="2968" w:hanging="360"/>
      </w:p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2" w15:restartNumberingAfterBreak="0">
    <w:nsid w:val="05BE6A31"/>
    <w:multiLevelType w:val="hybridMultilevel"/>
    <w:tmpl w:val="4B3C987C"/>
    <w:lvl w:ilvl="0" w:tplc="0C09001B">
      <w:start w:val="1"/>
      <w:numFmt w:val="lowerRoman"/>
      <w:lvlText w:val="%1."/>
      <w:lvlJc w:val="right"/>
      <w:pPr>
        <w:ind w:left="1571" w:hanging="360"/>
      </w:pPr>
    </w:lvl>
    <w:lvl w:ilvl="1" w:tplc="0C090019">
      <w:start w:val="1"/>
      <w:numFmt w:val="lowerLetter"/>
      <w:lvlText w:val="%2."/>
      <w:lvlJc w:val="left"/>
      <w:pPr>
        <w:ind w:left="2291" w:hanging="360"/>
      </w:pPr>
    </w:lvl>
    <w:lvl w:ilvl="2" w:tplc="0C09001B">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4" w15:restartNumberingAfterBreak="0">
    <w:nsid w:val="1744442A"/>
    <w:multiLevelType w:val="hybridMultilevel"/>
    <w:tmpl w:val="8670DD00"/>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18564AF5"/>
    <w:multiLevelType w:val="hybridMultilevel"/>
    <w:tmpl w:val="BBE26728"/>
    <w:lvl w:ilvl="0" w:tplc="1AF0D1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A23EE7"/>
    <w:multiLevelType w:val="hybridMultilevel"/>
    <w:tmpl w:val="209ED762"/>
    <w:lvl w:ilvl="0" w:tplc="662074F4">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7" w15:restartNumberingAfterBreak="0">
    <w:nsid w:val="1BAF4CFE"/>
    <w:multiLevelType w:val="hybridMultilevel"/>
    <w:tmpl w:val="DC0C5496"/>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26D32251"/>
    <w:multiLevelType w:val="hybridMultilevel"/>
    <w:tmpl w:val="6F80FAB2"/>
    <w:lvl w:ilvl="0" w:tplc="0C09001B">
      <w:start w:val="1"/>
      <w:numFmt w:val="lowerRoman"/>
      <w:lvlText w:val="%1."/>
      <w:lvlJc w:val="righ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9" w15:restartNumberingAfterBreak="0">
    <w:nsid w:val="2A0542A1"/>
    <w:multiLevelType w:val="hybridMultilevel"/>
    <w:tmpl w:val="B5E21244"/>
    <w:lvl w:ilvl="0" w:tplc="0C090013">
      <w:start w:val="1"/>
      <w:numFmt w:val="upp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2AA779CC"/>
    <w:multiLevelType w:val="hybridMultilevel"/>
    <w:tmpl w:val="A802EE26"/>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22"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23" w15:restartNumberingAfterBreak="0">
    <w:nsid w:val="33213835"/>
    <w:multiLevelType w:val="hybridMultilevel"/>
    <w:tmpl w:val="22242D6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47413966"/>
    <w:multiLevelType w:val="hybridMultilevel"/>
    <w:tmpl w:val="9D7C3E88"/>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626A3F2C"/>
    <w:multiLevelType w:val="hybridMultilevel"/>
    <w:tmpl w:val="3390A11E"/>
    <w:lvl w:ilvl="0" w:tplc="FFFFFFFF">
      <w:start w:val="1"/>
      <w:numFmt w:val="lowerRoman"/>
      <w:lvlText w:val="%1."/>
      <w:lvlJc w:val="right"/>
      <w:pPr>
        <w:ind w:left="1571" w:hanging="360"/>
      </w:pPr>
    </w:lvl>
    <w:lvl w:ilvl="1" w:tplc="0C09001B">
      <w:start w:val="1"/>
      <w:numFmt w:val="lowerRoman"/>
      <w:lvlText w:val="%2."/>
      <w:lvlJc w:val="righ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7" w15:restartNumberingAfterBreak="0">
    <w:nsid w:val="6791036F"/>
    <w:multiLevelType w:val="hybridMultilevel"/>
    <w:tmpl w:val="E3A2646E"/>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712B602F"/>
    <w:multiLevelType w:val="hybridMultilevel"/>
    <w:tmpl w:val="7F489328"/>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7F7173FD"/>
    <w:multiLevelType w:val="hybridMultilevel"/>
    <w:tmpl w:val="08E8FF86"/>
    <w:lvl w:ilvl="0" w:tplc="FFFFFFFF">
      <w:start w:val="1"/>
      <w:numFmt w:val="lowerRoman"/>
      <w:lvlText w:val="%1."/>
      <w:lvlJc w:val="right"/>
      <w:pPr>
        <w:ind w:left="1571" w:hanging="360"/>
      </w:pPr>
    </w:lvl>
    <w:lvl w:ilvl="1" w:tplc="0C09001B">
      <w:start w:val="1"/>
      <w:numFmt w:val="lowerRoman"/>
      <w:lvlText w:val="%2."/>
      <w:lvlJc w:val="righ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16cid:durableId="1831098196">
    <w:abstractNumId w:val="24"/>
  </w:num>
  <w:num w:numId="2" w16cid:durableId="1035423351">
    <w:abstractNumId w:val="21"/>
  </w:num>
  <w:num w:numId="3" w16cid:durableId="737559573">
    <w:abstractNumId w:val="13"/>
  </w:num>
  <w:num w:numId="4" w16cid:durableId="1129786667">
    <w:abstractNumId w:val="11"/>
  </w:num>
  <w:num w:numId="5" w16cid:durableId="1219782928">
    <w:abstractNumId w:val="22"/>
  </w:num>
  <w:num w:numId="6" w16cid:durableId="17686982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5457196">
    <w:abstractNumId w:val="9"/>
  </w:num>
  <w:num w:numId="8" w16cid:durableId="1879313890">
    <w:abstractNumId w:val="7"/>
  </w:num>
  <w:num w:numId="9" w16cid:durableId="134029176">
    <w:abstractNumId w:val="6"/>
  </w:num>
  <w:num w:numId="10" w16cid:durableId="153180095">
    <w:abstractNumId w:val="5"/>
  </w:num>
  <w:num w:numId="11" w16cid:durableId="424769802">
    <w:abstractNumId w:val="4"/>
  </w:num>
  <w:num w:numId="12" w16cid:durableId="1526678104">
    <w:abstractNumId w:val="8"/>
  </w:num>
  <w:num w:numId="13" w16cid:durableId="392388561">
    <w:abstractNumId w:val="3"/>
  </w:num>
  <w:num w:numId="14" w16cid:durableId="2025593112">
    <w:abstractNumId w:val="2"/>
  </w:num>
  <w:num w:numId="15" w16cid:durableId="217742605">
    <w:abstractNumId w:val="1"/>
  </w:num>
  <w:num w:numId="16" w16cid:durableId="426733046">
    <w:abstractNumId w:val="0"/>
  </w:num>
  <w:num w:numId="17" w16cid:durableId="1451632647">
    <w:abstractNumId w:val="11"/>
  </w:num>
  <w:num w:numId="18" w16cid:durableId="1770660258">
    <w:abstractNumId w:val="11"/>
  </w:num>
  <w:num w:numId="19" w16cid:durableId="3322211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1363949">
    <w:abstractNumId w:val="16"/>
  </w:num>
  <w:num w:numId="21" w16cid:durableId="886842778">
    <w:abstractNumId w:val="11"/>
  </w:num>
  <w:num w:numId="22" w16cid:durableId="1546912211">
    <w:abstractNumId w:val="15"/>
  </w:num>
  <w:num w:numId="23" w16cid:durableId="1528912419">
    <w:abstractNumId w:val="20"/>
  </w:num>
  <w:num w:numId="24" w16cid:durableId="403383381">
    <w:abstractNumId w:val="10"/>
  </w:num>
  <w:num w:numId="25" w16cid:durableId="901597262">
    <w:abstractNumId w:val="17"/>
  </w:num>
  <w:num w:numId="26" w16cid:durableId="1528836050">
    <w:abstractNumId w:val="25"/>
  </w:num>
  <w:num w:numId="27" w16cid:durableId="929851958">
    <w:abstractNumId w:val="27"/>
  </w:num>
  <w:num w:numId="28" w16cid:durableId="1261374013">
    <w:abstractNumId w:val="28"/>
  </w:num>
  <w:num w:numId="29" w16cid:durableId="2058966976">
    <w:abstractNumId w:val="14"/>
  </w:num>
  <w:num w:numId="30" w16cid:durableId="1259943406">
    <w:abstractNumId w:val="23"/>
  </w:num>
  <w:num w:numId="31" w16cid:durableId="409425412">
    <w:abstractNumId w:val="19"/>
  </w:num>
  <w:num w:numId="32" w16cid:durableId="1447894178">
    <w:abstractNumId w:val="18"/>
  </w:num>
  <w:num w:numId="33" w16cid:durableId="2002080312">
    <w:abstractNumId w:val="29"/>
  </w:num>
  <w:num w:numId="34" w16cid:durableId="2030252178">
    <w:abstractNumId w:val="12"/>
  </w:num>
  <w:num w:numId="35" w16cid:durableId="110442246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formsDesig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2431"/>
    <w:rsid w:val="00004470"/>
    <w:rsid w:val="000136AF"/>
    <w:rsid w:val="0001587D"/>
    <w:rsid w:val="00024911"/>
    <w:rsid w:val="00025050"/>
    <w:rsid w:val="00032E05"/>
    <w:rsid w:val="000437C1"/>
    <w:rsid w:val="00046E67"/>
    <w:rsid w:val="00051B75"/>
    <w:rsid w:val="0005365D"/>
    <w:rsid w:val="00054930"/>
    <w:rsid w:val="000614BF"/>
    <w:rsid w:val="00061E3E"/>
    <w:rsid w:val="00081B7C"/>
    <w:rsid w:val="00085567"/>
    <w:rsid w:val="0008674F"/>
    <w:rsid w:val="00097FDF"/>
    <w:rsid w:val="000A3D68"/>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FE9"/>
    <w:rsid w:val="00141DBE"/>
    <w:rsid w:val="00142B62"/>
    <w:rsid w:val="0015201F"/>
    <w:rsid w:val="00157B8B"/>
    <w:rsid w:val="00161A8E"/>
    <w:rsid w:val="001648F7"/>
    <w:rsid w:val="00166C2F"/>
    <w:rsid w:val="00167E0C"/>
    <w:rsid w:val="001732A5"/>
    <w:rsid w:val="001809D7"/>
    <w:rsid w:val="00181D41"/>
    <w:rsid w:val="001833C8"/>
    <w:rsid w:val="001861BB"/>
    <w:rsid w:val="00187DE1"/>
    <w:rsid w:val="0019084F"/>
    <w:rsid w:val="001939E1"/>
    <w:rsid w:val="00194C3E"/>
    <w:rsid w:val="00195382"/>
    <w:rsid w:val="00197073"/>
    <w:rsid w:val="001B0F26"/>
    <w:rsid w:val="001C2AD2"/>
    <w:rsid w:val="001C61C5"/>
    <w:rsid w:val="001C69C4"/>
    <w:rsid w:val="001C77EE"/>
    <w:rsid w:val="001D2262"/>
    <w:rsid w:val="001D37EF"/>
    <w:rsid w:val="001D407A"/>
    <w:rsid w:val="001D67F6"/>
    <w:rsid w:val="001E3590"/>
    <w:rsid w:val="001E44BE"/>
    <w:rsid w:val="001E6D70"/>
    <w:rsid w:val="001E7407"/>
    <w:rsid w:val="001F5D5E"/>
    <w:rsid w:val="001F6219"/>
    <w:rsid w:val="001F6CD4"/>
    <w:rsid w:val="002014AA"/>
    <w:rsid w:val="00206C4D"/>
    <w:rsid w:val="0021053C"/>
    <w:rsid w:val="00214488"/>
    <w:rsid w:val="00215860"/>
    <w:rsid w:val="00215AF1"/>
    <w:rsid w:val="00223E2C"/>
    <w:rsid w:val="00225CBD"/>
    <w:rsid w:val="00226ECC"/>
    <w:rsid w:val="002321E8"/>
    <w:rsid w:val="002335D0"/>
    <w:rsid w:val="00236EEC"/>
    <w:rsid w:val="00237471"/>
    <w:rsid w:val="002376A0"/>
    <w:rsid w:val="00237BAF"/>
    <w:rsid w:val="0024010F"/>
    <w:rsid w:val="00240749"/>
    <w:rsid w:val="00243018"/>
    <w:rsid w:val="00256119"/>
    <w:rsid w:val="002564A4"/>
    <w:rsid w:val="002650E6"/>
    <w:rsid w:val="0026736C"/>
    <w:rsid w:val="002716E4"/>
    <w:rsid w:val="002717B2"/>
    <w:rsid w:val="002773D7"/>
    <w:rsid w:val="00280B57"/>
    <w:rsid w:val="00281308"/>
    <w:rsid w:val="00281DF7"/>
    <w:rsid w:val="00284719"/>
    <w:rsid w:val="00297ECB"/>
    <w:rsid w:val="002A1ECC"/>
    <w:rsid w:val="002A3436"/>
    <w:rsid w:val="002A7BCF"/>
    <w:rsid w:val="002B45FA"/>
    <w:rsid w:val="002B5188"/>
    <w:rsid w:val="002B6C03"/>
    <w:rsid w:val="002C7539"/>
    <w:rsid w:val="002D043A"/>
    <w:rsid w:val="002D2AA2"/>
    <w:rsid w:val="002D6224"/>
    <w:rsid w:val="002E35CD"/>
    <w:rsid w:val="002E3F4B"/>
    <w:rsid w:val="002F56B1"/>
    <w:rsid w:val="002F5948"/>
    <w:rsid w:val="002F6582"/>
    <w:rsid w:val="002F77A1"/>
    <w:rsid w:val="00301C54"/>
    <w:rsid w:val="00304166"/>
    <w:rsid w:val="00304F8B"/>
    <w:rsid w:val="0033221D"/>
    <w:rsid w:val="003354D2"/>
    <w:rsid w:val="00335BC6"/>
    <w:rsid w:val="003415D3"/>
    <w:rsid w:val="00344701"/>
    <w:rsid w:val="00350CCF"/>
    <w:rsid w:val="00352B0F"/>
    <w:rsid w:val="00356690"/>
    <w:rsid w:val="00356FAA"/>
    <w:rsid w:val="00360459"/>
    <w:rsid w:val="00365E25"/>
    <w:rsid w:val="00367D9C"/>
    <w:rsid w:val="003734C6"/>
    <w:rsid w:val="00375BB3"/>
    <w:rsid w:val="003802D6"/>
    <w:rsid w:val="00385187"/>
    <w:rsid w:val="003A189F"/>
    <w:rsid w:val="003A2FFE"/>
    <w:rsid w:val="003A5C26"/>
    <w:rsid w:val="003B3E42"/>
    <w:rsid w:val="003C4C02"/>
    <w:rsid w:val="003C6231"/>
    <w:rsid w:val="003D0BFE"/>
    <w:rsid w:val="003D380A"/>
    <w:rsid w:val="003D5700"/>
    <w:rsid w:val="003E341B"/>
    <w:rsid w:val="003F39C0"/>
    <w:rsid w:val="003F4535"/>
    <w:rsid w:val="003F76A7"/>
    <w:rsid w:val="004116CD"/>
    <w:rsid w:val="0041386E"/>
    <w:rsid w:val="004144EC"/>
    <w:rsid w:val="00415109"/>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2FEA"/>
    <w:rsid w:val="004D4BCA"/>
    <w:rsid w:val="004E063A"/>
    <w:rsid w:val="004E7BEC"/>
    <w:rsid w:val="004F23E0"/>
    <w:rsid w:val="00503619"/>
    <w:rsid w:val="00505D3D"/>
    <w:rsid w:val="00506AF6"/>
    <w:rsid w:val="0051398B"/>
    <w:rsid w:val="00513D05"/>
    <w:rsid w:val="00516768"/>
    <w:rsid w:val="00516B8D"/>
    <w:rsid w:val="005226B5"/>
    <w:rsid w:val="005268CF"/>
    <w:rsid w:val="0053697E"/>
    <w:rsid w:val="00537FBC"/>
    <w:rsid w:val="00545116"/>
    <w:rsid w:val="005566A1"/>
    <w:rsid w:val="005574D1"/>
    <w:rsid w:val="00571FBB"/>
    <w:rsid w:val="00572775"/>
    <w:rsid w:val="00575A90"/>
    <w:rsid w:val="00584811"/>
    <w:rsid w:val="00585784"/>
    <w:rsid w:val="00593AA6"/>
    <w:rsid w:val="00594161"/>
    <w:rsid w:val="00594749"/>
    <w:rsid w:val="005B05D3"/>
    <w:rsid w:val="005B4067"/>
    <w:rsid w:val="005B76EA"/>
    <w:rsid w:val="005C3F41"/>
    <w:rsid w:val="005C7B57"/>
    <w:rsid w:val="005D2D09"/>
    <w:rsid w:val="005E589B"/>
    <w:rsid w:val="005E7FC2"/>
    <w:rsid w:val="00600219"/>
    <w:rsid w:val="006013B7"/>
    <w:rsid w:val="00603D01"/>
    <w:rsid w:val="00603DC4"/>
    <w:rsid w:val="00615B89"/>
    <w:rsid w:val="00616FF5"/>
    <w:rsid w:val="00617C4E"/>
    <w:rsid w:val="00620076"/>
    <w:rsid w:val="006314DD"/>
    <w:rsid w:val="00657233"/>
    <w:rsid w:val="0066266D"/>
    <w:rsid w:val="0066271B"/>
    <w:rsid w:val="006647B7"/>
    <w:rsid w:val="0066782B"/>
    <w:rsid w:val="00667A4E"/>
    <w:rsid w:val="00670EA1"/>
    <w:rsid w:val="006712CD"/>
    <w:rsid w:val="00677CC2"/>
    <w:rsid w:val="006840B0"/>
    <w:rsid w:val="00684C0E"/>
    <w:rsid w:val="006905DE"/>
    <w:rsid w:val="0069207B"/>
    <w:rsid w:val="0069220C"/>
    <w:rsid w:val="00695023"/>
    <w:rsid w:val="006B5789"/>
    <w:rsid w:val="006C30C5"/>
    <w:rsid w:val="006C4E18"/>
    <w:rsid w:val="006C7F8C"/>
    <w:rsid w:val="006D501F"/>
    <w:rsid w:val="006D6CB3"/>
    <w:rsid w:val="006E1E5A"/>
    <w:rsid w:val="006E212F"/>
    <w:rsid w:val="006E6246"/>
    <w:rsid w:val="006F318F"/>
    <w:rsid w:val="006F4226"/>
    <w:rsid w:val="006F513D"/>
    <w:rsid w:val="0070017E"/>
    <w:rsid w:val="00700B2C"/>
    <w:rsid w:val="00702C42"/>
    <w:rsid w:val="00704703"/>
    <w:rsid w:val="007050A2"/>
    <w:rsid w:val="00705F40"/>
    <w:rsid w:val="00713084"/>
    <w:rsid w:val="007142FB"/>
    <w:rsid w:val="00714F20"/>
    <w:rsid w:val="0071590F"/>
    <w:rsid w:val="00715914"/>
    <w:rsid w:val="00726366"/>
    <w:rsid w:val="00731E00"/>
    <w:rsid w:val="00733269"/>
    <w:rsid w:val="0073640D"/>
    <w:rsid w:val="00741718"/>
    <w:rsid w:val="007440B7"/>
    <w:rsid w:val="007500C8"/>
    <w:rsid w:val="007527C1"/>
    <w:rsid w:val="007534B2"/>
    <w:rsid w:val="00756272"/>
    <w:rsid w:val="00757544"/>
    <w:rsid w:val="00760FB4"/>
    <w:rsid w:val="007615E2"/>
    <w:rsid w:val="00762F25"/>
    <w:rsid w:val="00763D94"/>
    <w:rsid w:val="00764D43"/>
    <w:rsid w:val="00764E31"/>
    <w:rsid w:val="0076681A"/>
    <w:rsid w:val="007715C9"/>
    <w:rsid w:val="00771613"/>
    <w:rsid w:val="00774897"/>
    <w:rsid w:val="00774EDD"/>
    <w:rsid w:val="007757EC"/>
    <w:rsid w:val="0078129A"/>
    <w:rsid w:val="00782F4E"/>
    <w:rsid w:val="00783E89"/>
    <w:rsid w:val="007843ED"/>
    <w:rsid w:val="007904DB"/>
    <w:rsid w:val="00793915"/>
    <w:rsid w:val="007A15B1"/>
    <w:rsid w:val="007A3989"/>
    <w:rsid w:val="007B0C61"/>
    <w:rsid w:val="007B132E"/>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42EA3"/>
    <w:rsid w:val="00850259"/>
    <w:rsid w:val="00850A63"/>
    <w:rsid w:val="0085384C"/>
    <w:rsid w:val="008545B7"/>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D589C"/>
    <w:rsid w:val="008E6067"/>
    <w:rsid w:val="008E76DC"/>
    <w:rsid w:val="008F48EC"/>
    <w:rsid w:val="008F4A11"/>
    <w:rsid w:val="008F54E7"/>
    <w:rsid w:val="008F572A"/>
    <w:rsid w:val="0090262E"/>
    <w:rsid w:val="00903422"/>
    <w:rsid w:val="00904761"/>
    <w:rsid w:val="009056AF"/>
    <w:rsid w:val="009079E9"/>
    <w:rsid w:val="00912B55"/>
    <w:rsid w:val="00915DF9"/>
    <w:rsid w:val="009254C3"/>
    <w:rsid w:val="00925CA9"/>
    <w:rsid w:val="00932377"/>
    <w:rsid w:val="00941893"/>
    <w:rsid w:val="00947D5A"/>
    <w:rsid w:val="009532A5"/>
    <w:rsid w:val="00953587"/>
    <w:rsid w:val="00956922"/>
    <w:rsid w:val="009612CF"/>
    <w:rsid w:val="00962EE2"/>
    <w:rsid w:val="009724F4"/>
    <w:rsid w:val="00973808"/>
    <w:rsid w:val="00982242"/>
    <w:rsid w:val="00984EE9"/>
    <w:rsid w:val="009868E9"/>
    <w:rsid w:val="00997416"/>
    <w:rsid w:val="009A436C"/>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931D7"/>
    <w:rsid w:val="00AA64D6"/>
    <w:rsid w:val="00AA6D8B"/>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42928"/>
    <w:rsid w:val="00B50826"/>
    <w:rsid w:val="00B50ADC"/>
    <w:rsid w:val="00B527C0"/>
    <w:rsid w:val="00B566B1"/>
    <w:rsid w:val="00B63755"/>
    <w:rsid w:val="00B63834"/>
    <w:rsid w:val="00B664A3"/>
    <w:rsid w:val="00B72734"/>
    <w:rsid w:val="00B72A5E"/>
    <w:rsid w:val="00B80199"/>
    <w:rsid w:val="00B83204"/>
    <w:rsid w:val="00B833B0"/>
    <w:rsid w:val="00B846A0"/>
    <w:rsid w:val="00B90372"/>
    <w:rsid w:val="00B90B8D"/>
    <w:rsid w:val="00B91006"/>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87D65"/>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6172C"/>
    <w:rsid w:val="00D70DFB"/>
    <w:rsid w:val="00D71633"/>
    <w:rsid w:val="00D766DF"/>
    <w:rsid w:val="00D93DA9"/>
    <w:rsid w:val="00D94857"/>
    <w:rsid w:val="00D95D92"/>
    <w:rsid w:val="00D96383"/>
    <w:rsid w:val="00D97AAA"/>
    <w:rsid w:val="00D97BB3"/>
    <w:rsid w:val="00DA1280"/>
    <w:rsid w:val="00DA186E"/>
    <w:rsid w:val="00DA4116"/>
    <w:rsid w:val="00DA7AC0"/>
    <w:rsid w:val="00DB15BB"/>
    <w:rsid w:val="00DB251C"/>
    <w:rsid w:val="00DB3F17"/>
    <w:rsid w:val="00DB4162"/>
    <w:rsid w:val="00DB4630"/>
    <w:rsid w:val="00DC4F88"/>
    <w:rsid w:val="00DD2B43"/>
    <w:rsid w:val="00DD31AB"/>
    <w:rsid w:val="00DE59B7"/>
    <w:rsid w:val="00DF24DC"/>
    <w:rsid w:val="00DF5291"/>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27D"/>
    <w:rsid w:val="00ED34E1"/>
    <w:rsid w:val="00ED3B8D"/>
    <w:rsid w:val="00ED46FF"/>
    <w:rsid w:val="00ED4913"/>
    <w:rsid w:val="00EE70AB"/>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0FFE"/>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2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6E1E5A"/>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link w:val="FooterCha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503619"/>
    <w:pPr>
      <w:numPr>
        <w:numId w:val="4"/>
      </w:numPr>
      <w:spacing w:before="200" w:line="280" w:lineRule="atLeast"/>
      <w:ind w:left="851"/>
      <w:outlineLvl w:val="1"/>
    </w:pPr>
    <w:rPr>
      <w:b/>
      <w:sz w:val="24"/>
      <w:szCs w:val="24"/>
      <w:lang w:eastAsia="en-US"/>
    </w:rPr>
  </w:style>
  <w:style w:type="paragraph" w:customStyle="1" w:styleId="LV2">
    <w:name w:val="LV 2"/>
    <w:basedOn w:val="PlainIndent"/>
    <w:autoRedefine/>
    <w:qFormat/>
    <w:rsid w:val="00D95D92"/>
    <w:pPr>
      <w:numPr>
        <w:ilvl w:val="1"/>
        <w:numId w:val="4"/>
      </w:numPr>
      <w:ind w:left="1418"/>
    </w:pPr>
  </w:style>
  <w:style w:type="paragraph" w:customStyle="1" w:styleId="LV3">
    <w:name w:val="LV 3"/>
    <w:basedOn w:val="PlainIndent"/>
    <w:autoRedefine/>
    <w:qFormat/>
    <w:rsid w:val="00D95D92"/>
    <w:pPr>
      <w:numPr>
        <w:ilvl w:val="2"/>
        <w:numId w:val="4"/>
      </w:numPr>
      <w:ind w:left="1985"/>
      <w:contextualSpacing/>
    </w:pPr>
  </w:style>
  <w:style w:type="paragraph" w:customStyle="1" w:styleId="LV4">
    <w:name w:val="LV 4"/>
    <w:basedOn w:val="PlainIndent"/>
    <w:autoRedefine/>
    <w:qFormat/>
    <w:rsid w:val="006E1E5A"/>
    <w:pPr>
      <w:numPr>
        <w:ilvl w:val="3"/>
        <w:numId w:val="4"/>
      </w:numPr>
      <w:spacing w:before="120"/>
      <w:ind w:left="2483" w:hanging="357"/>
      <w:contextualSpacing/>
    </w:pPr>
  </w:style>
  <w:style w:type="paragraph" w:customStyle="1" w:styleId="LV5">
    <w:name w:val="LV 5"/>
    <w:basedOn w:val="PlainIndent"/>
    <w:autoRedefine/>
    <w:qFormat/>
    <w:rsid w:val="006E1E5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E31"/>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character" w:customStyle="1" w:styleId="FooterChar">
    <w:name w:val="Footer Char"/>
    <w:basedOn w:val="DefaultParagraphFont"/>
    <w:link w:val="Footer"/>
    <w:uiPriority w:val="2"/>
    <w:semiHidden/>
    <w:rsid w:val="0073640D"/>
    <w:rPr>
      <w:rFonts w:eastAsia="Times New Roman"/>
      <w:sz w:val="22"/>
      <w:szCs w:val="24"/>
    </w:rPr>
  </w:style>
  <w:style w:type="paragraph" w:customStyle="1" w:styleId="Note1">
    <w:name w:val="Note 1"/>
    <w:basedOn w:val="NOTE"/>
    <w:link w:val="Note1Char"/>
    <w:uiPriority w:val="2"/>
    <w:qFormat/>
    <w:rsid w:val="00503619"/>
    <w:pPr>
      <w:ind w:left="1985" w:firstLine="0"/>
    </w:pPr>
  </w:style>
  <w:style w:type="paragraph" w:customStyle="1" w:styleId="Note2">
    <w:name w:val="Note 2"/>
    <w:basedOn w:val="NOTE"/>
    <w:link w:val="Note2Char"/>
    <w:uiPriority w:val="2"/>
    <w:qFormat/>
    <w:rsid w:val="00503619"/>
    <w:pPr>
      <w:ind w:hanging="510"/>
    </w:pPr>
  </w:style>
  <w:style w:type="character" w:customStyle="1" w:styleId="Note1Char">
    <w:name w:val="Note 1 Char"/>
    <w:basedOn w:val="DefaultParagraphFont"/>
    <w:link w:val="Note1"/>
    <w:uiPriority w:val="2"/>
    <w:rsid w:val="00503619"/>
    <w:rPr>
      <w:rFonts w:eastAsia="Times New Roman"/>
      <w:sz w:val="18"/>
    </w:rPr>
  </w:style>
  <w:style w:type="character" w:customStyle="1" w:styleId="Note2Char">
    <w:name w:val="Note 2 Char"/>
    <w:basedOn w:val="DefaultParagraphFont"/>
    <w:link w:val="Note2"/>
    <w:uiPriority w:val="2"/>
    <w:rsid w:val="00503619"/>
    <w:rPr>
      <w:rFonts w:eastAsia="Times New Roman"/>
      <w:sz w:val="18"/>
    </w:rPr>
  </w:style>
  <w:style w:type="paragraph" w:customStyle="1" w:styleId="ScheduleNote">
    <w:name w:val="Schedule Note"/>
    <w:basedOn w:val="Normal"/>
    <w:link w:val="ScheduleNoteChar"/>
    <w:uiPriority w:val="2"/>
    <w:qFormat/>
    <w:rsid w:val="00503619"/>
    <w:pPr>
      <w:spacing w:before="122" w:line="240" w:lineRule="auto"/>
      <w:ind w:left="851"/>
    </w:pPr>
    <w:rPr>
      <w:rFonts w:eastAsia="Times New Roman"/>
      <w:sz w:val="18"/>
      <w:lang w:eastAsia="en-AU"/>
    </w:rPr>
  </w:style>
  <w:style w:type="character" w:customStyle="1" w:styleId="ScheduleNoteChar">
    <w:name w:val="Schedule Note Char"/>
    <w:basedOn w:val="DefaultParagraphFont"/>
    <w:link w:val="ScheduleNote"/>
    <w:uiPriority w:val="2"/>
    <w:rsid w:val="00503619"/>
    <w:rPr>
      <w:rFonts w:eastAsia="Times New Roman"/>
      <w:sz w:val="18"/>
    </w:rPr>
  </w:style>
  <w:style w:type="paragraph" w:customStyle="1" w:styleId="Note3">
    <w:name w:val="Note 3"/>
    <w:basedOn w:val="NOTE"/>
    <w:link w:val="Note3Char"/>
    <w:uiPriority w:val="2"/>
    <w:qFormat/>
    <w:rsid w:val="00503619"/>
    <w:pPr>
      <w:ind w:left="2977" w:hanging="425"/>
    </w:pPr>
  </w:style>
  <w:style w:type="character" w:customStyle="1" w:styleId="Note3Char">
    <w:name w:val="Note 3 Char"/>
    <w:basedOn w:val="DefaultParagraphFont"/>
    <w:link w:val="Note3"/>
    <w:uiPriority w:val="2"/>
    <w:rsid w:val="00503619"/>
    <w:rPr>
      <w:rFonts w:eastAsia="Times New Roman"/>
      <w:sz w:val="18"/>
    </w:rPr>
  </w:style>
  <w:style w:type="character" w:styleId="CommentReference">
    <w:name w:val="annotation reference"/>
    <w:basedOn w:val="DefaultParagraphFont"/>
    <w:semiHidden/>
    <w:rsid w:val="006D501F"/>
    <w:rPr>
      <w:sz w:val="16"/>
    </w:rPr>
  </w:style>
  <w:style w:type="paragraph" w:styleId="CommentText">
    <w:name w:val="annotation text"/>
    <w:basedOn w:val="Normal"/>
    <w:link w:val="CommentTextChar"/>
    <w:semiHidden/>
    <w:rsid w:val="006D501F"/>
    <w:pPr>
      <w:spacing w:line="240" w:lineRule="auto"/>
    </w:pPr>
    <w:rPr>
      <w:rFonts w:eastAsia="Times New Roman"/>
      <w:sz w:val="20"/>
      <w:lang w:eastAsia="en-AU"/>
    </w:rPr>
  </w:style>
  <w:style w:type="character" w:customStyle="1" w:styleId="CommentTextChar">
    <w:name w:val="Comment Text Char"/>
    <w:basedOn w:val="DefaultParagraphFont"/>
    <w:link w:val="CommentText"/>
    <w:semiHidden/>
    <w:rsid w:val="006D501F"/>
    <w:rPr>
      <w:rFonts w:eastAsia="Times New Roman"/>
    </w:rPr>
  </w:style>
  <w:style w:type="paragraph" w:styleId="ListParagraph">
    <w:name w:val="List Paragraph"/>
    <w:basedOn w:val="Normal"/>
    <w:uiPriority w:val="34"/>
    <w:qFormat/>
    <w:rsid w:val="006D501F"/>
    <w:pPr>
      <w:spacing w:line="240" w:lineRule="auto"/>
      <w:ind w:left="720"/>
      <w:contextualSpacing/>
    </w:pPr>
    <w:rPr>
      <w:rFonts w:eastAsia="Times New Roman"/>
      <w:sz w:val="24"/>
      <w:lang w:eastAsia="en-AU"/>
    </w:rPr>
  </w:style>
  <w:style w:type="paragraph" w:styleId="CommentSubject">
    <w:name w:val="annotation subject"/>
    <w:basedOn w:val="CommentText"/>
    <w:next w:val="CommentText"/>
    <w:link w:val="CommentSubjectChar"/>
    <w:uiPriority w:val="99"/>
    <w:semiHidden/>
    <w:unhideWhenUsed/>
    <w:rsid w:val="003F76A7"/>
    <w:rPr>
      <w:rFonts w:eastAsia="Calibri"/>
      <w:b/>
      <w:bCs/>
      <w:lang w:eastAsia="en-US"/>
    </w:rPr>
  </w:style>
  <w:style w:type="character" w:customStyle="1" w:styleId="CommentSubjectChar">
    <w:name w:val="Comment Subject Char"/>
    <w:basedOn w:val="CommentTextChar"/>
    <w:link w:val="CommentSubject"/>
    <w:uiPriority w:val="99"/>
    <w:semiHidden/>
    <w:rsid w:val="003F76A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1026</Words>
  <Characters>5853</Characters>
  <Application>Microsoft Office Word</Application>
  <DocSecurity>0</DocSecurity>
  <PresentationFormat/>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2026-06-16T04:23:00Z</dcterms:created>
  <dcterms:modified xsi:type="dcterms:W3CDTF">2026-06-16T04:30:00Z</dcterms:modified>
  <cp:category/>
  <cp:contentStatus/>
  <dc:language/>
  <cp:version/>
</cp:coreProperties>
</file>