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6D6941EF">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6072799B" w:rsidR="00054930" w:rsidRDefault="003C0AEC" w:rsidP="000D4972">
      <w:pPr>
        <w:pStyle w:val="Plainheader"/>
      </w:pPr>
      <w:r>
        <w:t>FEMALE SEXUAL DYSFUNCTION</w:t>
      </w:r>
      <w:r w:rsidR="000D4972">
        <w:br/>
        <w:t xml:space="preserve"> </w:t>
      </w:r>
      <w:r w:rsidR="00997416">
        <w:t xml:space="preserve">(Balance of Probabilities) </w:t>
      </w:r>
    </w:p>
    <w:p w14:paraId="36FCFAA6" w14:textId="5CA30D2A" w:rsidR="00715914" w:rsidRPr="00024911" w:rsidRDefault="00E55F66" w:rsidP="006647B7">
      <w:pPr>
        <w:pStyle w:val="Plainheader"/>
      </w:pPr>
      <w:r w:rsidRPr="00024911">
        <w:t xml:space="preserve">(No. </w:t>
      </w:r>
      <w:r w:rsidR="00162EE8">
        <w:t xml:space="preserve">44 </w:t>
      </w:r>
      <w:r w:rsidRPr="00024911">
        <w:t>of</w:t>
      </w:r>
      <w:r w:rsidR="00085567">
        <w:t xml:space="preserve"> </w:t>
      </w:r>
      <w:r w:rsidR="003C0AEC">
        <w:t>202</w:t>
      </w:r>
      <w:r w:rsidR="00162EE8">
        <w:t>6</w:t>
      </w:r>
      <w:r w:rsidRPr="00024911">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1ABFD1EF" w:rsidR="00F67B67" w:rsidRDefault="00F67B67" w:rsidP="00764D43">
      <w:pPr>
        <w:pStyle w:val="Plain"/>
        <w:tabs>
          <w:tab w:val="clear" w:pos="567"/>
          <w:tab w:val="left" w:pos="851"/>
        </w:tabs>
      </w:pPr>
      <w:r w:rsidRPr="007527C1">
        <w:t>Dated</w:t>
      </w:r>
      <w:r w:rsidR="007615E2">
        <w:tab/>
      </w:r>
      <w:r w:rsidR="00162EE8">
        <w:t>24 April 2026</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74AF41F4" w:rsidR="00FF4F75" w:rsidRDefault="00FF4F75">
      <w:pPr>
        <w:spacing w:line="240" w:lineRule="auto"/>
        <w:rPr>
          <w:rFonts w:eastAsia="Times New Roman"/>
          <w:sz w:val="24"/>
          <w:szCs w:val="24"/>
          <w:lang w:eastAsia="en-AU"/>
        </w:rPr>
      </w:pPr>
      <w:r>
        <w:br w:type="page"/>
      </w:r>
    </w:p>
    <w:p w14:paraId="02822801" w14:textId="77777777" w:rsidR="00D93DA9" w:rsidRPr="007527C1" w:rsidRDefault="00D93DA9" w:rsidP="00764D43">
      <w:pPr>
        <w:pStyle w:val="Plain"/>
      </w:pPr>
    </w:p>
    <w:p w14:paraId="6B2C2391" w14:textId="5645534D"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p>
    <w:p w14:paraId="175D5076"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0" w:name="BKCheck15B_2"/>
    <w:bookmarkEnd w:id="0"/>
    <w:p w14:paraId="71E49029" w14:textId="711A3F70"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FF4F75">
        <w:rPr>
          <w:noProof/>
        </w:rPr>
        <w:t>3</w:t>
      </w:r>
      <w:r w:rsidR="000D4972">
        <w:rPr>
          <w:noProof/>
        </w:rPr>
        <w:fldChar w:fldCharType="end"/>
      </w:r>
    </w:p>
    <w:p w14:paraId="687B782B" w14:textId="0C990091"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FF4F75">
        <w:rPr>
          <w:noProof/>
        </w:rPr>
        <w:t>3</w:t>
      </w:r>
      <w:r>
        <w:rPr>
          <w:noProof/>
        </w:rPr>
        <w:fldChar w:fldCharType="end"/>
      </w:r>
    </w:p>
    <w:p w14:paraId="63BDEC73" w14:textId="6B6B86F3"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FF4F75">
        <w:rPr>
          <w:noProof/>
        </w:rPr>
        <w:t>3</w:t>
      </w:r>
      <w:r>
        <w:rPr>
          <w:noProof/>
        </w:rPr>
        <w:fldChar w:fldCharType="end"/>
      </w:r>
    </w:p>
    <w:p w14:paraId="0824E806" w14:textId="04909F5D"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FF4F75">
        <w:rPr>
          <w:noProof/>
        </w:rPr>
        <w:t>3</w:t>
      </w:r>
      <w:r>
        <w:rPr>
          <w:noProof/>
        </w:rPr>
        <w:fldChar w:fldCharType="end"/>
      </w:r>
    </w:p>
    <w:p w14:paraId="0AE5E568" w14:textId="64280709"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FF4F75">
        <w:rPr>
          <w:noProof/>
        </w:rPr>
        <w:t>3</w:t>
      </w:r>
      <w:r>
        <w:rPr>
          <w:noProof/>
        </w:rPr>
        <w:fldChar w:fldCharType="end"/>
      </w:r>
    </w:p>
    <w:p w14:paraId="309E753D" w14:textId="775DC792"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FF4F75">
        <w:rPr>
          <w:noProof/>
        </w:rPr>
        <w:t>3</w:t>
      </w:r>
      <w:r>
        <w:rPr>
          <w:noProof/>
        </w:rPr>
        <w:fldChar w:fldCharType="end"/>
      </w:r>
    </w:p>
    <w:p w14:paraId="4A047050" w14:textId="0EF6B7D4"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FF4F75">
        <w:rPr>
          <w:noProof/>
        </w:rPr>
        <w:t>3</w:t>
      </w:r>
      <w:r>
        <w:rPr>
          <w:noProof/>
        </w:rPr>
        <w:fldChar w:fldCharType="end"/>
      </w:r>
    </w:p>
    <w:p w14:paraId="27558E06" w14:textId="0418813B"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FF4F75">
        <w:rPr>
          <w:noProof/>
        </w:rPr>
        <w:t>4</w:t>
      </w:r>
      <w:r>
        <w:rPr>
          <w:noProof/>
        </w:rPr>
        <w:fldChar w:fldCharType="end"/>
      </w:r>
    </w:p>
    <w:p w14:paraId="1836314E" w14:textId="3235849A"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FF4F75">
        <w:rPr>
          <w:noProof/>
        </w:rPr>
        <w:t>4</w:t>
      </w:r>
      <w:r>
        <w:rPr>
          <w:noProof/>
        </w:rPr>
        <w:fldChar w:fldCharType="end"/>
      </w:r>
    </w:p>
    <w:p w14:paraId="720E4EDB" w14:textId="3554DF69"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FF4F75">
        <w:rPr>
          <w:noProof/>
        </w:rPr>
        <w:t>7</w:t>
      </w:r>
      <w:r>
        <w:rPr>
          <w:noProof/>
        </w:rPr>
        <w:fldChar w:fldCharType="end"/>
      </w:r>
    </w:p>
    <w:p w14:paraId="29F41960" w14:textId="1A46C0C0"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FF4F75">
        <w:rPr>
          <w:noProof/>
        </w:rPr>
        <w:t>7</w:t>
      </w:r>
      <w:r>
        <w:rPr>
          <w:noProof/>
        </w:rPr>
        <w:fldChar w:fldCharType="end"/>
      </w:r>
    </w:p>
    <w:p w14:paraId="147E4E6C" w14:textId="3F9CC9E8"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FF4F75">
        <w:rPr>
          <w:noProof/>
        </w:rPr>
        <w:t>8</w:t>
      </w:r>
      <w:r>
        <w:rPr>
          <w:noProof/>
        </w:rPr>
        <w:fldChar w:fldCharType="end"/>
      </w:r>
    </w:p>
    <w:p w14:paraId="4C9330D8" w14:textId="33682F6E"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FF4F75">
        <w:rPr>
          <w:noProof/>
        </w:rPr>
        <w:t>8</w:t>
      </w:r>
      <w:r>
        <w:rPr>
          <w:noProof/>
        </w:rPr>
        <w:fldChar w:fldCharType="end"/>
      </w:r>
    </w:p>
    <w:p w14:paraId="45C59D5E" w14:textId="77777777" w:rsidR="003A2FFE" w:rsidRDefault="002A3436" w:rsidP="00715914">
      <w:r>
        <w:rPr>
          <w:rFonts w:eastAsia="Times New Roman"/>
          <w:b/>
          <w:kern w:val="28"/>
          <w:sz w:val="18"/>
          <w:lang w:eastAsia="en-AU"/>
        </w:rPr>
        <w:fldChar w:fldCharType="end"/>
      </w:r>
    </w:p>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1" w:name="_Toc522787300"/>
      <w:r>
        <w:lastRenderedPageBreak/>
        <w:t>Name</w:t>
      </w:r>
      <w:bookmarkEnd w:id="1"/>
    </w:p>
    <w:p w14:paraId="6F0FAC51" w14:textId="5C459689" w:rsidR="00237471" w:rsidRPr="00F97A62" w:rsidRDefault="00715914" w:rsidP="00DF65CF">
      <w:pPr>
        <w:pStyle w:val="PlainIndent"/>
      </w:pPr>
      <w:r w:rsidRPr="00F97A62">
        <w:t xml:space="preserve">This </w:t>
      </w:r>
      <w:r w:rsidR="00574573" w:rsidRPr="00F97A62">
        <w:t xml:space="preserve">is the </w:t>
      </w:r>
      <w:bookmarkStart w:id="2" w:name="BKCheck15B_3"/>
      <w:bookmarkEnd w:id="2"/>
      <w:r w:rsidR="00574573" w:rsidRPr="00F97A62">
        <w:t xml:space="preserve">Statement of Principles concerning </w:t>
      </w:r>
      <w:r w:rsidR="003C0AEC">
        <w:rPr>
          <w:i/>
        </w:rPr>
        <w:t>female sexual dysfunction</w:t>
      </w:r>
      <w:r w:rsidR="00574573" w:rsidRPr="00F97A62">
        <w:t xml:space="preserve"> </w:t>
      </w:r>
      <w:r w:rsidR="00574573">
        <w:rPr>
          <w:i/>
        </w:rPr>
        <w:t xml:space="preserve">(Balance of Probabilities) </w:t>
      </w:r>
      <w:r w:rsidR="00574573" w:rsidRPr="00F97A62">
        <w:t xml:space="preserve">(No. </w:t>
      </w:r>
      <w:r w:rsidR="00162EE8">
        <w:t xml:space="preserve">44 </w:t>
      </w:r>
      <w:r w:rsidR="00574573" w:rsidRPr="00F97A62">
        <w:t>of</w:t>
      </w:r>
      <w:r w:rsidR="00162EE8">
        <w:t xml:space="preserve"> 2026)</w:t>
      </w:r>
      <w:r w:rsidR="00574573" w:rsidRPr="00F97A62">
        <w:t>.</w:t>
      </w:r>
    </w:p>
    <w:p w14:paraId="4752A1CD" w14:textId="77777777" w:rsidR="00F67B67" w:rsidRPr="00684C0E" w:rsidRDefault="00F67B67" w:rsidP="00C96667">
      <w:pPr>
        <w:pStyle w:val="LV1"/>
      </w:pPr>
      <w:bookmarkStart w:id="3" w:name="_Toc522787301"/>
      <w:r w:rsidRPr="00684C0E">
        <w:t>Commencement</w:t>
      </w:r>
      <w:bookmarkEnd w:id="3"/>
    </w:p>
    <w:p w14:paraId="48161169" w14:textId="3C999FDF" w:rsidR="00F67B67" w:rsidRPr="007527C1" w:rsidRDefault="00F67B67" w:rsidP="00DF65CF">
      <w:pPr>
        <w:pStyle w:val="PlainIndent"/>
      </w:pPr>
      <w:r w:rsidRPr="007527C1">
        <w:t xml:space="preserve">This instrument commences on </w:t>
      </w:r>
      <w:r w:rsidR="00162EE8">
        <w:rPr>
          <w:b/>
        </w:rPr>
        <w:t>25 May 2026</w:t>
      </w:r>
      <w:r w:rsidRPr="007527C1">
        <w:t>.</w:t>
      </w:r>
    </w:p>
    <w:p w14:paraId="11A6BE1E" w14:textId="77777777" w:rsidR="00F67B67" w:rsidRPr="00684C0E" w:rsidRDefault="00F67B67" w:rsidP="00C96667">
      <w:pPr>
        <w:pStyle w:val="LV1"/>
      </w:pPr>
      <w:bookmarkStart w:id="4" w:name="_Toc522787302"/>
      <w:r w:rsidRPr="00684C0E">
        <w:t>Authority</w:t>
      </w:r>
      <w:bookmarkEnd w:id="4"/>
    </w:p>
    <w:p w14:paraId="44D837A0"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5" w:name="_Toc522787303"/>
      <w:r>
        <w:t>Re</w:t>
      </w:r>
      <w:r w:rsidR="00CB7412">
        <w:t>peal</w:t>
      </w:r>
      <w:bookmarkEnd w:id="5"/>
    </w:p>
    <w:p w14:paraId="26178D58" w14:textId="76CA694F" w:rsidR="007959B9" w:rsidRPr="007527C1" w:rsidRDefault="000D4972" w:rsidP="00DF65CF">
      <w:pPr>
        <w:pStyle w:val="PlainIndent"/>
      </w:pPr>
      <w:r>
        <w:t>The</w:t>
      </w:r>
      <w:r w:rsidRPr="007527C1">
        <w:t xml:space="preserve"> </w:t>
      </w:r>
      <w:r w:rsidRPr="00DA3996">
        <w:t xml:space="preserve">Statement of Principles concerning </w:t>
      </w:r>
      <w:r w:rsidR="003C0AEC">
        <w:t>female sexual dysfunction</w:t>
      </w:r>
      <w:r w:rsidR="002D4541">
        <w:t xml:space="preserve"> </w:t>
      </w:r>
      <w:r w:rsidR="00D117D0" w:rsidRPr="00D117D0">
        <w:rPr>
          <w:iCs/>
        </w:rPr>
        <w:t>(Balance of Probabilities)</w:t>
      </w:r>
      <w:r w:rsidR="00D117D0">
        <w:t xml:space="preserve"> (</w:t>
      </w:r>
      <w:r w:rsidR="002D4541">
        <w:t xml:space="preserve">No. </w:t>
      </w:r>
      <w:r w:rsidR="00657651">
        <w:t>96</w:t>
      </w:r>
      <w:r w:rsidR="002D4541">
        <w:t xml:space="preserve"> of 20</w:t>
      </w:r>
      <w:r w:rsidR="00657651">
        <w:t>16</w:t>
      </w:r>
      <w:r w:rsidR="00D117D0">
        <w:t>)</w:t>
      </w:r>
      <w:r>
        <w:t xml:space="preserve"> </w:t>
      </w:r>
      <w:r w:rsidRPr="00786DAE">
        <w:t>(Federal Re</w:t>
      </w:r>
      <w:r w:rsidR="00F27BB2">
        <w:t>giste</w:t>
      </w:r>
      <w:r w:rsidR="002D4541">
        <w:t xml:space="preserve">r of Legislation No. </w:t>
      </w:r>
      <w:r w:rsidR="00657651" w:rsidRPr="00657651">
        <w:t>F2016L01684</w:t>
      </w:r>
      <w:r w:rsidRPr="00786DAE">
        <w:t xml:space="preserve">) </w:t>
      </w:r>
      <w:r w:rsidR="00F27BB2">
        <w:t>made under subsection</w:t>
      </w:r>
      <w:r w:rsidRPr="00DA3996">
        <w:t xml:space="preserve"> 196B(</w:t>
      </w:r>
      <w:r>
        <w:t>3</w:t>
      </w:r>
      <w:r w:rsidR="00F27BB2">
        <w:t>)</w:t>
      </w:r>
      <w:r w:rsidRPr="00DA3996">
        <w:t xml:space="preserve"> of the VEA </w:t>
      </w:r>
      <w:r>
        <w:t>i</w:t>
      </w:r>
      <w:r w:rsidRPr="007527C1">
        <w:t>s</w:t>
      </w:r>
      <w:r>
        <w:t xml:space="preserve"> repealed.</w:t>
      </w:r>
    </w:p>
    <w:p w14:paraId="70963372" w14:textId="77777777" w:rsidR="007C7DEE" w:rsidRPr="00684C0E" w:rsidRDefault="007C7DEE" w:rsidP="00C96667">
      <w:pPr>
        <w:pStyle w:val="LV1"/>
      </w:pPr>
      <w:bookmarkStart w:id="6" w:name="_Toc522787304"/>
      <w:r w:rsidRPr="00684C0E">
        <w:t>Application</w:t>
      </w:r>
      <w:bookmarkEnd w:id="6"/>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7" w:name="_Ref410129949"/>
      <w:bookmarkStart w:id="8" w:name="_Toc522787305"/>
      <w:r w:rsidRPr="00684C0E">
        <w:t>Definitions</w:t>
      </w:r>
      <w:bookmarkEnd w:id="7"/>
      <w:bookmarkEnd w:id="8"/>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9" w:name="_Ref409687573"/>
      <w:bookmarkStart w:id="10" w:name="_Ref409687579"/>
      <w:bookmarkStart w:id="11" w:name="_Ref409687725"/>
      <w:bookmarkStart w:id="12" w:name="_Toc522787306"/>
      <w:r w:rsidRPr="00684C0E">
        <w:t>Kind of injury, disease or death</w:t>
      </w:r>
      <w:r w:rsidR="00215860" w:rsidRPr="00684C0E">
        <w:t xml:space="preserve"> to which this Statement of Principles relates</w:t>
      </w:r>
      <w:bookmarkEnd w:id="9"/>
      <w:bookmarkEnd w:id="10"/>
      <w:bookmarkEnd w:id="11"/>
      <w:bookmarkEnd w:id="12"/>
    </w:p>
    <w:p w14:paraId="72A28F05" w14:textId="4E3DDB48" w:rsidR="007C7DEE" w:rsidRPr="00D5620B" w:rsidRDefault="007C7DEE" w:rsidP="00DF65CF">
      <w:pPr>
        <w:pStyle w:val="LV2"/>
      </w:pPr>
      <w:bookmarkStart w:id="13" w:name="_Ref403053584"/>
      <w:r w:rsidRPr="00D5620B">
        <w:t xml:space="preserve">This Statement of Principles is </w:t>
      </w:r>
      <w:r w:rsidRPr="002F77A1">
        <w:t xml:space="preserve">about </w:t>
      </w:r>
      <w:r w:rsidR="003C0AEC">
        <w:t>female sexual dysfunction</w:t>
      </w:r>
      <w:r w:rsidR="00D5620B" w:rsidRPr="002F77A1">
        <w:t xml:space="preserve"> </w:t>
      </w:r>
      <w:r w:rsidRPr="002F77A1">
        <w:t>and death</w:t>
      </w:r>
      <w:r w:rsidRPr="00D5620B">
        <w:t xml:space="preserve"> from</w:t>
      </w:r>
      <w:r w:rsidR="002F77A1">
        <w:t xml:space="preserve"> </w:t>
      </w:r>
      <w:r w:rsidR="003C0AEC">
        <w:t>female sexual dysfunction</w:t>
      </w:r>
      <w:r w:rsidRPr="00D5620B">
        <w:t>.</w:t>
      </w:r>
      <w:bookmarkEnd w:id="13"/>
    </w:p>
    <w:p w14:paraId="6155B62A" w14:textId="2DEC4E20" w:rsidR="00215860" w:rsidRPr="007142FB" w:rsidRDefault="00215860" w:rsidP="0083517B">
      <w:pPr>
        <w:pStyle w:val="LVtext"/>
      </w:pPr>
      <w:r w:rsidRPr="007142FB">
        <w:t>Meaning of</w:t>
      </w:r>
      <w:r w:rsidR="00D60FC8" w:rsidRPr="007142FB">
        <w:t xml:space="preserve"> </w:t>
      </w:r>
      <w:r w:rsidR="003C0AEC">
        <w:rPr>
          <w:b/>
        </w:rPr>
        <w:t>female sexual dysfunction</w:t>
      </w:r>
    </w:p>
    <w:p w14:paraId="303A5322" w14:textId="6452EAA7" w:rsidR="000D4972" w:rsidRPr="00237BAF" w:rsidRDefault="000D4972" w:rsidP="000D4972">
      <w:pPr>
        <w:pStyle w:val="LV2"/>
      </w:pPr>
      <w:bookmarkStart w:id="14" w:name="_Ref409598124"/>
      <w:bookmarkStart w:id="15" w:name="_Ref402529683"/>
      <w:r w:rsidRPr="00237BAF">
        <w:t>For the purposes of this Statement of Principles,</w:t>
      </w:r>
      <w:r w:rsidRPr="002F77A1">
        <w:t xml:space="preserve"> </w:t>
      </w:r>
      <w:r w:rsidR="003C0AEC">
        <w:t>female sexual dysfunction</w:t>
      </w:r>
      <w:r w:rsidRPr="00237BAF">
        <w:t>:</w:t>
      </w:r>
      <w:bookmarkEnd w:id="14"/>
    </w:p>
    <w:bookmarkEnd w:id="15"/>
    <w:p w14:paraId="29C9C605" w14:textId="77777777" w:rsidR="00CC5D33" w:rsidRPr="00CC5D33" w:rsidRDefault="00CC5D33" w:rsidP="006C3619">
      <w:pPr>
        <w:pStyle w:val="LV3"/>
      </w:pPr>
      <w:r w:rsidRPr="00CC5D33">
        <w:t xml:space="preserve">means a clinically significant problem occurring during the female sexual response cycle that prevents the individual from experiencing satisfaction from sexual activity, where the problem has persisted for at least 6 months; </w:t>
      </w:r>
    </w:p>
    <w:p w14:paraId="3CBE7FDD" w14:textId="77777777" w:rsidR="00CC5D33" w:rsidRPr="00CC5D33" w:rsidRDefault="00CC5D33" w:rsidP="00C86770">
      <w:pPr>
        <w:pStyle w:val="LV3"/>
      </w:pPr>
      <w:r w:rsidRPr="00CC5D33">
        <w:t>may include one or more of the following:</w:t>
      </w:r>
    </w:p>
    <w:p w14:paraId="733C1726" w14:textId="77777777" w:rsidR="00CC5D33" w:rsidRPr="00CC5D33" w:rsidRDefault="00CC5D33" w:rsidP="00C86770">
      <w:pPr>
        <w:pStyle w:val="LV3"/>
        <w:numPr>
          <w:ilvl w:val="0"/>
          <w:numId w:val="26"/>
        </w:numPr>
      </w:pPr>
      <w:r w:rsidRPr="00CC5D33">
        <w:t xml:space="preserve">female orgasmic dysfunction; </w:t>
      </w:r>
    </w:p>
    <w:p w14:paraId="63511326" w14:textId="77777777" w:rsidR="00CC5D33" w:rsidRPr="00CC5D33" w:rsidRDefault="00CC5D33" w:rsidP="00C86770">
      <w:pPr>
        <w:pStyle w:val="LV3"/>
        <w:numPr>
          <w:ilvl w:val="0"/>
          <w:numId w:val="26"/>
        </w:numPr>
      </w:pPr>
      <w:r w:rsidRPr="00CC5D33">
        <w:t>female sexual interest/arousal dysfunction;</w:t>
      </w:r>
    </w:p>
    <w:p w14:paraId="38588CDF" w14:textId="77777777" w:rsidR="00CC5D33" w:rsidRPr="00CC5D33" w:rsidRDefault="00CC5D33" w:rsidP="00C86770">
      <w:pPr>
        <w:pStyle w:val="LV3"/>
        <w:numPr>
          <w:ilvl w:val="0"/>
          <w:numId w:val="26"/>
        </w:numPr>
      </w:pPr>
      <w:r w:rsidRPr="00CC5D33">
        <w:t xml:space="preserve">genito-pelvic pain/penetration dysfunction; </w:t>
      </w:r>
    </w:p>
    <w:p w14:paraId="3821085A" w14:textId="77777777" w:rsidR="00CC5D33" w:rsidRPr="00CC5D33" w:rsidRDefault="00CC5D33" w:rsidP="006C3619">
      <w:pPr>
        <w:pStyle w:val="LV3"/>
        <w:keepNext/>
      </w:pPr>
      <w:r w:rsidRPr="00CC5D33">
        <w:lastRenderedPageBreak/>
        <w:t>excludes hyperactive sexual desire dysfunction and persistent genital arousal dysfunction.</w:t>
      </w:r>
    </w:p>
    <w:p w14:paraId="664A2728" w14:textId="77777777" w:rsidR="00CC5D33" w:rsidRPr="00CC5D33" w:rsidRDefault="00CC5D33" w:rsidP="006C3619">
      <w:pPr>
        <w:pStyle w:val="NOTE"/>
        <w:keepNext/>
        <w:ind w:left="2552"/>
      </w:pPr>
      <w:r w:rsidRPr="00CC5D33">
        <w:t xml:space="preserve">Note: </w:t>
      </w:r>
      <w:r w:rsidRPr="00CC5D33">
        <w:rPr>
          <w:b/>
          <w:i/>
        </w:rPr>
        <w:t>female orgasmic dysfunction</w:t>
      </w:r>
      <w:r w:rsidRPr="00CC5D33">
        <w:t xml:space="preserve">, </w:t>
      </w:r>
      <w:r w:rsidRPr="00CC5D33">
        <w:rPr>
          <w:b/>
          <w:i/>
        </w:rPr>
        <w:t xml:space="preserve">female sexual interest/arousal dysfunction </w:t>
      </w:r>
      <w:r w:rsidRPr="00CC5D33">
        <w:t xml:space="preserve">and </w:t>
      </w:r>
      <w:r w:rsidRPr="00CC5D33">
        <w:rPr>
          <w:b/>
          <w:i/>
        </w:rPr>
        <w:t>genito-pelvic pain/penetration dysfunction</w:t>
      </w:r>
      <w:r w:rsidRPr="00CC5D33">
        <w:t xml:space="preserve"> are defined in the Schedule 1 – Dictionary.</w:t>
      </w:r>
    </w:p>
    <w:p w14:paraId="46121CDE" w14:textId="7F745FD6" w:rsidR="008F572A" w:rsidRPr="00FA33FB" w:rsidRDefault="00237BAF" w:rsidP="0083517B">
      <w:pPr>
        <w:pStyle w:val="LVtext"/>
      </w:pPr>
      <w:r w:rsidRPr="003A5C26">
        <w:t>Death from</w:t>
      </w:r>
      <w:r w:rsidR="008F572A" w:rsidRPr="00237BAF">
        <w:t xml:space="preserve"> </w:t>
      </w:r>
      <w:r w:rsidR="003C0AEC">
        <w:rPr>
          <w:b/>
        </w:rPr>
        <w:t>female sexual dysfunction</w:t>
      </w:r>
    </w:p>
    <w:p w14:paraId="3FEA5A86" w14:textId="78D5F2BE" w:rsidR="008F572A" w:rsidRPr="00237BAF" w:rsidRDefault="008F572A" w:rsidP="00DF65CF">
      <w:pPr>
        <w:pStyle w:val="LV2"/>
      </w:pPr>
      <w:r w:rsidRPr="00237BAF">
        <w:t xml:space="preserve">For the purposes of this Statement of </w:t>
      </w:r>
      <w:r w:rsidR="00D5620B">
        <w:t xml:space="preserve">Principles, </w:t>
      </w:r>
      <w:r w:rsidR="003C0AEC">
        <w:t>female sexual dysfunction</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3C0AEC">
        <w:t>female sexual dysfunction</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6" w:name="_Toc522787307"/>
      <w:r w:rsidRPr="00A20CA1">
        <w:t>Basis for determining the factors</w:t>
      </w:r>
      <w:bookmarkEnd w:id="16"/>
    </w:p>
    <w:p w14:paraId="22C46370" w14:textId="77D35633"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3C0AEC">
        <w:t>female sexual dysfunction</w:t>
      </w:r>
      <w:r w:rsidR="007A3989">
        <w:t xml:space="preserve"> </w:t>
      </w:r>
      <w:r w:rsidRPr="00D5620B">
        <w:t>and death from</w:t>
      </w:r>
      <w:r w:rsidR="007A3989">
        <w:t xml:space="preserve"> </w:t>
      </w:r>
      <w:r w:rsidR="003C0AEC">
        <w:t>female sexual dysfunction</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17" w:name="_Ref411946955"/>
      <w:bookmarkStart w:id="18" w:name="_Ref411946997"/>
      <w:bookmarkStart w:id="19" w:name="_Ref412032503"/>
      <w:bookmarkStart w:id="20" w:name="_Toc522787308"/>
      <w:r w:rsidRPr="00301C54">
        <w:t xml:space="preserve">Factors that must </w:t>
      </w:r>
      <w:r w:rsidR="00D32F71">
        <w:t>exist</w:t>
      </w:r>
      <w:bookmarkEnd w:id="17"/>
      <w:bookmarkEnd w:id="18"/>
      <w:bookmarkEnd w:id="19"/>
      <w:bookmarkEnd w:id="20"/>
    </w:p>
    <w:p w14:paraId="78837F81" w14:textId="35281C34" w:rsidR="007C7DEE" w:rsidRPr="00AA6D8B" w:rsidRDefault="002716E4" w:rsidP="00DF65CF">
      <w:pPr>
        <w:pStyle w:val="PlainIndent"/>
      </w:pPr>
      <w:bookmarkStart w:id="21"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3C0AEC">
        <w:t>female sexual dysfunction</w:t>
      </w:r>
      <w:r w:rsidR="007A3989">
        <w:t xml:space="preserve"> </w:t>
      </w:r>
      <w:r w:rsidR="007C7DEE" w:rsidRPr="00AA6D8B">
        <w:t xml:space="preserve">or death from </w:t>
      </w:r>
      <w:r w:rsidR="003C0AEC">
        <w:t>female sexual dysfunction</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1"/>
    </w:p>
    <w:p w14:paraId="235876ED" w14:textId="77777777" w:rsidR="00640386" w:rsidRPr="00336F51" w:rsidRDefault="00640386" w:rsidP="00640386">
      <w:pPr>
        <w:pStyle w:val="LV2"/>
      </w:pPr>
      <w:bookmarkStart w:id="22" w:name="_Ref402530260"/>
      <w:bookmarkStart w:id="23" w:name="_Ref409598844"/>
      <w:r w:rsidRPr="00336F51">
        <w:t>having one of the following genitourinary conditions at the time of clinical onset or clinical worsening;</w:t>
      </w:r>
    </w:p>
    <w:p w14:paraId="13D72BC1" w14:textId="44D49945" w:rsidR="00640386" w:rsidRPr="00336F51" w:rsidRDefault="00640386" w:rsidP="00C86770">
      <w:pPr>
        <w:pStyle w:val="LV3"/>
      </w:pPr>
      <w:r w:rsidRPr="00336F51">
        <w:t xml:space="preserve">endometriosis; </w:t>
      </w:r>
    </w:p>
    <w:p w14:paraId="40B653CB" w14:textId="4F5106A3" w:rsidR="00640386" w:rsidRPr="00336F51" w:rsidRDefault="00640386" w:rsidP="00C86770">
      <w:pPr>
        <w:pStyle w:val="LV3"/>
      </w:pPr>
      <w:r w:rsidRPr="00336F51">
        <w:t>interstitial cystitis/bladder pain syndrome;</w:t>
      </w:r>
    </w:p>
    <w:p w14:paraId="2DB973EE" w14:textId="6156B9EC" w:rsidR="00640386" w:rsidRPr="00336F51" w:rsidRDefault="00640386" w:rsidP="00C86770">
      <w:pPr>
        <w:pStyle w:val="LV3"/>
      </w:pPr>
      <w:r w:rsidRPr="00336F51">
        <w:t>Sjogren's syndrome involving the vagina;</w:t>
      </w:r>
    </w:p>
    <w:p w14:paraId="3EA13B7E" w14:textId="7278829D" w:rsidR="00640386" w:rsidRPr="00336F51" w:rsidRDefault="00640386" w:rsidP="00C86770">
      <w:pPr>
        <w:pStyle w:val="LV3"/>
      </w:pPr>
      <w:r w:rsidRPr="00336F51">
        <w:t>urinary incontinence;</w:t>
      </w:r>
    </w:p>
    <w:p w14:paraId="4A7415EF" w14:textId="663B65AC" w:rsidR="00640386" w:rsidRPr="00336F51" w:rsidRDefault="00640386" w:rsidP="00C86770">
      <w:pPr>
        <w:pStyle w:val="LV3"/>
      </w:pPr>
      <w:r w:rsidRPr="00336F51">
        <w:t>uterine adenomyosis;</w:t>
      </w:r>
    </w:p>
    <w:p w14:paraId="627A3E66" w14:textId="7072F740" w:rsidR="00640386" w:rsidRPr="00336F51" w:rsidRDefault="00640386" w:rsidP="00C86770">
      <w:pPr>
        <w:pStyle w:val="LV3"/>
      </w:pPr>
      <w:r w:rsidRPr="00336F51">
        <w:t>uterine fibroids;</w:t>
      </w:r>
    </w:p>
    <w:p w14:paraId="06B8C153" w14:textId="1437B45A" w:rsidR="00640386" w:rsidRPr="00336F51" w:rsidRDefault="00640386" w:rsidP="00C86770">
      <w:pPr>
        <w:pStyle w:val="LV3"/>
      </w:pPr>
      <w:r w:rsidRPr="00336F51">
        <w:t>uterine prolapse;</w:t>
      </w:r>
    </w:p>
    <w:p w14:paraId="67BF6A47" w14:textId="380EA927" w:rsidR="00AC7363" w:rsidRPr="00336F51" w:rsidRDefault="00640386" w:rsidP="00C86770">
      <w:pPr>
        <w:pStyle w:val="LV3"/>
      </w:pPr>
      <w:r w:rsidRPr="00336F51">
        <w:t>other genitourinary condition of sufficient severity to warrant ongoing management by a medical practitioner.</w:t>
      </w:r>
    </w:p>
    <w:p w14:paraId="19800CAC" w14:textId="77777777" w:rsidR="00640386" w:rsidRPr="00336F51" w:rsidRDefault="00640386" w:rsidP="00640386">
      <w:pPr>
        <w:pStyle w:val="LV2"/>
      </w:pPr>
      <w:r w:rsidRPr="00336F51">
        <w:t>having chronic renal failure at the time of clinical onset or clinical worsening as indicated by:</w:t>
      </w:r>
    </w:p>
    <w:p w14:paraId="6072D85B" w14:textId="77777777" w:rsidR="00640386" w:rsidRPr="00336F51" w:rsidRDefault="00640386" w:rsidP="006C3619">
      <w:pPr>
        <w:pStyle w:val="LV3"/>
      </w:pPr>
      <w:r w:rsidRPr="00336F51">
        <w:t>a glomerular filtration rate of less than 15 mL/min/1.73 m</w:t>
      </w:r>
      <w:r w:rsidRPr="00336F51">
        <w:rPr>
          <w:vertAlign w:val="superscript"/>
        </w:rPr>
        <w:t>2</w:t>
      </w:r>
      <w:r w:rsidRPr="00336F51">
        <w:t xml:space="preserve"> for a period of at least 3 months; or</w:t>
      </w:r>
    </w:p>
    <w:p w14:paraId="30E30BE7" w14:textId="77777777" w:rsidR="00640386" w:rsidRPr="00336F51" w:rsidRDefault="00640386" w:rsidP="006C3619">
      <w:pPr>
        <w:pStyle w:val="LV3"/>
      </w:pPr>
      <w:r w:rsidRPr="00336F51">
        <w:t>undergoing chronic dialysis for renal failure.</w:t>
      </w:r>
    </w:p>
    <w:p w14:paraId="6B01083A" w14:textId="77777777" w:rsidR="00640386" w:rsidRPr="00336F51" w:rsidRDefault="00640386" w:rsidP="00640386">
      <w:pPr>
        <w:pStyle w:val="LV2"/>
        <w:rPr>
          <w:lang w:val="en-US"/>
        </w:rPr>
      </w:pPr>
      <w:bookmarkStart w:id="24" w:name="_Hlk191370384"/>
      <w:r w:rsidRPr="00336F51">
        <w:lastRenderedPageBreak/>
        <w:t>having a haematological or solid organ cancer before clinical onset or clinical worsening;</w:t>
      </w:r>
    </w:p>
    <w:bookmarkEnd w:id="24"/>
    <w:p w14:paraId="3DA6327C" w14:textId="77777777" w:rsidR="00640386" w:rsidRPr="00336F51" w:rsidRDefault="00640386" w:rsidP="00640386">
      <w:pPr>
        <w:pStyle w:val="LV2"/>
      </w:pPr>
      <w:r w:rsidRPr="00336F51">
        <w:t>undergoing a course of radiotherapy for cancer, where the lower abdomen, pelvis or perineal region was in the field of radiation, before clinical onset or worsening;</w:t>
      </w:r>
    </w:p>
    <w:p w14:paraId="3297CD5A" w14:textId="77777777" w:rsidR="00640386" w:rsidRPr="00336F51" w:rsidRDefault="00640386" w:rsidP="00640386">
      <w:pPr>
        <w:pStyle w:val="LV2"/>
        <w:rPr>
          <w:lang w:val="en-US"/>
        </w:rPr>
      </w:pPr>
      <w:r w:rsidRPr="00336F51">
        <w:rPr>
          <w:lang w:val="en-US"/>
        </w:rPr>
        <w:t>having one of the following endocrine disorders at the time of clinical onset or clinical worsening;</w:t>
      </w:r>
    </w:p>
    <w:p w14:paraId="04ADBBFB" w14:textId="77777777" w:rsidR="00640386" w:rsidRPr="00336F51" w:rsidRDefault="00640386" w:rsidP="009E5FC6">
      <w:pPr>
        <w:pStyle w:val="LV3"/>
      </w:pPr>
      <w:r w:rsidRPr="00336F51">
        <w:t>adrenal insufficiency;</w:t>
      </w:r>
    </w:p>
    <w:p w14:paraId="18114E33" w14:textId="77777777" w:rsidR="00640386" w:rsidRPr="00336F51" w:rsidRDefault="00640386" w:rsidP="009E5FC6">
      <w:pPr>
        <w:pStyle w:val="LV3"/>
      </w:pPr>
      <w:r w:rsidRPr="00336F51">
        <w:t>Cushing syndrome;</w:t>
      </w:r>
    </w:p>
    <w:p w14:paraId="6AF1AEFA" w14:textId="77777777" w:rsidR="00640386" w:rsidRPr="00336F51" w:rsidRDefault="00640386" w:rsidP="009E5FC6">
      <w:pPr>
        <w:pStyle w:val="LV3"/>
      </w:pPr>
      <w:r w:rsidRPr="00336F51">
        <w:t>diabetes mellitus;</w:t>
      </w:r>
    </w:p>
    <w:p w14:paraId="54D28C5A" w14:textId="77777777" w:rsidR="00640386" w:rsidRPr="00336F51" w:rsidRDefault="00640386" w:rsidP="009E5FC6">
      <w:pPr>
        <w:pStyle w:val="LV3"/>
      </w:pPr>
      <w:r w:rsidRPr="00336F51">
        <w:t>Hashimoto disease with hypothyroidism;</w:t>
      </w:r>
    </w:p>
    <w:p w14:paraId="2C5F4950" w14:textId="77777777" w:rsidR="00640386" w:rsidRPr="00336F51" w:rsidRDefault="00640386" w:rsidP="009E5FC6">
      <w:pPr>
        <w:pStyle w:val="LV3"/>
      </w:pPr>
      <w:r w:rsidRPr="00336F51">
        <w:t>hyperprolactinaemia;</w:t>
      </w:r>
    </w:p>
    <w:p w14:paraId="5E8C5C20" w14:textId="77777777" w:rsidR="00640386" w:rsidRPr="00336F51" w:rsidRDefault="00640386" w:rsidP="009E5FC6">
      <w:pPr>
        <w:pStyle w:val="LV3"/>
      </w:pPr>
      <w:r w:rsidRPr="00336F51">
        <w:t>hyperthyroidism;</w:t>
      </w:r>
    </w:p>
    <w:p w14:paraId="49B71E34" w14:textId="77777777" w:rsidR="00640386" w:rsidRPr="00336F51" w:rsidRDefault="00640386" w:rsidP="009E5FC6">
      <w:pPr>
        <w:pStyle w:val="LV3"/>
      </w:pPr>
      <w:r w:rsidRPr="00336F51">
        <w:t>hypogonadism;</w:t>
      </w:r>
    </w:p>
    <w:p w14:paraId="110E7DEC" w14:textId="77777777" w:rsidR="00640386" w:rsidRPr="00336F51" w:rsidRDefault="00640386" w:rsidP="009E5FC6">
      <w:pPr>
        <w:pStyle w:val="LV3"/>
      </w:pPr>
      <w:r w:rsidRPr="00336F51">
        <w:t>hypopituitarism;</w:t>
      </w:r>
    </w:p>
    <w:p w14:paraId="74016FB8" w14:textId="77777777" w:rsidR="00640386" w:rsidRPr="00336F51" w:rsidRDefault="00640386" w:rsidP="009E5FC6">
      <w:pPr>
        <w:pStyle w:val="LV3"/>
      </w:pPr>
      <w:r w:rsidRPr="00336F51">
        <w:t>hypothyroidism.</w:t>
      </w:r>
    </w:p>
    <w:p w14:paraId="3EB6D9CE" w14:textId="77777777" w:rsidR="00640386" w:rsidRPr="00336F51" w:rsidRDefault="00640386" w:rsidP="00640386">
      <w:pPr>
        <w:pStyle w:val="LV2"/>
        <w:rPr>
          <w:lang w:val="en-US"/>
        </w:rPr>
      </w:pPr>
      <w:r w:rsidRPr="00336F51">
        <w:rPr>
          <w:lang w:val="en-US"/>
        </w:rPr>
        <w:t>having one of the following neurological disorders at the time of clinical onset or clinical worsening;</w:t>
      </w:r>
    </w:p>
    <w:p w14:paraId="07CE7B3F" w14:textId="77777777" w:rsidR="00640386" w:rsidRPr="009E5FC6" w:rsidRDefault="00640386" w:rsidP="009E5FC6">
      <w:pPr>
        <w:pStyle w:val="LV3"/>
      </w:pPr>
      <w:r w:rsidRPr="009E5FC6">
        <w:t>cauda equina syndrome;</w:t>
      </w:r>
    </w:p>
    <w:p w14:paraId="175AD756" w14:textId="77777777" w:rsidR="00640386" w:rsidRPr="009E5FC6" w:rsidRDefault="00640386" w:rsidP="009E5FC6">
      <w:pPr>
        <w:pStyle w:val="LV3"/>
      </w:pPr>
      <w:r w:rsidRPr="009E5FC6">
        <w:t>cerebrovascular accident;</w:t>
      </w:r>
    </w:p>
    <w:p w14:paraId="1303C19B" w14:textId="77777777" w:rsidR="00640386" w:rsidRPr="009E5FC6" w:rsidRDefault="00640386" w:rsidP="009E5FC6">
      <w:pPr>
        <w:pStyle w:val="LV3"/>
      </w:pPr>
      <w:r w:rsidRPr="009E5FC6">
        <w:t>moderate to severe traumatic brain injury;</w:t>
      </w:r>
    </w:p>
    <w:p w14:paraId="1227161A" w14:textId="77777777" w:rsidR="00640386" w:rsidRPr="009E5FC6" w:rsidRDefault="00640386" w:rsidP="009E5FC6">
      <w:pPr>
        <w:pStyle w:val="LV3"/>
      </w:pPr>
      <w:r w:rsidRPr="009E5FC6">
        <w:t>multiple sclerosis;</w:t>
      </w:r>
    </w:p>
    <w:p w14:paraId="00879F2B" w14:textId="77777777" w:rsidR="00640386" w:rsidRPr="009E5FC6" w:rsidRDefault="00640386" w:rsidP="009E5FC6">
      <w:pPr>
        <w:pStyle w:val="LV3"/>
      </w:pPr>
      <w:r w:rsidRPr="009E5FC6">
        <w:t xml:space="preserve">Parkinson disease or secondary parkinsonism; </w:t>
      </w:r>
    </w:p>
    <w:p w14:paraId="6DF1DF2E" w14:textId="77777777" w:rsidR="00640386" w:rsidRPr="009E5FC6" w:rsidRDefault="00640386" w:rsidP="009E5FC6">
      <w:pPr>
        <w:pStyle w:val="LV3"/>
      </w:pPr>
      <w:r w:rsidRPr="009E5FC6">
        <w:t>spinal cord injury.</w:t>
      </w:r>
    </w:p>
    <w:p w14:paraId="4B571B37" w14:textId="77777777" w:rsidR="00640386" w:rsidRPr="00336F51" w:rsidRDefault="00640386" w:rsidP="00640386">
      <w:pPr>
        <w:pStyle w:val="LV2"/>
      </w:pPr>
      <w:r w:rsidRPr="00336F51">
        <w:rPr>
          <w:lang w:val="en-US"/>
        </w:rPr>
        <w:t>having a severe, chronic medical condition at the time of clinical onset or clinical worsening</w:t>
      </w:r>
      <w:r w:rsidRPr="00336F51">
        <w:t>;</w:t>
      </w:r>
    </w:p>
    <w:p w14:paraId="67BBF6C7" w14:textId="77777777" w:rsidR="00640386" w:rsidRPr="00656192" w:rsidRDefault="00640386" w:rsidP="00640386">
      <w:pPr>
        <w:pStyle w:val="NOTE"/>
      </w:pPr>
      <w:r w:rsidRPr="00656192">
        <w:t xml:space="preserve">Note: </w:t>
      </w:r>
      <w:r w:rsidRPr="00656192">
        <w:rPr>
          <w:b/>
          <w:i/>
        </w:rPr>
        <w:t>severe, chronic medical condition</w:t>
      </w:r>
      <w:r w:rsidRPr="00656192">
        <w:t xml:space="preserve"> is defined in the Schedule 1 - Dictionary.</w:t>
      </w:r>
    </w:p>
    <w:p w14:paraId="3E618AF9" w14:textId="419A5BAF" w:rsidR="00640386" w:rsidRPr="00656192" w:rsidRDefault="00640386" w:rsidP="00640386">
      <w:pPr>
        <w:pStyle w:val="LV2"/>
        <w:rPr>
          <w:lang w:val="en-US"/>
        </w:rPr>
      </w:pPr>
      <w:bookmarkStart w:id="25" w:name="_Hlk189746660"/>
      <w:r w:rsidRPr="00656192">
        <w:rPr>
          <w:lang w:val="en-US"/>
        </w:rPr>
        <w:t>h</w:t>
      </w:r>
      <w:r w:rsidRPr="00336F51">
        <w:rPr>
          <w:lang w:val="en-US"/>
        </w:rPr>
        <w:t>aving persistent pain of at least 3 months, which is severe enough to interfere with daily living, at the time of clinical onset or clinical worsening;</w:t>
      </w:r>
    </w:p>
    <w:bookmarkEnd w:id="25"/>
    <w:p w14:paraId="3901D001" w14:textId="77777777" w:rsidR="00640386" w:rsidRPr="00336F51" w:rsidRDefault="00640386" w:rsidP="00640386">
      <w:pPr>
        <w:pStyle w:val="LV2"/>
      </w:pPr>
      <w:r w:rsidRPr="00336F51">
        <w:t>having a Body Mass Index (BMI) of 30 or greater at the time of clinical onset or clinical worsening;</w:t>
      </w:r>
    </w:p>
    <w:p w14:paraId="15958DBC" w14:textId="77777777" w:rsidR="00640386" w:rsidRPr="00336F51" w:rsidRDefault="00640386" w:rsidP="00640386">
      <w:pPr>
        <w:pStyle w:val="NOTE"/>
      </w:pPr>
      <w:r w:rsidRPr="00336F51">
        <w:t>Note: Body mass index (BMI) is calculated as W/H</w:t>
      </w:r>
      <w:r w:rsidRPr="00336F51">
        <w:rPr>
          <w:vertAlign w:val="superscript"/>
        </w:rPr>
        <w:t>2</w:t>
      </w:r>
      <w:r w:rsidRPr="00336F51">
        <w:t xml:space="preserve"> where:</w:t>
      </w:r>
    </w:p>
    <w:p w14:paraId="256B10D5" w14:textId="77777777" w:rsidR="00640386" w:rsidRPr="00336F51" w:rsidRDefault="00640386" w:rsidP="00640386">
      <w:pPr>
        <w:pStyle w:val="NOTE"/>
      </w:pPr>
      <w:r w:rsidRPr="00336F51">
        <w:t>(a) W is the person's weight in kilograms; and</w:t>
      </w:r>
    </w:p>
    <w:p w14:paraId="17718350" w14:textId="77777777" w:rsidR="00640386" w:rsidRPr="00656192" w:rsidRDefault="00640386" w:rsidP="00640386">
      <w:pPr>
        <w:pStyle w:val="NOTE"/>
      </w:pPr>
      <w:r w:rsidRPr="00336F51">
        <w:t>(b) H is the person's height in metres.</w:t>
      </w:r>
    </w:p>
    <w:p w14:paraId="35A98DE9" w14:textId="77777777" w:rsidR="00640386" w:rsidRPr="00336F51" w:rsidRDefault="00640386" w:rsidP="00640386">
      <w:pPr>
        <w:pStyle w:val="LV2"/>
        <w:rPr>
          <w:lang w:val="en-US"/>
        </w:rPr>
      </w:pPr>
      <w:r w:rsidRPr="00336F51">
        <w:rPr>
          <w:lang w:val="en-US"/>
        </w:rPr>
        <w:t>experiencing blunt or penetrating trauma to the vulva, vagina, perineum or pelvis, including surgical trauma and traumatic childbirth, in the 3 months immediately preceding clinical onset or clinical worsening;</w:t>
      </w:r>
    </w:p>
    <w:p w14:paraId="173BBDBB" w14:textId="77777777" w:rsidR="00640386" w:rsidRPr="00336F51" w:rsidRDefault="00640386" w:rsidP="00640386">
      <w:pPr>
        <w:pStyle w:val="LV2"/>
      </w:pPr>
      <w:r w:rsidRPr="00336F51">
        <w:lastRenderedPageBreak/>
        <w:t>having undergone menopause before clinical onset or clinical worsening</w:t>
      </w:r>
      <w:r w:rsidRPr="00336F51">
        <w:rPr>
          <w:lang w:val="en-US"/>
        </w:rPr>
        <w:t>;</w:t>
      </w:r>
    </w:p>
    <w:p w14:paraId="69EA693A" w14:textId="77777777" w:rsidR="00640386" w:rsidRPr="00656192" w:rsidRDefault="00640386" w:rsidP="00640386">
      <w:pPr>
        <w:pStyle w:val="NOTE"/>
      </w:pPr>
      <w:r w:rsidRPr="00656192">
        <w:t xml:space="preserve">Note: </w:t>
      </w:r>
      <w:r w:rsidRPr="00656192">
        <w:rPr>
          <w:b/>
          <w:i/>
        </w:rPr>
        <w:t>menopause</w:t>
      </w:r>
      <w:r w:rsidRPr="00656192">
        <w:t xml:space="preserve"> is defined in the Schedule 1 - Dictionary.</w:t>
      </w:r>
    </w:p>
    <w:p w14:paraId="3B2FBFF5" w14:textId="77777777" w:rsidR="00DC2F94" w:rsidRPr="00336F51" w:rsidRDefault="00DC2F94" w:rsidP="00DC2F94">
      <w:pPr>
        <w:pStyle w:val="LV2"/>
      </w:pPr>
      <w:r w:rsidRPr="00336F51">
        <w:t>having one of the following clinically significant disorders of mental health at the time of clinical onset or clinical worsening:</w:t>
      </w:r>
    </w:p>
    <w:p w14:paraId="31E3DEB7" w14:textId="77777777" w:rsidR="00DC2F94" w:rsidRPr="00336F51" w:rsidRDefault="00DC2F94" w:rsidP="00C86770">
      <w:pPr>
        <w:pStyle w:val="LV3"/>
        <w:numPr>
          <w:ilvl w:val="2"/>
          <w:numId w:val="20"/>
        </w:numPr>
      </w:pPr>
      <w:r w:rsidRPr="00336F51">
        <w:t>alcohol use disorder;</w:t>
      </w:r>
    </w:p>
    <w:p w14:paraId="796CD44C" w14:textId="77777777" w:rsidR="00DC2F94" w:rsidRPr="00336F51" w:rsidRDefault="00DC2F94" w:rsidP="00C86770">
      <w:pPr>
        <w:pStyle w:val="LV3"/>
        <w:numPr>
          <w:ilvl w:val="2"/>
          <w:numId w:val="20"/>
        </w:numPr>
      </w:pPr>
      <w:r w:rsidRPr="00336F51">
        <w:t>eating disorder;</w:t>
      </w:r>
    </w:p>
    <w:p w14:paraId="5F1965A3" w14:textId="77777777" w:rsidR="00DC2F94" w:rsidRPr="00336F51" w:rsidRDefault="00DC2F94" w:rsidP="00C86770">
      <w:pPr>
        <w:pStyle w:val="LV3"/>
        <w:numPr>
          <w:ilvl w:val="2"/>
          <w:numId w:val="20"/>
        </w:numPr>
      </w:pPr>
      <w:r w:rsidRPr="00336F51">
        <w:t>depressive disorder;</w:t>
      </w:r>
    </w:p>
    <w:p w14:paraId="581E80B6" w14:textId="77777777" w:rsidR="00DC2F94" w:rsidRPr="00336F51" w:rsidRDefault="00DC2F94" w:rsidP="00C86770">
      <w:pPr>
        <w:pStyle w:val="LV3"/>
        <w:numPr>
          <w:ilvl w:val="2"/>
          <w:numId w:val="20"/>
        </w:numPr>
      </w:pPr>
      <w:r w:rsidRPr="00336F51">
        <w:t>posttraumatic stress disorder;</w:t>
      </w:r>
    </w:p>
    <w:p w14:paraId="253CB9F5" w14:textId="77777777" w:rsidR="00DC2F94" w:rsidRPr="00336F51" w:rsidRDefault="00DC2F94" w:rsidP="00C86770">
      <w:pPr>
        <w:pStyle w:val="LV3"/>
        <w:numPr>
          <w:ilvl w:val="2"/>
          <w:numId w:val="20"/>
        </w:numPr>
      </w:pPr>
      <w:r w:rsidRPr="00336F51">
        <w:t>schizophrenia;</w:t>
      </w:r>
    </w:p>
    <w:p w14:paraId="6EC28D4B" w14:textId="77777777" w:rsidR="00DC2F94" w:rsidRPr="00656192" w:rsidRDefault="00DC2F94" w:rsidP="00DC2F94">
      <w:pPr>
        <w:pStyle w:val="NOTE"/>
        <w:ind w:left="1435" w:firstLine="0"/>
      </w:pPr>
      <w:r w:rsidRPr="00656192">
        <w:t xml:space="preserve">Note: </w:t>
      </w:r>
      <w:r w:rsidRPr="00656192">
        <w:rPr>
          <w:b/>
          <w:i/>
        </w:rPr>
        <w:t>clinically significant disorder of mental health</w:t>
      </w:r>
      <w:r w:rsidRPr="00656192">
        <w:t xml:space="preserve"> is defined in the Schedule 1 dictionary.</w:t>
      </w:r>
    </w:p>
    <w:p w14:paraId="58E15EAF" w14:textId="77777777" w:rsidR="00DC2F94" w:rsidRPr="00336F51" w:rsidRDefault="00DC2F94" w:rsidP="00DC2F94">
      <w:pPr>
        <w:pStyle w:val="LV2"/>
      </w:pPr>
      <w:bookmarkStart w:id="26" w:name="_Hlk191289975"/>
      <w:r w:rsidRPr="00336F51">
        <w:t>experiencing a category 1A stressor in the 5 years immediately preceding clinical onset or clinical worsening;</w:t>
      </w:r>
    </w:p>
    <w:p w14:paraId="58FA3FB5" w14:textId="77777777" w:rsidR="00DC2F94" w:rsidRPr="00656192" w:rsidRDefault="00DC2F94" w:rsidP="00DC2F94">
      <w:pPr>
        <w:pStyle w:val="NOTE"/>
      </w:pPr>
      <w:r w:rsidRPr="00656192">
        <w:t xml:space="preserve">Note: </w:t>
      </w:r>
      <w:r w:rsidRPr="00656192">
        <w:rPr>
          <w:b/>
          <w:i/>
        </w:rPr>
        <w:t>category 1A stressor</w:t>
      </w:r>
      <w:r w:rsidRPr="00656192">
        <w:t xml:space="preserve"> are defined in the Schedule 1 - Dictionary.</w:t>
      </w:r>
    </w:p>
    <w:bookmarkEnd w:id="26"/>
    <w:p w14:paraId="51E49E04" w14:textId="77777777" w:rsidR="00DC2F94" w:rsidRPr="00336F51" w:rsidRDefault="00DC2F94" w:rsidP="00DC2F94">
      <w:pPr>
        <w:pStyle w:val="LV2"/>
      </w:pPr>
      <w:r w:rsidRPr="00336F51">
        <w:t>having experienced as a child (under the age of 18) one of the following;</w:t>
      </w:r>
    </w:p>
    <w:p w14:paraId="4A8EDC4A" w14:textId="77777777" w:rsidR="00DC2F94" w:rsidRPr="006C3619" w:rsidRDefault="00DC2F94" w:rsidP="006C3619">
      <w:pPr>
        <w:pStyle w:val="LV3"/>
      </w:pPr>
      <w:r w:rsidRPr="006C3619">
        <w:t>serious physical, emotional, or sexual harm;</w:t>
      </w:r>
    </w:p>
    <w:p w14:paraId="65A5DEBE" w14:textId="77777777" w:rsidR="00DC2F94" w:rsidRPr="00336F51" w:rsidRDefault="00DC2F94" w:rsidP="00C86770">
      <w:pPr>
        <w:pStyle w:val="LV3"/>
      </w:pPr>
      <w:r w:rsidRPr="00336F51">
        <w:t>neglect involving a serious failure to provide the necessities for health, physical and emotional development, or wellbeing by adults with obligations to provide such necessities;</w:t>
      </w:r>
    </w:p>
    <w:p w14:paraId="275F1364" w14:textId="77777777" w:rsidR="00DC2F94" w:rsidRPr="00656192" w:rsidRDefault="00DC2F94" w:rsidP="00DC2F94">
      <w:pPr>
        <w:pStyle w:val="LV2"/>
        <w:numPr>
          <w:ilvl w:val="0"/>
          <w:numId w:val="0"/>
        </w:numPr>
        <w:ind w:left="1418"/>
      </w:pPr>
      <w:r w:rsidRPr="00336F51">
        <w:t>before clinical onset or clinical worsening;</w:t>
      </w:r>
    </w:p>
    <w:p w14:paraId="3155DAB5" w14:textId="77777777" w:rsidR="00DC2F94" w:rsidRPr="00336F51" w:rsidRDefault="00DC2F94" w:rsidP="00DC2F94">
      <w:pPr>
        <w:pStyle w:val="LV2"/>
      </w:pPr>
      <w:r w:rsidRPr="00336F51">
        <w:t>inability to undertake any physical activity greater than 3 METs for at least the 1 year before clinical onset or clinical worsening;</w:t>
      </w:r>
    </w:p>
    <w:p w14:paraId="45B422E7" w14:textId="77777777" w:rsidR="00DC2F94" w:rsidRPr="00656192" w:rsidRDefault="00DC2F94" w:rsidP="00DC2F94">
      <w:pPr>
        <w:pStyle w:val="NOTE"/>
      </w:pPr>
      <w:r w:rsidRPr="00336F51">
        <w:t>Note: MET (metabolic equivalent) is a unit of measure of the level of physical capability of the cardiorespiratory system. For example, 1 MET = cardiorespiratory effort associated with a person sitting, 3-4 METs = cardiorespiratory effort associated with a person walking at average walking pace (5 km/h) or light gardening.</w:t>
      </w:r>
    </w:p>
    <w:p w14:paraId="4799D493" w14:textId="77777777" w:rsidR="00DC2F94" w:rsidRPr="00336F51" w:rsidRDefault="00DC2F94" w:rsidP="00DC2F94">
      <w:pPr>
        <w:pStyle w:val="LV2"/>
      </w:pPr>
      <w:r w:rsidRPr="00336F51">
        <w:t>taking a medication from the specified list, in the 30 days immediately preceding clinical onset or clinical worsening;</w:t>
      </w:r>
    </w:p>
    <w:p w14:paraId="737CD49B" w14:textId="77777777" w:rsidR="00DC2F94" w:rsidRPr="00336F51" w:rsidRDefault="00DC2F94" w:rsidP="00C86770">
      <w:pPr>
        <w:pStyle w:val="LV3"/>
        <w:numPr>
          <w:ilvl w:val="2"/>
          <w:numId w:val="20"/>
        </w:numPr>
      </w:pPr>
      <w:r w:rsidRPr="00336F51">
        <w:t xml:space="preserve">antiepileptics; </w:t>
      </w:r>
    </w:p>
    <w:p w14:paraId="16F529E9" w14:textId="77777777" w:rsidR="00DC2F94" w:rsidRPr="00336F51" w:rsidRDefault="00DC2F94" w:rsidP="00C86770">
      <w:pPr>
        <w:pStyle w:val="LV3"/>
      </w:pPr>
      <w:r w:rsidRPr="00336F51">
        <w:t>antipsychotics;</w:t>
      </w:r>
    </w:p>
    <w:p w14:paraId="56557CD3" w14:textId="77777777" w:rsidR="00DC2F94" w:rsidRPr="00336F51" w:rsidRDefault="00DC2F94" w:rsidP="00C86770">
      <w:pPr>
        <w:pStyle w:val="LV3"/>
      </w:pPr>
      <w:r w:rsidRPr="00336F51">
        <w:t>aromatase inhibitors;</w:t>
      </w:r>
    </w:p>
    <w:p w14:paraId="28A298CC" w14:textId="77777777" w:rsidR="00DC2F94" w:rsidRPr="00336F51" w:rsidRDefault="00DC2F94" w:rsidP="00C86770">
      <w:pPr>
        <w:pStyle w:val="LV3"/>
      </w:pPr>
      <w:r w:rsidRPr="00336F51">
        <w:t>irreversible monoamine oxidase inhibitors;</w:t>
      </w:r>
    </w:p>
    <w:p w14:paraId="00CCA467" w14:textId="77777777" w:rsidR="00DC2F94" w:rsidRPr="00336F51" w:rsidRDefault="00DC2F94" w:rsidP="00C86770">
      <w:pPr>
        <w:pStyle w:val="LV3"/>
      </w:pPr>
      <w:r w:rsidRPr="00336F51">
        <w:t>selective serotonin reuptake inhibitors;</w:t>
      </w:r>
    </w:p>
    <w:p w14:paraId="45CBB22C" w14:textId="77777777" w:rsidR="00DC2F94" w:rsidRPr="00336F51" w:rsidRDefault="00DC2F94" w:rsidP="00C86770">
      <w:pPr>
        <w:pStyle w:val="LV3"/>
      </w:pPr>
      <w:r w:rsidRPr="00336F51">
        <w:t>serotonin and noradrenaline (norepinephrine) reuptake inhibitors;</w:t>
      </w:r>
    </w:p>
    <w:p w14:paraId="327F2903" w14:textId="77777777" w:rsidR="00DC2F94" w:rsidRPr="00336F51" w:rsidRDefault="00DC2F94" w:rsidP="00C86770">
      <w:pPr>
        <w:pStyle w:val="LV3"/>
      </w:pPr>
      <w:r w:rsidRPr="00336F51">
        <w:t>tamoxifen; or</w:t>
      </w:r>
    </w:p>
    <w:p w14:paraId="53553407" w14:textId="77777777" w:rsidR="00DC2F94" w:rsidRPr="00336F51" w:rsidRDefault="00DC2F94" w:rsidP="00C86770">
      <w:pPr>
        <w:pStyle w:val="LV3"/>
      </w:pPr>
      <w:r w:rsidRPr="00336F51">
        <w:t>tricyclic antidepressants.</w:t>
      </w:r>
    </w:p>
    <w:p w14:paraId="6AA54170" w14:textId="77777777" w:rsidR="00DC2F94" w:rsidRPr="00656192" w:rsidRDefault="00DC2F94" w:rsidP="006C3619">
      <w:pPr>
        <w:pStyle w:val="LV2"/>
        <w:keepNext/>
      </w:pPr>
      <w:r w:rsidRPr="00656192">
        <w:lastRenderedPageBreak/>
        <w:t xml:space="preserve">experiencing intimate partner violence in the 1 year immediately preceding clinical onset clinical onset or clinical worsening; </w:t>
      </w:r>
    </w:p>
    <w:p w14:paraId="60CC6271" w14:textId="77777777" w:rsidR="00DC2F94" w:rsidRDefault="00DC2F94" w:rsidP="006C3619">
      <w:pPr>
        <w:pStyle w:val="NOTE"/>
        <w:keepNext/>
      </w:pPr>
      <w:r>
        <w:t xml:space="preserve">Note: </w:t>
      </w:r>
      <w:r>
        <w:rPr>
          <w:b/>
          <w:bCs/>
          <w:i/>
          <w:iCs/>
        </w:rPr>
        <w:t>intimate partner violence</w:t>
      </w:r>
      <w:r>
        <w:t xml:space="preserve"> is defined in the Schedule 1 – Dictionary.</w:t>
      </w:r>
    </w:p>
    <w:p w14:paraId="4427A084" w14:textId="3637DB65" w:rsidR="007C7DEE" w:rsidRPr="008D1B8B" w:rsidRDefault="00C86770" w:rsidP="00336F51">
      <w:pPr>
        <w:pStyle w:val="LV2"/>
      </w:pPr>
      <w:r>
        <w:t xml:space="preserve">inability </w:t>
      </w:r>
      <w:r w:rsidR="007C7DEE" w:rsidRPr="008D1B8B">
        <w:t>to obtain appropriate clinical management for</w:t>
      </w:r>
      <w:bookmarkEnd w:id="22"/>
      <w:r w:rsidR="007A3989">
        <w:t xml:space="preserve"> </w:t>
      </w:r>
      <w:r w:rsidR="003C0AEC">
        <w:t>female sexual dysfunction</w:t>
      </w:r>
      <w:r w:rsidR="001C6A0D">
        <w:t xml:space="preserve"> before clinical worsening</w:t>
      </w:r>
      <w:r w:rsidR="00D5620B" w:rsidRPr="008D1B8B">
        <w:t>.</w:t>
      </w:r>
      <w:bookmarkEnd w:id="23"/>
    </w:p>
    <w:p w14:paraId="3F45AFE2" w14:textId="77777777" w:rsidR="000C21A3" w:rsidRPr="00684C0E" w:rsidRDefault="00D32F71" w:rsidP="00C96667">
      <w:pPr>
        <w:pStyle w:val="LV1"/>
      </w:pPr>
      <w:bookmarkStart w:id="27" w:name="_Toc522787309"/>
      <w:bookmarkStart w:id="28" w:name="_Ref402530057"/>
      <w:r>
        <w:t>Relationship to s</w:t>
      </w:r>
      <w:r w:rsidR="000C21A3" w:rsidRPr="00684C0E">
        <w:t>ervice</w:t>
      </w:r>
      <w:bookmarkEnd w:id="27"/>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8"/>
    <w:p w14:paraId="1D64B865" w14:textId="7E600981" w:rsidR="00CF2367" w:rsidRPr="00187DE1" w:rsidRDefault="00F03C06" w:rsidP="00DF65CF">
      <w:pPr>
        <w:pStyle w:val="LV2"/>
      </w:pPr>
      <w:r w:rsidRPr="00187DE1">
        <w:t xml:space="preserve">The </w:t>
      </w:r>
      <w:r w:rsidR="007A100B" w:rsidRPr="00BF5840">
        <w:t xml:space="preserve">clinical worsening aspect of factors </w:t>
      </w:r>
      <w:r w:rsidR="007A100B" w:rsidRPr="00187DE1">
        <w:t xml:space="preserve">set out in </w:t>
      </w:r>
      <w:r w:rsidR="007A100B">
        <w:t xml:space="preserve">section 9 </w:t>
      </w:r>
      <w:r w:rsidR="007A100B" w:rsidRPr="00187DE1">
        <w:t>appl</w:t>
      </w:r>
      <w:r w:rsidR="007A100B">
        <w:t>y</w:t>
      </w:r>
      <w:r w:rsidR="007A100B" w:rsidRPr="00187DE1">
        <w:t xml:space="preserve"> </w:t>
      </w:r>
      <w:r w:rsidR="002A04B0" w:rsidRPr="00187DE1">
        <w:t>only to material contribution to, or</w:t>
      </w:r>
      <w:r w:rsidRPr="00187DE1">
        <w:t xml:space="preserve"> aggravation of, </w:t>
      </w:r>
      <w:r w:rsidR="003C0AEC">
        <w:t>female sexual dysfunction</w:t>
      </w:r>
      <w:r w:rsidR="007A3989">
        <w:t xml:space="preserve"> </w:t>
      </w:r>
      <w:r w:rsidRPr="00187DE1">
        <w:t>where the person</w:t>
      </w:r>
      <w:r w:rsidR="008721B5">
        <w:t>'</w:t>
      </w:r>
      <w:r w:rsidRPr="00187DE1">
        <w:t xml:space="preserve">s </w:t>
      </w:r>
      <w:r w:rsidR="003C0AEC">
        <w:t>female sexual dysfunction</w:t>
      </w:r>
      <w:r w:rsidR="007A3989">
        <w:t xml:space="preserve"> </w:t>
      </w:r>
      <w:r w:rsidRPr="00187DE1">
        <w:t>was suffered or contracted before or during (but did not arise out of) the person</w:t>
      </w:r>
      <w:r w:rsidR="008721B5">
        <w:t>'</w:t>
      </w:r>
      <w:r w:rsidRPr="00187DE1">
        <w:t xml:space="preserve">s relevant service. </w:t>
      </w:r>
    </w:p>
    <w:p w14:paraId="3C02BC41" w14:textId="77777777" w:rsidR="00774897" w:rsidRPr="00301C54" w:rsidRDefault="00774897" w:rsidP="00C96667">
      <w:pPr>
        <w:pStyle w:val="LV1"/>
      </w:pPr>
      <w:bookmarkStart w:id="29" w:name="_Toc522787310"/>
      <w:r w:rsidRPr="00301C54">
        <w:t>Factors referring to an injury or disea</w:t>
      </w:r>
      <w:r w:rsidR="008B2204">
        <w:t>se covered by another Statement</w:t>
      </w:r>
      <w:r w:rsidRPr="00301C54">
        <w:t xml:space="preserve"> of Principles</w:t>
      </w:r>
      <w:bookmarkEnd w:id="29"/>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31F07938" w14:textId="77777777" w:rsidR="00F03C06" w:rsidRDefault="00F03C06" w:rsidP="00DF65CF">
      <w:pPr>
        <w:pStyle w:val="PlainIndent"/>
      </w:pPr>
    </w:p>
    <w:p w14:paraId="71672B3D" w14:textId="77777777" w:rsidR="00CF2367" w:rsidRPr="00FA33FB" w:rsidRDefault="00CF2367" w:rsidP="002A3436">
      <w:pPr>
        <w:pStyle w:val="SHHeader"/>
      </w:pPr>
      <w:bookmarkStart w:id="30" w:name="opcAmSched"/>
      <w:bookmarkStart w:id="31" w:name="opcCurrentFind"/>
      <w:bookmarkStart w:id="32"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14:paraId="1DF2B175" w14:textId="6C96F1E5" w:rsidR="00702C42" w:rsidRPr="003F39C0" w:rsidRDefault="00702C42" w:rsidP="003F39C0">
      <w:pPr>
        <w:pStyle w:val="NOTEScheduleonly"/>
      </w:pPr>
      <w:r w:rsidRPr="003F39C0">
        <w:t>Note:</w:t>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33" w:name="_Toc405472918"/>
      <w:bookmarkStart w:id="34" w:name="_Toc522787312"/>
      <w:r w:rsidRPr="00D97BB3">
        <w:t>Definitions</w:t>
      </w:r>
      <w:bookmarkEnd w:id="33"/>
      <w:bookmarkEnd w:id="34"/>
    </w:p>
    <w:p w14:paraId="3351BE07" w14:textId="77777777" w:rsidR="00702C42" w:rsidRDefault="00702C42" w:rsidP="00DF65CF">
      <w:pPr>
        <w:pStyle w:val="SH2"/>
      </w:pPr>
      <w:r w:rsidRPr="00516768">
        <w:t>In this instrument:</w:t>
      </w:r>
    </w:p>
    <w:p w14:paraId="6E220949" w14:textId="77777777" w:rsidR="00DC2F94" w:rsidRDefault="00DC2F94" w:rsidP="00DC2F94">
      <w:pPr>
        <w:pStyle w:val="SH3"/>
      </w:pPr>
      <w:r w:rsidRPr="00656192">
        <w:rPr>
          <w:b/>
          <w:bCs/>
          <w:i/>
          <w:iCs/>
        </w:rPr>
        <w:t>category 1A stressor</w:t>
      </w:r>
      <w:r>
        <w:t xml:space="preserve"> means one of the following severe traumatic events:</w:t>
      </w:r>
    </w:p>
    <w:p w14:paraId="2ACB2C22" w14:textId="77777777" w:rsidR="00DC2F94" w:rsidRDefault="00DC2F94" w:rsidP="00DC2F94">
      <w:pPr>
        <w:pStyle w:val="SH4"/>
      </w:pPr>
      <w:r>
        <w:t>experiencing a life-threatening event;</w:t>
      </w:r>
    </w:p>
    <w:p w14:paraId="4F68DC82" w14:textId="77777777" w:rsidR="00DC2F94" w:rsidRDefault="00DC2F94" w:rsidP="00DC2F94">
      <w:pPr>
        <w:pStyle w:val="SH4"/>
      </w:pPr>
      <w:r>
        <w:t xml:space="preserve">being subject to a serious physical attack, or assault including rape or sexual molestation; </w:t>
      </w:r>
    </w:p>
    <w:p w14:paraId="65A5FB7F" w14:textId="04E03DFF" w:rsidR="00DC2F94" w:rsidRPr="00DC2F94" w:rsidRDefault="00DC2F94" w:rsidP="00DC2F94">
      <w:pPr>
        <w:pStyle w:val="SH4"/>
      </w:pPr>
      <w:r>
        <w:t>being threatened with a weapon, being held captive, being kidnapped, or being tortured.</w:t>
      </w:r>
    </w:p>
    <w:p w14:paraId="4A53C9B9" w14:textId="562DCEC7" w:rsidR="00DC2F94" w:rsidRDefault="00DC2F94" w:rsidP="00DC2F94">
      <w:pPr>
        <w:pStyle w:val="SH3"/>
      </w:pPr>
      <w:r w:rsidRPr="00656192">
        <w:rPr>
          <w:b/>
          <w:bCs/>
          <w:i/>
          <w:iCs/>
        </w:rPr>
        <w:t>clinically significant disorder of mental health</w:t>
      </w:r>
      <w:r>
        <w:t xml:space="preserve"> means a disorder of mental health which is of sufficient severity to warrant ongoing management.</w:t>
      </w:r>
    </w:p>
    <w:p w14:paraId="24A57C68" w14:textId="0B6EA264" w:rsidR="00DC2F94" w:rsidRPr="00DC2F94" w:rsidRDefault="00DC2F94" w:rsidP="00DC2F94">
      <w:pPr>
        <w:pStyle w:val="Note2"/>
        <w:ind w:left="1418"/>
      </w:pPr>
      <w:r>
        <w:t>Note: To warrant ongoing management does not require that any actual management was received or given for the condition.</w:t>
      </w:r>
    </w:p>
    <w:p w14:paraId="522EC8D5" w14:textId="349A75C9" w:rsidR="00CC5D33" w:rsidRPr="00CC5D33" w:rsidRDefault="00CC5D33" w:rsidP="00CC5D33">
      <w:pPr>
        <w:pStyle w:val="SH3"/>
      </w:pPr>
      <w:r w:rsidRPr="00656192">
        <w:rPr>
          <w:b/>
          <w:bCs/>
          <w:i/>
          <w:iCs/>
        </w:rPr>
        <w:t>female orgasmic dysfunction</w:t>
      </w:r>
      <w:r w:rsidRPr="00CC5D33">
        <w:t xml:space="preserve"> means the presence of either of the following symptoms which are experienced on almost all or all (approximately 75-100%) occasions of sexual activity:</w:t>
      </w:r>
    </w:p>
    <w:p w14:paraId="67DB820C" w14:textId="77777777" w:rsidR="00CC5D33" w:rsidRPr="00CC5D33" w:rsidRDefault="00CC5D33" w:rsidP="00CC5D33">
      <w:pPr>
        <w:pStyle w:val="SH4"/>
      </w:pPr>
      <w:r w:rsidRPr="00CC5D33">
        <w:t>marked delay in, marked infrequency of, or absence of orgasm; or</w:t>
      </w:r>
    </w:p>
    <w:p w14:paraId="227C79C5" w14:textId="6B18EB10" w:rsidR="00CC5D33" w:rsidRPr="00516768" w:rsidRDefault="00CC5D33" w:rsidP="00CC5D33">
      <w:pPr>
        <w:pStyle w:val="SH4"/>
      </w:pPr>
      <w:r w:rsidRPr="00CC5D33">
        <w:t>markedly reduced intensity of orgasmic sensations.</w:t>
      </w:r>
    </w:p>
    <w:p w14:paraId="722E8259" w14:textId="49407B5F" w:rsidR="008C7C69" w:rsidRPr="00513D05" w:rsidRDefault="008C7C69" w:rsidP="00CC5D33">
      <w:pPr>
        <w:pStyle w:val="SH3"/>
      </w:pPr>
      <w:bookmarkStart w:id="35" w:name="_Ref402530810"/>
      <w:r w:rsidRPr="00CC5D33">
        <w:rPr>
          <w:b/>
          <w:bCs/>
          <w:i/>
          <w:iCs/>
        </w:rPr>
        <w:t>female sexual dysfunction</w:t>
      </w:r>
      <w:r w:rsidRPr="00513D05">
        <w:t>—see subsection</w:t>
      </w:r>
      <w:r>
        <w:t xml:space="preserve"> 7(2).</w:t>
      </w:r>
    </w:p>
    <w:p w14:paraId="17C201BD" w14:textId="77777777" w:rsidR="00CC5D33" w:rsidRPr="00CC5D33" w:rsidRDefault="00CC5D33" w:rsidP="00CC5D33">
      <w:pPr>
        <w:pStyle w:val="SH3"/>
      </w:pPr>
      <w:r w:rsidRPr="00656192">
        <w:rPr>
          <w:b/>
          <w:bCs/>
          <w:i/>
          <w:iCs/>
        </w:rPr>
        <w:t>female sexual interest/arousal dysfunction</w:t>
      </w:r>
      <w:r w:rsidRPr="00CC5D33">
        <w:t xml:space="preserve"> means lack of, or significantly reduced, sexual interest/arousal, as manifested by at least three of the following:</w:t>
      </w:r>
    </w:p>
    <w:p w14:paraId="08C97592" w14:textId="77777777" w:rsidR="00CC5D33" w:rsidRPr="00CC5D33" w:rsidRDefault="00CC5D33" w:rsidP="00CC5D33">
      <w:pPr>
        <w:pStyle w:val="SH4"/>
      </w:pPr>
      <w:r w:rsidRPr="00CC5D33">
        <w:t>absent or reduced interest in sexual activity;</w:t>
      </w:r>
    </w:p>
    <w:p w14:paraId="33B02793" w14:textId="77777777" w:rsidR="00CC5D33" w:rsidRPr="00CC5D33" w:rsidRDefault="00CC5D33" w:rsidP="00CC5D33">
      <w:pPr>
        <w:pStyle w:val="SH4"/>
      </w:pPr>
      <w:r w:rsidRPr="00CC5D33">
        <w:t xml:space="preserve">absent or reduced sexual or erotic thoughts or fantasies; </w:t>
      </w:r>
    </w:p>
    <w:p w14:paraId="07EAFB76" w14:textId="77777777" w:rsidR="00CC5D33" w:rsidRPr="00CC5D33" w:rsidRDefault="00CC5D33" w:rsidP="00CC5D33">
      <w:pPr>
        <w:pStyle w:val="SH4"/>
      </w:pPr>
      <w:r w:rsidRPr="00CC5D33">
        <w:t xml:space="preserve">no or reduced initiation of sexual activity, and typically unreceptive to a partner's attempts to initiate; </w:t>
      </w:r>
    </w:p>
    <w:p w14:paraId="5CBD952A" w14:textId="77777777" w:rsidR="00CC5D33" w:rsidRPr="00CC5D33" w:rsidRDefault="00CC5D33" w:rsidP="00CC5D33">
      <w:pPr>
        <w:pStyle w:val="SH4"/>
      </w:pPr>
      <w:r w:rsidRPr="00CC5D33">
        <w:t>absent or reduced sexual excitement or pleasure during sexual activity in almost all or all (approximately 75-100%) sexual encounters;</w:t>
      </w:r>
    </w:p>
    <w:p w14:paraId="7010480B" w14:textId="77777777" w:rsidR="00CC5D33" w:rsidRPr="00CC5D33" w:rsidRDefault="00CC5D33" w:rsidP="00CC5D33">
      <w:pPr>
        <w:pStyle w:val="SH4"/>
      </w:pPr>
      <w:r w:rsidRPr="00CC5D33">
        <w:t>absent or reduced sexual interest or arousal in response to any internal or external sexual/erotic cues (for example, written, verbal, visual); or</w:t>
      </w:r>
    </w:p>
    <w:p w14:paraId="40F63762" w14:textId="77777777" w:rsidR="00CC5D33" w:rsidRPr="00CC5D33" w:rsidRDefault="00CC5D33" w:rsidP="00CC5D33">
      <w:pPr>
        <w:pStyle w:val="SH4"/>
      </w:pPr>
      <w:r w:rsidRPr="00CC5D33">
        <w:t>absent or reduced genital or non-genital sensations during sexual activity in almost all or all sexual encounters.</w:t>
      </w:r>
    </w:p>
    <w:p w14:paraId="711C7447" w14:textId="77777777" w:rsidR="00CC5D33" w:rsidRDefault="00CC5D33" w:rsidP="00CC5D33">
      <w:pPr>
        <w:pStyle w:val="SH3"/>
      </w:pPr>
      <w:r w:rsidRPr="00656192">
        <w:rPr>
          <w:b/>
          <w:bCs/>
          <w:i/>
          <w:iCs/>
        </w:rPr>
        <w:t>genito-pelvic pain/penetration dysfunction</w:t>
      </w:r>
      <w:r w:rsidRPr="00CC5D33">
        <w:rPr>
          <w:b/>
          <w:bCs/>
          <w:i/>
          <w:iCs/>
        </w:rPr>
        <w:t xml:space="preserve"> </w:t>
      </w:r>
      <w:r>
        <w:t>means persistent or recurrent difficulties with one or more of the following:</w:t>
      </w:r>
    </w:p>
    <w:p w14:paraId="6BA5B03E" w14:textId="77777777" w:rsidR="00CC5D33" w:rsidRDefault="00CC5D33" w:rsidP="00CC5D33">
      <w:pPr>
        <w:pStyle w:val="SH4"/>
      </w:pPr>
      <w:r>
        <w:t>vaginal penetration during intercourse;</w:t>
      </w:r>
    </w:p>
    <w:p w14:paraId="4E671C74" w14:textId="77777777" w:rsidR="00CC5D33" w:rsidRDefault="00CC5D33" w:rsidP="00CC5D33">
      <w:pPr>
        <w:pStyle w:val="SH4"/>
      </w:pPr>
      <w:r>
        <w:t xml:space="preserve">marked vulvovaginal or pelvic pain during vaginal intercourse or penetration attempts; </w:t>
      </w:r>
    </w:p>
    <w:p w14:paraId="64BB7790" w14:textId="77777777" w:rsidR="00CC5D33" w:rsidRDefault="00CC5D33" w:rsidP="00CC5D33">
      <w:pPr>
        <w:pStyle w:val="SH4"/>
      </w:pPr>
      <w:r>
        <w:t>marked fear or anxiety about vulvovaginal or pelvic pain in anticipation of, during, or as a result of vaginal penetration; or</w:t>
      </w:r>
    </w:p>
    <w:p w14:paraId="70791F29" w14:textId="77777777" w:rsidR="00CC5D33" w:rsidRDefault="00CC5D33" w:rsidP="00CC5D33">
      <w:pPr>
        <w:pStyle w:val="SH4"/>
      </w:pPr>
      <w:r>
        <w:lastRenderedPageBreak/>
        <w:t>marked tensing or tightening of the pelvic floor muscles during attempted vaginal penetration.</w:t>
      </w:r>
    </w:p>
    <w:p w14:paraId="3708A7E7" w14:textId="75CACDC2" w:rsidR="00DC2F94" w:rsidRPr="00DC2F94" w:rsidRDefault="00DC2F94" w:rsidP="00DC2F94">
      <w:pPr>
        <w:pStyle w:val="SH3"/>
      </w:pPr>
      <w:r w:rsidRPr="00656192">
        <w:rPr>
          <w:b/>
          <w:bCs/>
          <w:i/>
          <w:iCs/>
        </w:rPr>
        <w:t>intimate partner</w:t>
      </w:r>
      <w:r w:rsidRPr="00DC2F94">
        <w:t xml:space="preserve"> means a person who is or has been in an intimate relationship with another person.</w:t>
      </w:r>
    </w:p>
    <w:p w14:paraId="29FF2CB3" w14:textId="2320A939" w:rsidR="00DC2F94" w:rsidRDefault="00DC2F94" w:rsidP="00DC2F94">
      <w:pPr>
        <w:pStyle w:val="SH3"/>
      </w:pPr>
      <w:r w:rsidRPr="00656192">
        <w:rPr>
          <w:b/>
          <w:bCs/>
          <w:i/>
          <w:iCs/>
        </w:rPr>
        <w:t>intimate partner violenc</w:t>
      </w:r>
      <w:r w:rsidRPr="00DC2F94">
        <w:rPr>
          <w:b/>
          <w:bCs/>
          <w:i/>
          <w:iCs/>
        </w:rPr>
        <w:t>e</w:t>
      </w:r>
      <w:r>
        <w:t xml:space="preserve"> means behaviour within an intimate relationship perpetrated by an intimate partner that causes or has the capacity to cause physical, sexual, economic or psychological harm. Examples include, but are not limited to:</w:t>
      </w:r>
    </w:p>
    <w:p w14:paraId="3D629097" w14:textId="77777777" w:rsidR="00DC2F94" w:rsidRDefault="00DC2F94" w:rsidP="00DC2F94">
      <w:pPr>
        <w:pStyle w:val="SH4"/>
      </w:pPr>
      <w:r>
        <w:t>violence;</w:t>
      </w:r>
    </w:p>
    <w:p w14:paraId="0951C83A" w14:textId="77777777" w:rsidR="00DC2F94" w:rsidRDefault="00DC2F94" w:rsidP="00DC2F94">
      <w:pPr>
        <w:pStyle w:val="SH4"/>
      </w:pPr>
      <w:r>
        <w:t>threats;</w:t>
      </w:r>
    </w:p>
    <w:p w14:paraId="217B049B" w14:textId="77777777" w:rsidR="00DC2F94" w:rsidRDefault="00DC2F94" w:rsidP="00DC2F94">
      <w:pPr>
        <w:pStyle w:val="SH4"/>
      </w:pPr>
      <w:r>
        <w:t>harmful behaviours or threats of harmful behaviours directed towards a child, animal or another adult;</w:t>
      </w:r>
    </w:p>
    <w:p w14:paraId="076C763E" w14:textId="77777777" w:rsidR="00DC2F94" w:rsidRDefault="00DC2F94" w:rsidP="00DC2F94">
      <w:pPr>
        <w:pStyle w:val="SH4"/>
      </w:pPr>
      <w:r>
        <w:t>neglect where there is a relationship of dependence</w:t>
      </w:r>
    </w:p>
    <w:p w14:paraId="6700EA62" w14:textId="77777777" w:rsidR="00DC2F94" w:rsidRDefault="00DC2F94" w:rsidP="00DC2F94">
      <w:pPr>
        <w:pStyle w:val="SH4"/>
      </w:pPr>
      <w:r>
        <w:t>coercion;</w:t>
      </w:r>
    </w:p>
    <w:p w14:paraId="292CA4D8" w14:textId="77777777" w:rsidR="00DC2F94" w:rsidRDefault="00DC2F94" w:rsidP="00DC2F94">
      <w:pPr>
        <w:pStyle w:val="SH4"/>
      </w:pPr>
      <w:r>
        <w:t>stalking;</w:t>
      </w:r>
    </w:p>
    <w:p w14:paraId="30BCB3E2" w14:textId="77777777" w:rsidR="00DC2F94" w:rsidRDefault="00DC2F94" w:rsidP="00DC2F94">
      <w:pPr>
        <w:pStyle w:val="SH4"/>
      </w:pPr>
      <w:r>
        <w:t>humiliation;</w:t>
      </w:r>
    </w:p>
    <w:p w14:paraId="524DAE88" w14:textId="77777777" w:rsidR="00DC2F94" w:rsidRDefault="00DC2F94" w:rsidP="00DC2F94">
      <w:pPr>
        <w:pStyle w:val="SH4"/>
      </w:pPr>
      <w:r>
        <w:t>restriction of access to education, employment or medical care; or</w:t>
      </w:r>
    </w:p>
    <w:p w14:paraId="092D718C" w14:textId="77777777" w:rsidR="00DC2F94" w:rsidRDefault="00DC2F94" w:rsidP="00DC2F94">
      <w:pPr>
        <w:pStyle w:val="SH4"/>
      </w:pPr>
      <w:r>
        <w:t>isolation from family, friends or colleagues.</w:t>
      </w:r>
    </w:p>
    <w:p w14:paraId="2F69CF0B" w14:textId="77777777" w:rsidR="00DC2F94" w:rsidRDefault="00DC2F94" w:rsidP="00FE38E0">
      <w:pPr>
        <w:pStyle w:val="NOTEScheduleonly"/>
        <w:spacing w:before="122"/>
        <w:ind w:left="851"/>
      </w:pPr>
      <w:r>
        <w:t xml:space="preserve">Note 1: </w:t>
      </w:r>
      <w:r w:rsidRPr="00784A64">
        <w:rPr>
          <w:b/>
          <w:bCs/>
          <w:i/>
          <w:iCs/>
        </w:rPr>
        <w:t>intimate relationship</w:t>
      </w:r>
      <w:r>
        <w:t xml:space="preserve"> is defined in the Schedule 1 – Dictionary.</w:t>
      </w:r>
    </w:p>
    <w:p w14:paraId="0E0A8EBF" w14:textId="0938A1E8" w:rsidR="00DC2F94" w:rsidRPr="00DC2F94" w:rsidRDefault="00DC2F94" w:rsidP="00FE38E0">
      <w:pPr>
        <w:pStyle w:val="NOTEScheduleonly"/>
        <w:spacing w:before="122"/>
        <w:ind w:left="851"/>
      </w:pPr>
      <w:r>
        <w:t xml:space="preserve">Note 2: </w:t>
      </w:r>
      <w:r w:rsidRPr="00784A64">
        <w:rPr>
          <w:b/>
          <w:bCs/>
          <w:i/>
          <w:iCs/>
        </w:rPr>
        <w:t>intimate partner</w:t>
      </w:r>
      <w:r>
        <w:t xml:space="preserve"> is defined in the Schedule 1 – Dictionary.</w:t>
      </w:r>
    </w:p>
    <w:p w14:paraId="2A357C2C" w14:textId="00447727" w:rsidR="00DC2F94" w:rsidRPr="00DC2F94" w:rsidRDefault="00DC2F94" w:rsidP="00CC5D33">
      <w:pPr>
        <w:pStyle w:val="SH3"/>
      </w:pPr>
      <w:r w:rsidRPr="00656192">
        <w:rPr>
          <w:b/>
          <w:bCs/>
          <w:i/>
          <w:iCs/>
        </w:rPr>
        <w:t>intimate relationshi</w:t>
      </w:r>
      <w:r w:rsidRPr="00DC2F94">
        <w:rPr>
          <w:b/>
          <w:bCs/>
          <w:i/>
          <w:iCs/>
        </w:rPr>
        <w:t>p</w:t>
      </w:r>
      <w:r w:rsidRPr="00DC2F94">
        <w:t xml:space="preserve"> means a relationship that involves emotional and/or physical closeness and interdependence between people. Purely commercial relationships however are excluded from this definition.</w:t>
      </w:r>
    </w:p>
    <w:p w14:paraId="61D70947" w14:textId="3F61E907" w:rsidR="00640386" w:rsidRPr="00640386" w:rsidRDefault="00640386" w:rsidP="00CC5D33">
      <w:pPr>
        <w:pStyle w:val="SH3"/>
      </w:pPr>
      <w:r w:rsidRPr="00656192">
        <w:rPr>
          <w:b/>
          <w:bCs/>
          <w:i/>
          <w:iCs/>
        </w:rPr>
        <w:t>menopause</w:t>
      </w:r>
      <w:r w:rsidRPr="00640386">
        <w:rPr>
          <w:b/>
          <w:bCs/>
          <w:i/>
          <w:iCs/>
        </w:rPr>
        <w:t xml:space="preserve"> </w:t>
      </w:r>
      <w:r w:rsidRPr="00640386">
        <w:t>means the end of menstruation, defined as more than 12 months since the final menstrual period.</w:t>
      </w:r>
    </w:p>
    <w:p w14:paraId="61F3D3F5" w14:textId="2DC7B77D" w:rsidR="00885EAB" w:rsidRPr="009C404D" w:rsidRDefault="00885EAB" w:rsidP="00CC5D33">
      <w:pPr>
        <w:pStyle w:val="SH3"/>
      </w:pPr>
      <w:r w:rsidRPr="00973808">
        <w:rPr>
          <w:b/>
        </w:rPr>
        <w:t>MRCA</w:t>
      </w:r>
      <w:r w:rsidRPr="00B90B8D">
        <w:rPr>
          <w:b/>
        </w:rPr>
        <w:t xml:space="preserve"> </w:t>
      </w:r>
      <w:r w:rsidRPr="00973808">
        <w:t>me</w:t>
      </w:r>
      <w:r w:rsidRPr="00024911">
        <w:rPr>
          <w:rStyle w:val="SH3nospaceChar"/>
        </w:rPr>
        <w:t>a</w:t>
      </w:r>
      <w:r w:rsidRPr="00973808">
        <w:t>ns</w:t>
      </w:r>
      <w:r w:rsidRPr="009C404D">
        <w:t xml:space="preserve"> the </w:t>
      </w:r>
      <w:r w:rsidRPr="00973808">
        <w:t>Military Rehabilitation and Compensation Act 2004</w:t>
      </w:r>
      <w:r w:rsidRPr="009C404D">
        <w:t>.</w:t>
      </w:r>
    </w:p>
    <w:bookmarkEnd w:id="35"/>
    <w:p w14:paraId="62173E6F" w14:textId="77777777" w:rsidR="00885EAB" w:rsidRPr="009C404D" w:rsidRDefault="00054930" w:rsidP="00CC5D33">
      <w:pPr>
        <w:pStyle w:val="SH3"/>
      </w:pPr>
      <w:r w:rsidRPr="008B6CBB">
        <w:rPr>
          <w:b/>
          <w:bCs/>
          <w:i/>
          <w:iCs/>
        </w:rPr>
        <w:t>r</w:t>
      </w:r>
      <w:r w:rsidR="00885EAB" w:rsidRPr="008B6CBB">
        <w:rPr>
          <w:b/>
          <w:bCs/>
          <w:i/>
          <w:iCs/>
        </w:rPr>
        <w:t>elevant service</w:t>
      </w:r>
      <w:r w:rsidR="00885EAB" w:rsidRPr="009C404D">
        <w:t xml:space="preserve"> means:</w:t>
      </w:r>
    </w:p>
    <w:p w14:paraId="30C31FC3" w14:textId="77777777" w:rsidR="00885EAB" w:rsidRPr="00365E25" w:rsidRDefault="00C77046" w:rsidP="00984EE9">
      <w:pPr>
        <w:pStyle w:val="SH4"/>
        <w:ind w:left="1418"/>
      </w:pPr>
      <w:bookmarkStart w:id="36" w:name="_Ref402529607"/>
      <w:r>
        <w:t xml:space="preserve">eligible war service (other than operational </w:t>
      </w:r>
      <w:r w:rsidR="00885EAB" w:rsidRPr="00365E25">
        <w:t>service</w:t>
      </w:r>
      <w:r>
        <w:t>) under the VEA;</w:t>
      </w:r>
    </w:p>
    <w:p w14:paraId="48A643D9"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2D85A4AA" w14:textId="77777777" w:rsidR="00885EAB" w:rsidRPr="00513D05" w:rsidRDefault="00C77046" w:rsidP="00984EE9">
      <w:pPr>
        <w:pStyle w:val="SH4"/>
        <w:ind w:left="1418"/>
      </w:pPr>
      <w:r>
        <w:t>peacetime service under the MRCA.</w:t>
      </w:r>
    </w:p>
    <w:p w14:paraId="7B0AD683"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76250C12" w14:textId="3EF0619B" w:rsidR="00640386" w:rsidRDefault="00640386" w:rsidP="00640386">
      <w:pPr>
        <w:pStyle w:val="SH3"/>
      </w:pPr>
      <w:r w:rsidRPr="00656192">
        <w:rPr>
          <w:b/>
          <w:bCs/>
          <w:i/>
          <w:iCs/>
        </w:rPr>
        <w:t>severe, chronic medical conditio</w:t>
      </w:r>
      <w:r w:rsidRPr="00640386">
        <w:rPr>
          <w:b/>
          <w:bCs/>
          <w:i/>
          <w:iCs/>
        </w:rPr>
        <w:t>n</w:t>
      </w:r>
      <w:r>
        <w:t xml:space="preserve"> means an illness which substantially impacts on social, occupational or other important areas of functioning; and requires on-going daily or almost daily management of symptoms. This management may include, but is not limited to, assistance with activities of daily living; bed rest; dietary modification; drug therapy; nursing care; oxygen therapy or physiotherapy. This management must be supervised by a registered health practitioner.  </w:t>
      </w:r>
    </w:p>
    <w:p w14:paraId="244B6EE1" w14:textId="064CFD5D" w:rsidR="00640386" w:rsidRPr="00640386" w:rsidRDefault="00640386" w:rsidP="00640386">
      <w:pPr>
        <w:pStyle w:val="SH3"/>
      </w:pPr>
      <w:r>
        <w:t xml:space="preserve">Severe, chronic medical conditions do not usually resolve spontaneously, are rarely cured completely and may progress to life threatening illnesses.  Examples of these conditions include poorly controlled asthma, chronic obstructive pulmonary disease, poorly controlled diabetes mellitus, </w:t>
      </w:r>
      <w:r>
        <w:lastRenderedPageBreak/>
        <w:t>inflammatory bowel disease, systemic lupus erythematosus, systemic sclerosis, pemphigus, psoriasis and rheumatoid arthritis.</w:t>
      </w:r>
    </w:p>
    <w:p w14:paraId="0FD10A16" w14:textId="295B07EA" w:rsidR="00885EAB" w:rsidRPr="009C404D" w:rsidRDefault="00054930" w:rsidP="00CC5D33">
      <w:pPr>
        <w:pStyle w:val="SH3"/>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14:paraId="617C9B19" w14:textId="5D9BC764" w:rsidR="00885EAB" w:rsidRPr="00513D05" w:rsidRDefault="00885EAB" w:rsidP="00984EE9">
      <w:pPr>
        <w:pStyle w:val="SH4"/>
        <w:ind w:left="1418"/>
      </w:pPr>
      <w:r w:rsidRPr="00513D05">
        <w:t>pneumonia;</w:t>
      </w:r>
    </w:p>
    <w:p w14:paraId="0456F543" w14:textId="3C3D3852" w:rsidR="00885EAB" w:rsidRPr="00513D05" w:rsidRDefault="00885EAB" w:rsidP="00984EE9">
      <w:pPr>
        <w:pStyle w:val="SH4"/>
        <w:ind w:left="1418"/>
      </w:pPr>
      <w:r w:rsidRPr="00513D05">
        <w:t>respiratory failure;</w:t>
      </w:r>
    </w:p>
    <w:p w14:paraId="170BC364" w14:textId="13A686B8" w:rsidR="00885EAB" w:rsidRPr="00513D05" w:rsidRDefault="00885EAB" w:rsidP="00984EE9">
      <w:pPr>
        <w:pStyle w:val="SH4"/>
        <w:ind w:left="1418"/>
      </w:pPr>
      <w:r w:rsidRPr="00513D05">
        <w:t>cardiac arrest;</w:t>
      </w:r>
    </w:p>
    <w:p w14:paraId="395381B6" w14:textId="768B0E04" w:rsidR="00885EAB" w:rsidRPr="00513D05" w:rsidRDefault="00885EAB" w:rsidP="00984EE9">
      <w:pPr>
        <w:pStyle w:val="SH4"/>
        <w:ind w:left="1418"/>
      </w:pPr>
      <w:r w:rsidRPr="00513D05">
        <w:t>circulatory failure;</w:t>
      </w:r>
      <w:r w:rsidR="002376A0">
        <w:t xml:space="preserve"> or</w:t>
      </w:r>
    </w:p>
    <w:p w14:paraId="53A3E74D" w14:textId="4FA5B31A" w:rsidR="00BD3334" w:rsidRPr="00BD3334" w:rsidRDefault="00885EAB" w:rsidP="00984EE9">
      <w:pPr>
        <w:pStyle w:val="SH4"/>
        <w:ind w:left="1418"/>
      </w:pPr>
      <w:r w:rsidRPr="00513D05">
        <w:t>cessation of brain function.</w:t>
      </w:r>
    </w:p>
    <w:p w14:paraId="51ED5A0D" w14:textId="77777777" w:rsidR="00225CBD" w:rsidRPr="0019084F" w:rsidRDefault="00885EAB" w:rsidP="00CC5D33">
      <w:pPr>
        <w:pStyle w:val="SH3"/>
      </w:pPr>
      <w:r w:rsidRPr="00CB1DCB">
        <w:rPr>
          <w:b/>
        </w:rPr>
        <w:t>VEA</w:t>
      </w:r>
      <w:r w:rsidRPr="0019084F">
        <w:t xml:space="preserve"> means the Veterans</w:t>
      </w:r>
      <w:r w:rsidR="004E59D1">
        <w:t>'</w:t>
      </w:r>
      <w:r w:rsidRPr="0019084F">
        <w:t xml:space="preserve"> Entitlements Act 1986.</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6127" w14:textId="77777777" w:rsidR="005528C0" w:rsidRDefault="005528C0" w:rsidP="00715914">
      <w:pPr>
        <w:spacing w:line="240" w:lineRule="auto"/>
      </w:pPr>
      <w:r>
        <w:separator/>
      </w:r>
    </w:p>
  </w:endnote>
  <w:endnote w:type="continuationSeparator" w:id="0">
    <w:p w14:paraId="27363F39" w14:textId="77777777" w:rsidR="005528C0" w:rsidRDefault="005528C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681215" w:rsidRPr="00C01863" w14:paraId="3E7D7C65" w14:textId="77777777" w:rsidTr="00BF28A9">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34F8FD70" w:rsidR="00681215" w:rsidRDefault="003C0AEC" w:rsidP="00681215">
          <w:pPr>
            <w:spacing w:line="0" w:lineRule="atLeast"/>
            <w:jc w:val="center"/>
            <w:rPr>
              <w:i/>
              <w:sz w:val="18"/>
              <w:szCs w:val="18"/>
            </w:rPr>
          </w:pPr>
          <w:r w:rsidRPr="003C0AEC">
            <w:rPr>
              <w:i/>
              <w:sz w:val="18"/>
              <w:szCs w:val="18"/>
            </w:rPr>
            <w:t>female sexual dysfunction</w:t>
          </w:r>
          <w:r w:rsidR="00681215">
            <w:rPr>
              <w:i/>
              <w:sz w:val="18"/>
              <w:szCs w:val="18"/>
            </w:rPr>
            <w:t xml:space="preserve"> (Balance of Probabilities) </w:t>
          </w:r>
          <w:r w:rsidR="00681215" w:rsidRPr="007C5CE0">
            <w:rPr>
              <w:i/>
              <w:sz w:val="18"/>
            </w:rPr>
            <w:t xml:space="preserve">(No. </w:t>
          </w:r>
          <w:r w:rsidR="00162EE8">
            <w:rPr>
              <w:i/>
              <w:sz w:val="18"/>
            </w:rPr>
            <w:t xml:space="preserve">44 </w:t>
          </w:r>
          <w:r w:rsidR="00681215" w:rsidRPr="007C5CE0">
            <w:rPr>
              <w:i/>
              <w:sz w:val="18"/>
              <w:szCs w:val="18"/>
            </w:rPr>
            <w:t xml:space="preserve">of </w:t>
          </w:r>
          <w:r>
            <w:rPr>
              <w:i/>
              <w:sz w:val="18"/>
              <w:szCs w:val="18"/>
            </w:rPr>
            <w:t>202</w:t>
          </w:r>
          <w:r w:rsidR="00162EE8">
            <w:rPr>
              <w:i/>
              <w:sz w:val="18"/>
              <w:szCs w:val="18"/>
            </w:rPr>
            <w:t>6</w:t>
          </w:r>
          <w:r w:rsidR="00681215" w:rsidRPr="007C5CE0">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681215" w:rsidRPr="00C01863" w14:paraId="6AB9EE9B" w14:textId="77777777" w:rsidTr="00463F44">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188D31CA" w:rsidR="00681215" w:rsidRDefault="003C0AEC" w:rsidP="00681215">
          <w:pPr>
            <w:spacing w:line="0" w:lineRule="atLeast"/>
            <w:jc w:val="center"/>
            <w:rPr>
              <w:i/>
              <w:sz w:val="18"/>
              <w:szCs w:val="18"/>
            </w:rPr>
          </w:pPr>
          <w:r w:rsidRPr="003C0AEC">
            <w:rPr>
              <w:i/>
              <w:sz w:val="18"/>
              <w:szCs w:val="18"/>
            </w:rPr>
            <w:t>female sexual dysfunction</w:t>
          </w:r>
          <w:r w:rsidR="00681215">
            <w:rPr>
              <w:i/>
              <w:sz w:val="18"/>
              <w:szCs w:val="18"/>
            </w:rPr>
            <w:t xml:space="preserve"> (Balance of Probabilities) </w:t>
          </w:r>
          <w:r w:rsidR="00681215" w:rsidRPr="007C5CE0">
            <w:rPr>
              <w:i/>
              <w:sz w:val="18"/>
            </w:rPr>
            <w:t xml:space="preserve">(No. </w:t>
          </w:r>
          <w:r w:rsidR="00162EE8">
            <w:rPr>
              <w:i/>
              <w:sz w:val="18"/>
            </w:rPr>
            <w:t xml:space="preserve">44 </w:t>
          </w:r>
          <w:r w:rsidR="00681215" w:rsidRPr="007C5CE0">
            <w:rPr>
              <w:i/>
              <w:sz w:val="18"/>
              <w:szCs w:val="18"/>
            </w:rPr>
            <w:t xml:space="preserve">of </w:t>
          </w:r>
          <w:r>
            <w:rPr>
              <w:i/>
              <w:sz w:val="18"/>
              <w:szCs w:val="18"/>
            </w:rPr>
            <w:t>202</w:t>
          </w:r>
          <w:r w:rsidR="00162EE8">
            <w:rPr>
              <w:i/>
              <w:sz w:val="18"/>
              <w:szCs w:val="18"/>
            </w:rPr>
            <w:t>6</w:t>
          </w:r>
          <w:r w:rsidR="00681215" w:rsidRPr="007C5CE0">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16F41" w14:textId="77777777" w:rsidR="005528C0" w:rsidRDefault="005528C0" w:rsidP="00715914">
      <w:pPr>
        <w:spacing w:line="240" w:lineRule="auto"/>
      </w:pPr>
      <w:r>
        <w:separator/>
      </w:r>
    </w:p>
  </w:footnote>
  <w:footnote w:type="continuationSeparator" w:id="0">
    <w:p w14:paraId="544EBC6C" w14:textId="77777777" w:rsidR="005528C0" w:rsidRDefault="005528C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1AAB21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CD78292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AE1A61"/>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A341505"/>
    <w:multiLevelType w:val="hybridMultilevel"/>
    <w:tmpl w:val="0B389E52"/>
    <w:lvl w:ilvl="0" w:tplc="07E66662">
      <w:start w:val="1"/>
      <w:numFmt w:val="lowerRoman"/>
      <w:lvlText w:val="(%1)"/>
      <w:lvlJc w:val="left"/>
      <w:pPr>
        <w:ind w:left="2761" w:hanging="360"/>
      </w:pPr>
      <w:rPr>
        <w:rFonts w:hint="default"/>
      </w:rPr>
    </w:lvl>
    <w:lvl w:ilvl="1" w:tplc="0C090019" w:tentative="1">
      <w:start w:val="1"/>
      <w:numFmt w:val="lowerLetter"/>
      <w:lvlText w:val="%2."/>
      <w:lvlJc w:val="left"/>
      <w:pPr>
        <w:ind w:left="3481" w:hanging="360"/>
      </w:pPr>
    </w:lvl>
    <w:lvl w:ilvl="2" w:tplc="0C09001B" w:tentative="1">
      <w:start w:val="1"/>
      <w:numFmt w:val="lowerRoman"/>
      <w:lvlText w:val="%3."/>
      <w:lvlJc w:val="right"/>
      <w:pPr>
        <w:ind w:left="4201" w:hanging="180"/>
      </w:pPr>
    </w:lvl>
    <w:lvl w:ilvl="3" w:tplc="0C09000F" w:tentative="1">
      <w:start w:val="1"/>
      <w:numFmt w:val="decimal"/>
      <w:lvlText w:val="%4."/>
      <w:lvlJc w:val="left"/>
      <w:pPr>
        <w:ind w:left="4921" w:hanging="360"/>
      </w:pPr>
    </w:lvl>
    <w:lvl w:ilvl="4" w:tplc="0C090019" w:tentative="1">
      <w:start w:val="1"/>
      <w:numFmt w:val="lowerLetter"/>
      <w:lvlText w:val="%5."/>
      <w:lvlJc w:val="left"/>
      <w:pPr>
        <w:ind w:left="5641" w:hanging="360"/>
      </w:pPr>
    </w:lvl>
    <w:lvl w:ilvl="5" w:tplc="0C09001B" w:tentative="1">
      <w:start w:val="1"/>
      <w:numFmt w:val="lowerRoman"/>
      <w:lvlText w:val="%6."/>
      <w:lvlJc w:val="right"/>
      <w:pPr>
        <w:ind w:left="6361" w:hanging="180"/>
      </w:pPr>
    </w:lvl>
    <w:lvl w:ilvl="6" w:tplc="0C09000F" w:tentative="1">
      <w:start w:val="1"/>
      <w:numFmt w:val="decimal"/>
      <w:lvlText w:val="%7."/>
      <w:lvlJc w:val="left"/>
      <w:pPr>
        <w:ind w:left="7081" w:hanging="360"/>
      </w:pPr>
    </w:lvl>
    <w:lvl w:ilvl="7" w:tplc="0C090019" w:tentative="1">
      <w:start w:val="1"/>
      <w:numFmt w:val="lowerLetter"/>
      <w:lvlText w:val="%8."/>
      <w:lvlJc w:val="left"/>
      <w:pPr>
        <w:ind w:left="7801" w:hanging="360"/>
      </w:pPr>
    </w:lvl>
    <w:lvl w:ilvl="8" w:tplc="0C09001B" w:tentative="1">
      <w:start w:val="1"/>
      <w:numFmt w:val="lowerRoman"/>
      <w:lvlText w:val="%9."/>
      <w:lvlJc w:val="right"/>
      <w:pPr>
        <w:ind w:left="8521" w:hanging="180"/>
      </w:pPr>
    </w:lvl>
  </w:abstractNum>
  <w:abstractNum w:abstractNumId="20" w15:restartNumberingAfterBreak="0">
    <w:nsid w:val="73EB5E00"/>
    <w:multiLevelType w:val="hybridMultilevel"/>
    <w:tmpl w:val="0B389E52"/>
    <w:lvl w:ilvl="0" w:tplc="FFFFFFFF">
      <w:start w:val="1"/>
      <w:numFmt w:val="lowerRoman"/>
      <w:lvlText w:val="(%1)"/>
      <w:lvlJc w:val="left"/>
      <w:pPr>
        <w:ind w:left="2761" w:hanging="360"/>
      </w:pPr>
      <w:rPr>
        <w:rFonts w:hint="default"/>
      </w:rPr>
    </w:lvl>
    <w:lvl w:ilvl="1" w:tplc="FFFFFFFF" w:tentative="1">
      <w:start w:val="1"/>
      <w:numFmt w:val="lowerLetter"/>
      <w:lvlText w:val="%2."/>
      <w:lvlJc w:val="left"/>
      <w:pPr>
        <w:ind w:left="3481" w:hanging="360"/>
      </w:pPr>
    </w:lvl>
    <w:lvl w:ilvl="2" w:tplc="FFFFFFFF" w:tentative="1">
      <w:start w:val="1"/>
      <w:numFmt w:val="lowerRoman"/>
      <w:lvlText w:val="%3."/>
      <w:lvlJc w:val="right"/>
      <w:pPr>
        <w:ind w:left="4201" w:hanging="180"/>
      </w:pPr>
    </w:lvl>
    <w:lvl w:ilvl="3" w:tplc="FFFFFFFF" w:tentative="1">
      <w:start w:val="1"/>
      <w:numFmt w:val="decimal"/>
      <w:lvlText w:val="%4."/>
      <w:lvlJc w:val="left"/>
      <w:pPr>
        <w:ind w:left="4921" w:hanging="360"/>
      </w:pPr>
    </w:lvl>
    <w:lvl w:ilvl="4" w:tplc="FFFFFFFF" w:tentative="1">
      <w:start w:val="1"/>
      <w:numFmt w:val="lowerLetter"/>
      <w:lvlText w:val="%5."/>
      <w:lvlJc w:val="left"/>
      <w:pPr>
        <w:ind w:left="5641" w:hanging="360"/>
      </w:pPr>
    </w:lvl>
    <w:lvl w:ilvl="5" w:tplc="FFFFFFFF" w:tentative="1">
      <w:start w:val="1"/>
      <w:numFmt w:val="lowerRoman"/>
      <w:lvlText w:val="%6."/>
      <w:lvlJc w:val="right"/>
      <w:pPr>
        <w:ind w:left="6361" w:hanging="180"/>
      </w:pPr>
    </w:lvl>
    <w:lvl w:ilvl="6" w:tplc="FFFFFFFF" w:tentative="1">
      <w:start w:val="1"/>
      <w:numFmt w:val="decimal"/>
      <w:lvlText w:val="%7."/>
      <w:lvlJc w:val="left"/>
      <w:pPr>
        <w:ind w:left="7081" w:hanging="360"/>
      </w:pPr>
    </w:lvl>
    <w:lvl w:ilvl="7" w:tplc="FFFFFFFF" w:tentative="1">
      <w:start w:val="1"/>
      <w:numFmt w:val="lowerLetter"/>
      <w:lvlText w:val="%8."/>
      <w:lvlJc w:val="left"/>
      <w:pPr>
        <w:ind w:left="7801" w:hanging="360"/>
      </w:pPr>
    </w:lvl>
    <w:lvl w:ilvl="8" w:tplc="FFFFFFFF" w:tentative="1">
      <w:start w:val="1"/>
      <w:numFmt w:val="lowerRoman"/>
      <w:lvlText w:val="%9."/>
      <w:lvlJc w:val="right"/>
      <w:pPr>
        <w:ind w:left="8521"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7"/>
  </w:num>
  <w:num w:numId="22" w16cid:durableId="861939741">
    <w:abstractNumId w:val="12"/>
  </w:num>
  <w:num w:numId="23" w16cid:durableId="1924755300">
    <w:abstractNumId w:val="16"/>
  </w:num>
  <w:num w:numId="24" w16cid:durableId="1673485116">
    <w:abstractNumId w:val="18"/>
  </w:num>
  <w:num w:numId="25" w16cid:durableId="703287300">
    <w:abstractNumId w:val="19"/>
  </w:num>
  <w:num w:numId="26" w16cid:durableId="180888708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80915"/>
    <w:rsid w:val="00081B7C"/>
    <w:rsid w:val="00082CE4"/>
    <w:rsid w:val="00085567"/>
    <w:rsid w:val="0008674F"/>
    <w:rsid w:val="00097FDF"/>
    <w:rsid w:val="000A0E83"/>
    <w:rsid w:val="000B1350"/>
    <w:rsid w:val="000B58FA"/>
    <w:rsid w:val="000B61A1"/>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2EE8"/>
    <w:rsid w:val="001648F7"/>
    <w:rsid w:val="00166C2F"/>
    <w:rsid w:val="001749ED"/>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164DC"/>
    <w:rsid w:val="00223E2C"/>
    <w:rsid w:val="00225CBD"/>
    <w:rsid w:val="00226ECC"/>
    <w:rsid w:val="002321E8"/>
    <w:rsid w:val="00233820"/>
    <w:rsid w:val="00236EEC"/>
    <w:rsid w:val="00237471"/>
    <w:rsid w:val="002376A0"/>
    <w:rsid w:val="00237BAF"/>
    <w:rsid w:val="0024010F"/>
    <w:rsid w:val="00240749"/>
    <w:rsid w:val="00243018"/>
    <w:rsid w:val="00243EA6"/>
    <w:rsid w:val="002564A4"/>
    <w:rsid w:val="00260C74"/>
    <w:rsid w:val="002650E6"/>
    <w:rsid w:val="0026736C"/>
    <w:rsid w:val="002716E4"/>
    <w:rsid w:val="002717B2"/>
    <w:rsid w:val="002773D7"/>
    <w:rsid w:val="00281308"/>
    <w:rsid w:val="00281DF7"/>
    <w:rsid w:val="00284719"/>
    <w:rsid w:val="00297ECB"/>
    <w:rsid w:val="002A04B0"/>
    <w:rsid w:val="002A1ECC"/>
    <w:rsid w:val="002A3436"/>
    <w:rsid w:val="002A7BCF"/>
    <w:rsid w:val="002B21A6"/>
    <w:rsid w:val="002B45FA"/>
    <w:rsid w:val="002B5188"/>
    <w:rsid w:val="002C7539"/>
    <w:rsid w:val="002D043A"/>
    <w:rsid w:val="002D2AA2"/>
    <w:rsid w:val="002D4541"/>
    <w:rsid w:val="002D6224"/>
    <w:rsid w:val="002D62E8"/>
    <w:rsid w:val="002E35CD"/>
    <w:rsid w:val="002E3F4B"/>
    <w:rsid w:val="002E5382"/>
    <w:rsid w:val="002F5948"/>
    <w:rsid w:val="002F77A1"/>
    <w:rsid w:val="00301C54"/>
    <w:rsid w:val="00304F8B"/>
    <w:rsid w:val="0033221D"/>
    <w:rsid w:val="003354D2"/>
    <w:rsid w:val="00335BC6"/>
    <w:rsid w:val="00336F51"/>
    <w:rsid w:val="003415D3"/>
    <w:rsid w:val="00344701"/>
    <w:rsid w:val="00346454"/>
    <w:rsid w:val="00352B0F"/>
    <w:rsid w:val="00356690"/>
    <w:rsid w:val="00360459"/>
    <w:rsid w:val="00365E25"/>
    <w:rsid w:val="003734C6"/>
    <w:rsid w:val="003802D6"/>
    <w:rsid w:val="00385187"/>
    <w:rsid w:val="003A189F"/>
    <w:rsid w:val="003A2FFE"/>
    <w:rsid w:val="003A5C26"/>
    <w:rsid w:val="003B3E42"/>
    <w:rsid w:val="003C0AEC"/>
    <w:rsid w:val="003C4C02"/>
    <w:rsid w:val="003C6231"/>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3F44"/>
    <w:rsid w:val="00467661"/>
    <w:rsid w:val="004705B7"/>
    <w:rsid w:val="00472DBE"/>
    <w:rsid w:val="00474A19"/>
    <w:rsid w:val="004834A1"/>
    <w:rsid w:val="004840A6"/>
    <w:rsid w:val="004916B9"/>
    <w:rsid w:val="00493386"/>
    <w:rsid w:val="00496F97"/>
    <w:rsid w:val="004A4764"/>
    <w:rsid w:val="004A5E4B"/>
    <w:rsid w:val="004C6AE8"/>
    <w:rsid w:val="004C6D55"/>
    <w:rsid w:val="004C786F"/>
    <w:rsid w:val="004D10CF"/>
    <w:rsid w:val="004D4BCA"/>
    <w:rsid w:val="004E063A"/>
    <w:rsid w:val="004E4A0E"/>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46C47"/>
    <w:rsid w:val="005528C0"/>
    <w:rsid w:val="005574D1"/>
    <w:rsid w:val="00571FBB"/>
    <w:rsid w:val="00574573"/>
    <w:rsid w:val="005758CA"/>
    <w:rsid w:val="00575A90"/>
    <w:rsid w:val="00577557"/>
    <w:rsid w:val="005803A8"/>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40386"/>
    <w:rsid w:val="00656192"/>
    <w:rsid w:val="00657651"/>
    <w:rsid w:val="0066266D"/>
    <w:rsid w:val="006647B7"/>
    <w:rsid w:val="00667A4E"/>
    <w:rsid w:val="00670EA1"/>
    <w:rsid w:val="00677CC2"/>
    <w:rsid w:val="00681215"/>
    <w:rsid w:val="006840B0"/>
    <w:rsid w:val="00684C0E"/>
    <w:rsid w:val="006905DE"/>
    <w:rsid w:val="0069207B"/>
    <w:rsid w:val="00695023"/>
    <w:rsid w:val="006B5789"/>
    <w:rsid w:val="006C30C5"/>
    <w:rsid w:val="006C3619"/>
    <w:rsid w:val="006C4E18"/>
    <w:rsid w:val="006C7F8C"/>
    <w:rsid w:val="006D6360"/>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84A64"/>
    <w:rsid w:val="007904DB"/>
    <w:rsid w:val="00793915"/>
    <w:rsid w:val="00795094"/>
    <w:rsid w:val="007959B9"/>
    <w:rsid w:val="00795F0E"/>
    <w:rsid w:val="007A100B"/>
    <w:rsid w:val="007A15B1"/>
    <w:rsid w:val="007A3989"/>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0898"/>
    <w:rsid w:val="008721B5"/>
    <w:rsid w:val="00873081"/>
    <w:rsid w:val="008754D0"/>
    <w:rsid w:val="00877AE3"/>
    <w:rsid w:val="008855C9"/>
    <w:rsid w:val="00885EAB"/>
    <w:rsid w:val="00886456"/>
    <w:rsid w:val="008A46E1"/>
    <w:rsid w:val="008A4F43"/>
    <w:rsid w:val="008B2204"/>
    <w:rsid w:val="008B2706"/>
    <w:rsid w:val="008B542F"/>
    <w:rsid w:val="008B6CBB"/>
    <w:rsid w:val="008C1A64"/>
    <w:rsid w:val="008C7465"/>
    <w:rsid w:val="008C7752"/>
    <w:rsid w:val="008C7C69"/>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9E5FC6"/>
    <w:rsid w:val="00A02B28"/>
    <w:rsid w:val="00A06E7A"/>
    <w:rsid w:val="00A079CB"/>
    <w:rsid w:val="00A11C0D"/>
    <w:rsid w:val="00A12128"/>
    <w:rsid w:val="00A137F8"/>
    <w:rsid w:val="00A20CA1"/>
    <w:rsid w:val="00A20FDB"/>
    <w:rsid w:val="00A22C98"/>
    <w:rsid w:val="00A231E2"/>
    <w:rsid w:val="00A30070"/>
    <w:rsid w:val="00A31AE1"/>
    <w:rsid w:val="00A42FEB"/>
    <w:rsid w:val="00A515BC"/>
    <w:rsid w:val="00A56C3D"/>
    <w:rsid w:val="00A6070D"/>
    <w:rsid w:val="00A64912"/>
    <w:rsid w:val="00A64BA1"/>
    <w:rsid w:val="00A70A74"/>
    <w:rsid w:val="00A931D7"/>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28A9"/>
    <w:rsid w:val="00BF43B4"/>
    <w:rsid w:val="00BF525F"/>
    <w:rsid w:val="00C01863"/>
    <w:rsid w:val="00C036BF"/>
    <w:rsid w:val="00C076D5"/>
    <w:rsid w:val="00C11D03"/>
    <w:rsid w:val="00C25E7F"/>
    <w:rsid w:val="00C2746F"/>
    <w:rsid w:val="00C324A0"/>
    <w:rsid w:val="00C3300F"/>
    <w:rsid w:val="00C349C5"/>
    <w:rsid w:val="00C42BF8"/>
    <w:rsid w:val="00C50043"/>
    <w:rsid w:val="00C5731E"/>
    <w:rsid w:val="00C738B9"/>
    <w:rsid w:val="00C7573B"/>
    <w:rsid w:val="00C77046"/>
    <w:rsid w:val="00C86770"/>
    <w:rsid w:val="00C93C03"/>
    <w:rsid w:val="00C96667"/>
    <w:rsid w:val="00C9794D"/>
    <w:rsid w:val="00CA61BB"/>
    <w:rsid w:val="00CA7414"/>
    <w:rsid w:val="00CB1DCB"/>
    <w:rsid w:val="00CB2C8E"/>
    <w:rsid w:val="00CB602E"/>
    <w:rsid w:val="00CB7412"/>
    <w:rsid w:val="00CC5D33"/>
    <w:rsid w:val="00CC7039"/>
    <w:rsid w:val="00CD7B88"/>
    <w:rsid w:val="00CE051D"/>
    <w:rsid w:val="00CE1335"/>
    <w:rsid w:val="00CE493D"/>
    <w:rsid w:val="00CF07FA"/>
    <w:rsid w:val="00CF0BB2"/>
    <w:rsid w:val="00CF2367"/>
    <w:rsid w:val="00CF3EE8"/>
    <w:rsid w:val="00D030FB"/>
    <w:rsid w:val="00D050E6"/>
    <w:rsid w:val="00D117D0"/>
    <w:rsid w:val="00D13441"/>
    <w:rsid w:val="00D150E7"/>
    <w:rsid w:val="00D32F65"/>
    <w:rsid w:val="00D32F71"/>
    <w:rsid w:val="00D3342F"/>
    <w:rsid w:val="00D3607D"/>
    <w:rsid w:val="00D377E3"/>
    <w:rsid w:val="00D401FF"/>
    <w:rsid w:val="00D50484"/>
    <w:rsid w:val="00D527C9"/>
    <w:rsid w:val="00D52DC2"/>
    <w:rsid w:val="00D53BCC"/>
    <w:rsid w:val="00D5599D"/>
    <w:rsid w:val="00D5620B"/>
    <w:rsid w:val="00D60FC8"/>
    <w:rsid w:val="00D70DFB"/>
    <w:rsid w:val="00D71633"/>
    <w:rsid w:val="00D729C4"/>
    <w:rsid w:val="00D766DF"/>
    <w:rsid w:val="00D93DA9"/>
    <w:rsid w:val="00D94857"/>
    <w:rsid w:val="00D96383"/>
    <w:rsid w:val="00D963F0"/>
    <w:rsid w:val="00D97BB3"/>
    <w:rsid w:val="00DA0E36"/>
    <w:rsid w:val="00DA186E"/>
    <w:rsid w:val="00DA4116"/>
    <w:rsid w:val="00DA7AC0"/>
    <w:rsid w:val="00DB119E"/>
    <w:rsid w:val="00DB15BB"/>
    <w:rsid w:val="00DB251C"/>
    <w:rsid w:val="00DB3F17"/>
    <w:rsid w:val="00DB4162"/>
    <w:rsid w:val="00DB4630"/>
    <w:rsid w:val="00DC2F94"/>
    <w:rsid w:val="00DC3D39"/>
    <w:rsid w:val="00DC4F88"/>
    <w:rsid w:val="00DD0396"/>
    <w:rsid w:val="00DD2B43"/>
    <w:rsid w:val="00DD31AB"/>
    <w:rsid w:val="00DE59B7"/>
    <w:rsid w:val="00DF24DC"/>
    <w:rsid w:val="00DF5291"/>
    <w:rsid w:val="00DF65CF"/>
    <w:rsid w:val="00DF6D11"/>
    <w:rsid w:val="00E05704"/>
    <w:rsid w:val="00E11E44"/>
    <w:rsid w:val="00E27195"/>
    <w:rsid w:val="00E3270E"/>
    <w:rsid w:val="00E32EE1"/>
    <w:rsid w:val="00E338EF"/>
    <w:rsid w:val="00E35C4E"/>
    <w:rsid w:val="00E544BB"/>
    <w:rsid w:val="00E55F66"/>
    <w:rsid w:val="00E64EE4"/>
    <w:rsid w:val="00E662CB"/>
    <w:rsid w:val="00E662DF"/>
    <w:rsid w:val="00E74DC7"/>
    <w:rsid w:val="00E8075A"/>
    <w:rsid w:val="00E81540"/>
    <w:rsid w:val="00E90315"/>
    <w:rsid w:val="00E92D94"/>
    <w:rsid w:val="00E9347E"/>
    <w:rsid w:val="00E93E6F"/>
    <w:rsid w:val="00E94D5E"/>
    <w:rsid w:val="00EA041B"/>
    <w:rsid w:val="00EA7100"/>
    <w:rsid w:val="00EA7F9F"/>
    <w:rsid w:val="00EB1274"/>
    <w:rsid w:val="00EB2BC4"/>
    <w:rsid w:val="00EC7405"/>
    <w:rsid w:val="00ED2BB6"/>
    <w:rsid w:val="00ED34E1"/>
    <w:rsid w:val="00ED3B8D"/>
    <w:rsid w:val="00ED46FF"/>
    <w:rsid w:val="00ED4913"/>
    <w:rsid w:val="00EE1D33"/>
    <w:rsid w:val="00EF2E3A"/>
    <w:rsid w:val="00F03C06"/>
    <w:rsid w:val="00F072A7"/>
    <w:rsid w:val="00F078DC"/>
    <w:rsid w:val="00F2468B"/>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38E0"/>
    <w:rsid w:val="00FE4688"/>
    <w:rsid w:val="00FF1D47"/>
    <w:rsid w:val="00FF3EDA"/>
    <w:rsid w:val="00FF4F75"/>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6C3619"/>
    <w:pPr>
      <w:numPr>
        <w:ilvl w:val="2"/>
        <w:numId w:val="4"/>
      </w:numPr>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CC5D33"/>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CC5D33"/>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character" w:styleId="CommentReference">
    <w:name w:val="annotation reference"/>
    <w:basedOn w:val="DefaultParagraphFont"/>
    <w:uiPriority w:val="99"/>
    <w:semiHidden/>
    <w:unhideWhenUsed/>
    <w:rsid w:val="00F2468B"/>
    <w:rPr>
      <w:sz w:val="16"/>
      <w:szCs w:val="16"/>
    </w:rPr>
  </w:style>
  <w:style w:type="paragraph" w:styleId="CommentText">
    <w:name w:val="annotation text"/>
    <w:basedOn w:val="Normal"/>
    <w:link w:val="CommentTextChar"/>
    <w:uiPriority w:val="99"/>
    <w:unhideWhenUsed/>
    <w:rsid w:val="00F2468B"/>
    <w:pPr>
      <w:spacing w:line="240" w:lineRule="auto"/>
    </w:pPr>
    <w:rPr>
      <w:sz w:val="20"/>
    </w:rPr>
  </w:style>
  <w:style w:type="character" w:customStyle="1" w:styleId="CommentTextChar">
    <w:name w:val="Comment Text Char"/>
    <w:basedOn w:val="DefaultParagraphFont"/>
    <w:link w:val="CommentText"/>
    <w:uiPriority w:val="99"/>
    <w:rsid w:val="00F2468B"/>
    <w:rPr>
      <w:lang w:eastAsia="en-US"/>
    </w:rPr>
  </w:style>
  <w:style w:type="paragraph" w:styleId="CommentSubject">
    <w:name w:val="annotation subject"/>
    <w:basedOn w:val="CommentText"/>
    <w:next w:val="CommentText"/>
    <w:link w:val="CommentSubjectChar"/>
    <w:uiPriority w:val="99"/>
    <w:semiHidden/>
    <w:unhideWhenUsed/>
    <w:rsid w:val="00F2468B"/>
    <w:rPr>
      <w:b/>
      <w:bCs/>
    </w:rPr>
  </w:style>
  <w:style w:type="character" w:customStyle="1" w:styleId="CommentSubjectChar">
    <w:name w:val="Comment Subject Char"/>
    <w:basedOn w:val="CommentTextChar"/>
    <w:link w:val="CommentSubject"/>
    <w:uiPriority w:val="99"/>
    <w:semiHidden/>
    <w:rsid w:val="00F2468B"/>
    <w:rPr>
      <w:b/>
      <w:bCs/>
      <w:lang w:eastAsia="en-US"/>
    </w:rPr>
  </w:style>
  <w:style w:type="paragraph" w:styleId="Revision">
    <w:name w:val="Revision"/>
    <w:hidden/>
    <w:uiPriority w:val="99"/>
    <w:semiHidden/>
    <w:rsid w:val="00C036B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2125</Words>
  <Characters>12116</Characters>
  <Application>Microsoft Office Word</Application>
  <DocSecurity>0</DocSecurity>
  <PresentationFormat/>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2026-04-09T01:49:00Z</dcterms:created>
  <dcterms:modified xsi:type="dcterms:W3CDTF">2026-04-24T01:15:00Z</dcterms:modified>
  <cp:category/>
  <cp:contentStatus/>
  <dc:language/>
  <cp:version/>
</cp:coreProperties>
</file>