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3D401598">
            <wp:extent cx="1752600" cy="933450"/>
            <wp:effectExtent l="0" t="0" r="0" b="0"/>
            <wp:docPr id="2" name="Picture 2" descr="RMA Australian Government Coat of Arm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MA Australian Government Coat of Arms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618514A5" w:rsidR="00054930" w:rsidRDefault="00C53EFC" w:rsidP="000D4972">
      <w:pPr>
        <w:pStyle w:val="Plainheader"/>
      </w:pPr>
      <w:r>
        <w:t>COMPLEX REGIONAL PAIN SYNDROME</w:t>
      </w:r>
      <w:r w:rsidR="000D4972">
        <w:br/>
        <w:t xml:space="preserve"> </w:t>
      </w:r>
      <w:r w:rsidR="00997416">
        <w:t xml:space="preserve">(Balance of Probabilities) </w:t>
      </w:r>
    </w:p>
    <w:p w14:paraId="36FCFAA6" w14:textId="2A937DA4" w:rsidR="00715914" w:rsidRPr="00024911" w:rsidRDefault="00E55F66" w:rsidP="006647B7">
      <w:pPr>
        <w:pStyle w:val="Plainheader"/>
      </w:pPr>
      <w:r w:rsidRPr="00024911">
        <w:t xml:space="preserve">(No. </w:t>
      </w:r>
      <w:r w:rsidR="00A40F22">
        <w:t>42</w:t>
      </w:r>
      <w:r w:rsidRPr="00024911">
        <w:t xml:space="preserve"> of</w:t>
      </w:r>
      <w:r w:rsidR="00085567">
        <w:t xml:space="preserve"> </w:t>
      </w:r>
      <w:r w:rsidR="00C53EFC">
        <w:t>202</w:t>
      </w:r>
      <w:r w:rsidR="00A40F22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0EA80BAE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A40F22">
        <w:t>24 April 2026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37734D4" w:rsidR="00A40F22" w:rsidRDefault="00A40F22">
      <w:pPr>
        <w:spacing w:line="240" w:lineRule="auto"/>
        <w:rPr>
          <w:rFonts w:eastAsia="Times New Roman"/>
          <w:sz w:val="24"/>
          <w:szCs w:val="24"/>
          <w:lang w:eastAsia="en-AU"/>
        </w:rPr>
      </w:pPr>
      <w:r>
        <w:br w:type="page"/>
      </w:r>
    </w:p>
    <w:p w14:paraId="6B2C2391" w14:textId="12D25ADA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lastRenderedPageBreak/>
        <w:t xml:space="preserve"> </w:t>
      </w:r>
      <w:r w:rsidRPr="00FA33FB">
        <w:rPr>
          <w:rStyle w:val="CharChapText"/>
        </w:rPr>
        <w:t xml:space="preserve"> </w:t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t>Contents</w:t>
      </w:r>
    </w:p>
    <w:bookmarkStart w:id="0" w:name="BKCheck15B_2"/>
    <w:bookmarkEnd w:id="0"/>
    <w:p w14:paraId="492749A1" w14:textId="002B56F4" w:rsidR="00B451D1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B451D1">
        <w:rPr>
          <w:noProof/>
        </w:rPr>
        <w:t>1</w:t>
      </w:r>
      <w:r w:rsidR="00B451D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B451D1">
        <w:rPr>
          <w:noProof/>
        </w:rPr>
        <w:t>Name</w:t>
      </w:r>
      <w:r w:rsidR="00B451D1">
        <w:rPr>
          <w:noProof/>
        </w:rPr>
        <w:tab/>
      </w:r>
      <w:r w:rsidR="00B451D1">
        <w:rPr>
          <w:noProof/>
        </w:rPr>
        <w:fldChar w:fldCharType="begin"/>
      </w:r>
      <w:r w:rsidR="00B451D1">
        <w:rPr>
          <w:noProof/>
        </w:rPr>
        <w:instrText xml:space="preserve"> PAGEREF _Toc226619756 \h </w:instrText>
      </w:r>
      <w:r w:rsidR="00B451D1">
        <w:rPr>
          <w:noProof/>
        </w:rPr>
      </w:r>
      <w:r w:rsidR="00B451D1">
        <w:rPr>
          <w:noProof/>
        </w:rPr>
        <w:fldChar w:fldCharType="separate"/>
      </w:r>
      <w:r w:rsidR="00B451D1">
        <w:rPr>
          <w:noProof/>
        </w:rPr>
        <w:t>3</w:t>
      </w:r>
      <w:r w:rsidR="00B451D1">
        <w:rPr>
          <w:noProof/>
        </w:rPr>
        <w:fldChar w:fldCharType="end"/>
      </w:r>
    </w:p>
    <w:p w14:paraId="03407537" w14:textId="144EE4B3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ADD7CA5" w14:textId="23001C6E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E03B296" w14:textId="42367286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EE723DE" w14:textId="18DE5AC3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457F3C2" w14:textId="0B78AC07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D2F39E9" w14:textId="65A0A4FD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7CD70B8" w14:textId="470323F0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F6A0AD9" w14:textId="69DE090F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22F1606" w14:textId="72497746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36CD34C" w14:textId="2EC5479F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0F2F2C3" w14:textId="3C610C90" w:rsidR="00B451D1" w:rsidRDefault="00B451D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357E8E5" w14:textId="14DD2D02" w:rsidR="00B451D1" w:rsidRDefault="00B451D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_Toc226619768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C59D5E" w14:textId="0E8E930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1" w:name="_Toc226619756"/>
      <w:r>
        <w:lastRenderedPageBreak/>
        <w:t>Name</w:t>
      </w:r>
      <w:bookmarkEnd w:id="1"/>
    </w:p>
    <w:p w14:paraId="6F0FAC51" w14:textId="1324888E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2" w:name="BKCheck15B_3"/>
      <w:bookmarkEnd w:id="2"/>
      <w:r w:rsidR="00574573" w:rsidRPr="00F97A62">
        <w:t xml:space="preserve">Statement of Principles concerning </w:t>
      </w:r>
      <w:r w:rsidR="00C53EFC">
        <w:rPr>
          <w:i/>
        </w:rPr>
        <w:t>complex regional pain syndrome</w:t>
      </w:r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A40F22">
        <w:t xml:space="preserve">42 </w:t>
      </w:r>
      <w:r w:rsidR="00574573" w:rsidRPr="00F97A62">
        <w:t>of</w:t>
      </w:r>
      <w:r w:rsidR="00574573">
        <w:t xml:space="preserve"> </w:t>
      </w:r>
      <w:r w:rsidR="00C22FCB">
        <w:t>202</w:t>
      </w:r>
      <w:r w:rsidR="00A40F22">
        <w:t>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3" w:name="_Toc226619757"/>
      <w:r w:rsidRPr="00684C0E">
        <w:t>Commencement</w:t>
      </w:r>
      <w:bookmarkEnd w:id="3"/>
    </w:p>
    <w:p w14:paraId="48161169" w14:textId="3A9C9DAE" w:rsidR="00F67B67" w:rsidRPr="007527C1" w:rsidRDefault="00F67B67" w:rsidP="00DF65CF">
      <w:pPr>
        <w:pStyle w:val="PlainIndent"/>
      </w:pPr>
      <w:r w:rsidRPr="007527C1">
        <w:t xml:space="preserve">This instrument commences on </w:t>
      </w:r>
      <w:r w:rsidR="00A40F22">
        <w:rPr>
          <w:b/>
        </w:rPr>
        <w:t>25 May 2026</w:t>
      </w:r>
      <w:r w:rsidRPr="007527C1">
        <w:t>.</w:t>
      </w:r>
    </w:p>
    <w:p w14:paraId="11A6BE1E" w14:textId="77777777" w:rsidR="00F67B67" w:rsidRPr="00684C0E" w:rsidRDefault="00F67B67" w:rsidP="00C96667">
      <w:pPr>
        <w:pStyle w:val="LV1"/>
      </w:pPr>
      <w:bookmarkStart w:id="4" w:name="_Toc226619758"/>
      <w:r w:rsidRPr="00684C0E">
        <w:t>Authority</w:t>
      </w:r>
      <w:bookmarkEnd w:id="4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5" w:name="_Toc226619759"/>
      <w:r>
        <w:t>Re</w:t>
      </w:r>
      <w:r w:rsidR="00CB7412">
        <w:t>peal</w:t>
      </w:r>
      <w:bookmarkEnd w:id="5"/>
    </w:p>
    <w:p w14:paraId="26178D58" w14:textId="5645F4B7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53EFC">
        <w:t>complex regional pain syndrome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333347">
        <w:t>98</w:t>
      </w:r>
      <w:r w:rsidR="002D4541">
        <w:t xml:space="preserve"> of 20</w:t>
      </w:r>
      <w:r w:rsidR="00333347">
        <w:t>16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</w:t>
      </w:r>
      <w:r w:rsidR="00333347">
        <w:t xml:space="preserve"> </w:t>
      </w:r>
      <w:r w:rsidR="00333347" w:rsidRPr="00333347">
        <w:t>F2016L01678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="004C786F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6" w:name="_Toc226619760"/>
      <w:r w:rsidRPr="00684C0E">
        <w:t>Application</w:t>
      </w:r>
      <w:bookmarkEnd w:id="6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7" w:name="_Ref410129949"/>
      <w:bookmarkStart w:id="8" w:name="_Toc226619761"/>
      <w:r w:rsidRPr="00684C0E">
        <w:t>Definitions</w:t>
      </w:r>
      <w:bookmarkEnd w:id="7"/>
      <w:bookmarkEnd w:id="8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9" w:name="_Ref409687573"/>
      <w:bookmarkStart w:id="10" w:name="_Ref409687579"/>
      <w:bookmarkStart w:id="11" w:name="_Ref409687725"/>
      <w:bookmarkStart w:id="12" w:name="_Toc226619762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9"/>
      <w:bookmarkEnd w:id="10"/>
      <w:bookmarkEnd w:id="11"/>
      <w:bookmarkEnd w:id="12"/>
    </w:p>
    <w:p w14:paraId="72A28F05" w14:textId="275C8558" w:rsidR="007C7DEE" w:rsidRPr="00D5620B" w:rsidRDefault="007C7DEE" w:rsidP="00DF65CF">
      <w:pPr>
        <w:pStyle w:val="LV2"/>
      </w:pPr>
      <w:bookmarkStart w:id="13" w:name="_Ref403053584"/>
      <w:r w:rsidRPr="00D5620B">
        <w:t xml:space="preserve">This Statement of Principles is </w:t>
      </w:r>
      <w:r w:rsidRPr="002F77A1">
        <w:t xml:space="preserve">about </w:t>
      </w:r>
      <w:r w:rsidR="00C53EFC">
        <w:t>complex regional pain syndrome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53EFC">
        <w:t>complex regional pain syndrome</w:t>
      </w:r>
      <w:r w:rsidRPr="00D5620B">
        <w:t>.</w:t>
      </w:r>
      <w:bookmarkEnd w:id="13"/>
    </w:p>
    <w:p w14:paraId="6155B62A" w14:textId="3CC4C2CF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C53EFC">
        <w:rPr>
          <w:b/>
        </w:rPr>
        <w:t>complex regional pain syndrome</w:t>
      </w:r>
    </w:p>
    <w:p w14:paraId="400101DC" w14:textId="77777777" w:rsidR="00C53EFC" w:rsidRPr="00237BAF" w:rsidRDefault="000D4972" w:rsidP="00C53EFC">
      <w:pPr>
        <w:pStyle w:val="LV2"/>
      </w:pPr>
      <w:bookmarkStart w:id="14" w:name="_Ref409598124"/>
      <w:bookmarkStart w:id="15" w:name="_Ref402529683"/>
      <w:r w:rsidRPr="00237BAF">
        <w:t>For the purposes of this Statement of Principles,</w:t>
      </w:r>
      <w:r w:rsidRPr="002F77A1">
        <w:t xml:space="preserve"> </w:t>
      </w:r>
      <w:bookmarkEnd w:id="14"/>
      <w:bookmarkEnd w:id="15"/>
      <w:r w:rsidR="00C53EFC" w:rsidRPr="00E623D1">
        <w:t>complex regional pain syndrome</w:t>
      </w:r>
      <w:r w:rsidR="00C53EFC">
        <w:t xml:space="preserve"> means </w:t>
      </w:r>
      <w:r w:rsidR="00C53EFC" w:rsidRPr="00E623D1">
        <w:t>a disorder of a body region or regions which meets the following criteria:</w:t>
      </w:r>
    </w:p>
    <w:p w14:paraId="01B12134" w14:textId="77777777" w:rsidR="00C53EFC" w:rsidRDefault="00C53EFC" w:rsidP="00C53EFC">
      <w:pPr>
        <w:pStyle w:val="LV3"/>
        <w:numPr>
          <w:ilvl w:val="2"/>
          <w:numId w:val="20"/>
        </w:numPr>
      </w:pPr>
      <w:r>
        <w:t>continuing pain, which is disproportionate to any inciting event; and</w:t>
      </w:r>
    </w:p>
    <w:p w14:paraId="035377EC" w14:textId="77777777" w:rsidR="00C53EFC" w:rsidRDefault="00C53EFC" w:rsidP="00C53EFC">
      <w:pPr>
        <w:pStyle w:val="LV3"/>
        <w:numPr>
          <w:ilvl w:val="2"/>
          <w:numId w:val="4"/>
        </w:numPr>
      </w:pPr>
      <w:r>
        <w:t xml:space="preserve">at least one symptom in </w:t>
      </w:r>
      <w:r w:rsidRPr="005B30D5">
        <w:t>three</w:t>
      </w:r>
      <w:r>
        <w:t xml:space="preserve"> of the four following categories:</w:t>
      </w:r>
    </w:p>
    <w:p w14:paraId="342C5CC6" w14:textId="425CD2CD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t>Sensory: hyper</w:t>
      </w:r>
      <w:r w:rsidR="00B65887">
        <w:t>esthesia</w:t>
      </w:r>
      <w:r>
        <w:t xml:space="preserve"> or </w:t>
      </w:r>
      <w:proofErr w:type="gramStart"/>
      <w:r>
        <w:t>allodynia;</w:t>
      </w:r>
      <w:proofErr w:type="gramEnd"/>
    </w:p>
    <w:p w14:paraId="24EFDFB5" w14:textId="77777777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t xml:space="preserve">Vasomotor: temperature asymmetry or skin colour changes or skin colour </w:t>
      </w:r>
      <w:proofErr w:type="gramStart"/>
      <w:r>
        <w:t>asymmetry;</w:t>
      </w:r>
      <w:proofErr w:type="gramEnd"/>
    </w:p>
    <w:p w14:paraId="2165F567" w14:textId="77777777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t>Sudomotor/oedema: oedema or sweating changes or sweating asymmetry; or</w:t>
      </w:r>
    </w:p>
    <w:p w14:paraId="5F84314E" w14:textId="77777777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lastRenderedPageBreak/>
        <w:t>Motor/trophic: decreased range of motion or motor dysfunction (weakness, tremor, dystonia) or trophic changes (hair, nails, skin); and</w:t>
      </w:r>
    </w:p>
    <w:p w14:paraId="6D6462B6" w14:textId="77777777" w:rsidR="00C53EFC" w:rsidRDefault="00C53EFC" w:rsidP="00C53EFC">
      <w:pPr>
        <w:pStyle w:val="LV3"/>
        <w:keepNext/>
        <w:numPr>
          <w:ilvl w:val="2"/>
          <w:numId w:val="4"/>
        </w:numPr>
      </w:pPr>
      <w:r>
        <w:t xml:space="preserve">at least one sign at the time of evaluation in </w:t>
      </w:r>
      <w:r w:rsidRPr="005B30D5">
        <w:t>two</w:t>
      </w:r>
      <w:r>
        <w:t xml:space="preserve"> or more of the following categories:</w:t>
      </w:r>
    </w:p>
    <w:p w14:paraId="3F2BD71B" w14:textId="77777777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t>Sensory: evidence of hyperalgesia (to pinprick) or allodynia (to light touch and/or deep somatic pressure or joint movement</w:t>
      </w:r>
      <w:proofErr w:type="gramStart"/>
      <w:r>
        <w:t>);</w:t>
      </w:r>
      <w:proofErr w:type="gramEnd"/>
    </w:p>
    <w:p w14:paraId="0FE7EB5F" w14:textId="77777777" w:rsidR="00C53EFC" w:rsidRDefault="00C53EFC" w:rsidP="00C53EFC">
      <w:pPr>
        <w:pStyle w:val="LV4"/>
        <w:numPr>
          <w:ilvl w:val="3"/>
          <w:numId w:val="4"/>
        </w:numPr>
        <w:ind w:left="2608"/>
      </w:pPr>
      <w:r>
        <w:t xml:space="preserve">Vasomotor: evidence of temperature asymmetry or skin colour changes or </w:t>
      </w:r>
      <w:proofErr w:type="gramStart"/>
      <w:r>
        <w:t>asymmetry;</w:t>
      </w:r>
      <w:proofErr w:type="gramEnd"/>
    </w:p>
    <w:p w14:paraId="16874B5E" w14:textId="77777777" w:rsidR="00AA0FC8" w:rsidRDefault="00C53EFC" w:rsidP="00C53EFC">
      <w:pPr>
        <w:pStyle w:val="LV4"/>
        <w:numPr>
          <w:ilvl w:val="3"/>
          <w:numId w:val="4"/>
        </w:numPr>
        <w:ind w:left="2608"/>
      </w:pPr>
      <w:r>
        <w:t>Sudomotor/oedema: evidence of oedema or sweating changes or sweating asymmetry; or</w:t>
      </w:r>
      <w:r w:rsidR="00AA0FC8" w:rsidRPr="00AA0FC8">
        <w:t xml:space="preserve"> </w:t>
      </w:r>
    </w:p>
    <w:p w14:paraId="4F3D56B4" w14:textId="351234FB" w:rsidR="00C53EFC" w:rsidRDefault="00AA0FC8" w:rsidP="00C53EFC">
      <w:pPr>
        <w:pStyle w:val="LV4"/>
        <w:numPr>
          <w:ilvl w:val="3"/>
          <w:numId w:val="4"/>
        </w:numPr>
        <w:ind w:left="2608"/>
      </w:pPr>
      <w:r w:rsidRPr="00AA0FC8">
        <w:t>Motor/trophic: evidence of decreased range of motion or motor dysfunction (weakness, tremor, dystonia) or trophic changes (hair, nails, skin).</w:t>
      </w:r>
    </w:p>
    <w:p w14:paraId="07221E7C" w14:textId="3780F48F" w:rsidR="008F572A" w:rsidRPr="00237BAF" w:rsidRDefault="000D4972" w:rsidP="00C53EFC">
      <w:pPr>
        <w:pStyle w:val="LV2"/>
      </w:pPr>
      <w:r w:rsidRPr="00237BAF">
        <w:t xml:space="preserve">While </w:t>
      </w:r>
      <w:r w:rsidR="00C53EFC">
        <w:t>complex regional pain syndrome</w:t>
      </w:r>
      <w:r>
        <w:t xml:space="preserve"> </w:t>
      </w:r>
      <w:r w:rsidRPr="00237BAF">
        <w:t xml:space="preserve">attracts </w:t>
      </w:r>
      <w:r w:rsidR="00C53EFC" w:rsidRPr="00C53EFC">
        <w:t>ICD-10-AM codes G90.5, G90.6, and G90.7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C53EFC">
        <w:t>complex regional pain syndrome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27589806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C53EFC">
        <w:rPr>
          <w:b/>
        </w:rPr>
        <w:t>complex regional pain syndrome</w:t>
      </w:r>
    </w:p>
    <w:p w14:paraId="3FEA5A86" w14:textId="72F15F2B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53EFC">
        <w:t>complex regional pain syndrome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C53EFC">
        <w:t>complex regional pain syndrome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6" w:name="_Toc226619763"/>
      <w:r w:rsidRPr="00A20CA1">
        <w:t>Basis for determining the factors</w:t>
      </w:r>
      <w:bookmarkEnd w:id="16"/>
    </w:p>
    <w:p w14:paraId="22C46370" w14:textId="73911655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C53EFC">
        <w:t>complex regional pain syndrome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C53EFC">
        <w:t>complex regional pain syndrome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A40F22">
      <w:pPr>
        <w:pStyle w:val="LV1"/>
        <w:keepNext/>
      </w:pPr>
      <w:bookmarkStart w:id="17" w:name="_Ref411946955"/>
      <w:bookmarkStart w:id="18" w:name="_Ref411946997"/>
      <w:bookmarkStart w:id="19" w:name="_Ref412032503"/>
      <w:bookmarkStart w:id="20" w:name="_Toc226619764"/>
      <w:r w:rsidRPr="00301C54">
        <w:lastRenderedPageBreak/>
        <w:t xml:space="preserve">Factors that must </w:t>
      </w:r>
      <w:r w:rsidR="00D32F71">
        <w:t>exist</w:t>
      </w:r>
      <w:bookmarkEnd w:id="17"/>
      <w:bookmarkEnd w:id="18"/>
      <w:bookmarkEnd w:id="19"/>
      <w:bookmarkEnd w:id="20"/>
    </w:p>
    <w:p w14:paraId="78837F81" w14:textId="16AADA3E" w:rsidR="007C7DEE" w:rsidRPr="00AA6D8B" w:rsidRDefault="002716E4" w:rsidP="00A40F22">
      <w:pPr>
        <w:pStyle w:val="PlainIndent"/>
        <w:keepNext/>
      </w:pPr>
      <w:bookmarkStart w:id="21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C53EFC">
        <w:t>complex regional pain syndrome</w:t>
      </w:r>
      <w:r w:rsidR="007A3989">
        <w:t xml:space="preserve"> </w:t>
      </w:r>
      <w:r w:rsidR="007C7DEE" w:rsidRPr="00AA6D8B">
        <w:t xml:space="preserve">or death from </w:t>
      </w:r>
      <w:r w:rsidR="00C53EFC">
        <w:t>complex regional pain syndrome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1"/>
    </w:p>
    <w:p w14:paraId="7F9B8588" w14:textId="77777777" w:rsidR="00C53EFC" w:rsidRPr="00E623D1" w:rsidRDefault="00C53EFC" w:rsidP="00C53EFC">
      <w:pPr>
        <w:pStyle w:val="LV2"/>
      </w:pPr>
      <w:bookmarkStart w:id="22" w:name="_Hlk209164906"/>
      <w:bookmarkStart w:id="23" w:name="_Ref402530260"/>
      <w:bookmarkStart w:id="24" w:name="_Ref409598844"/>
      <w:r w:rsidRPr="0083215A">
        <w:rPr>
          <w:lang w:val="en-US"/>
        </w:rPr>
        <w:t xml:space="preserve">having an </w:t>
      </w:r>
      <w:r w:rsidRPr="00906A69">
        <w:rPr>
          <w:lang w:val="en-US"/>
        </w:rPr>
        <w:t xml:space="preserve">injury or a disease involving a major peripheral </w:t>
      </w:r>
      <w:proofErr w:type="gramStart"/>
      <w:r w:rsidRPr="00906A69">
        <w:rPr>
          <w:lang w:val="en-US"/>
        </w:rPr>
        <w:t>nerve</w:t>
      </w:r>
      <w:r w:rsidRPr="0083215A">
        <w:rPr>
          <w:lang w:val="en-US"/>
        </w:rPr>
        <w:t xml:space="preserve"> in the</w:t>
      </w:r>
      <w:proofErr w:type="gramEnd"/>
      <w:r w:rsidRPr="0083215A">
        <w:rPr>
          <w:lang w:val="en-US"/>
        </w:rPr>
        <w:t xml:space="preserve"> 6 months before clinical onset, where the pain originates in the region of the affected peripheral </w:t>
      </w:r>
      <w:proofErr w:type="gramStart"/>
      <w:r w:rsidRPr="0083215A">
        <w:rPr>
          <w:lang w:val="en-US"/>
        </w:rPr>
        <w:t>nerve;</w:t>
      </w:r>
      <w:proofErr w:type="gramEnd"/>
    </w:p>
    <w:bookmarkEnd w:id="22"/>
    <w:p w14:paraId="683031C1" w14:textId="77777777" w:rsidR="00C53EFC" w:rsidRPr="00B03D16" w:rsidRDefault="00C53EFC" w:rsidP="00C53EFC">
      <w:pPr>
        <w:pStyle w:val="LV2"/>
      </w:pPr>
      <w:r w:rsidRPr="00B03D16">
        <w:t xml:space="preserve">having an injury or disease which causes </w:t>
      </w:r>
      <w:r w:rsidRPr="00906A69">
        <w:t>acute tissue damage</w:t>
      </w:r>
      <w:r w:rsidRPr="00B03D16">
        <w:t xml:space="preserve"> in the 6 month</w:t>
      </w:r>
      <w:r>
        <w:t>s</w:t>
      </w:r>
      <w:r w:rsidRPr="00B03D16">
        <w:t xml:space="preserve"> before clinical onset, where the pain originates in the region of the body affected by the injury or </w:t>
      </w:r>
      <w:proofErr w:type="gramStart"/>
      <w:r w:rsidRPr="00B03D16">
        <w:t>disease;</w:t>
      </w:r>
      <w:proofErr w:type="gramEnd"/>
    </w:p>
    <w:p w14:paraId="1E96A131" w14:textId="77777777" w:rsidR="00C53EFC" w:rsidRDefault="00C53EFC" w:rsidP="00C53EFC">
      <w:pPr>
        <w:pStyle w:val="NOTE"/>
      </w:pPr>
      <w:r w:rsidRPr="00B03D16">
        <w:t xml:space="preserve">Note: Examples of injuries or diseases which can cause acute tissue damage include, but are not limited to, </w:t>
      </w:r>
      <w:r>
        <w:t>fractures, sprains, dislocations, crush injuries, penetrating injuries, snake bites, and stroke</w:t>
      </w:r>
      <w:r w:rsidRPr="00B03D16">
        <w:t>.</w:t>
      </w:r>
    </w:p>
    <w:p w14:paraId="15439026" w14:textId="77777777" w:rsidR="00C53EFC" w:rsidRPr="00E623D1" w:rsidRDefault="00C53EFC" w:rsidP="00C53EFC">
      <w:pPr>
        <w:pStyle w:val="LV2"/>
      </w:pPr>
      <w:r w:rsidRPr="00BE14A3">
        <w:rPr>
          <w:lang w:val="en-US"/>
        </w:rPr>
        <w:t xml:space="preserve">having </w:t>
      </w:r>
      <w:proofErr w:type="gramStart"/>
      <w:r w:rsidRPr="00BE14A3">
        <w:rPr>
          <w:lang w:val="en-US"/>
        </w:rPr>
        <w:t>surgery in the</w:t>
      </w:r>
      <w:proofErr w:type="gramEnd"/>
      <w:r w:rsidRPr="00BE14A3">
        <w:rPr>
          <w:lang w:val="en-US"/>
        </w:rPr>
        <w:t xml:space="preserve"> 6 months before clinical onset, where the pain originates in the region of the surgical </w:t>
      </w:r>
      <w:proofErr w:type="gramStart"/>
      <w:r w:rsidRPr="00BE14A3">
        <w:rPr>
          <w:lang w:val="en-US"/>
        </w:rPr>
        <w:t>procedure;</w:t>
      </w:r>
      <w:proofErr w:type="gramEnd"/>
    </w:p>
    <w:p w14:paraId="4427A084" w14:textId="4A8A8509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C53EFC">
        <w:t>complex regional pain syndrome</w:t>
      </w:r>
      <w:r w:rsidR="001C6A0D">
        <w:t xml:space="preserve"> before clinical worsening</w:t>
      </w:r>
      <w:r w:rsidR="00D5620B" w:rsidRPr="008D1B8B">
        <w:t>.</w:t>
      </w:r>
      <w:bookmarkEnd w:id="24"/>
    </w:p>
    <w:p w14:paraId="3F45AFE2" w14:textId="77777777" w:rsidR="000C21A3" w:rsidRPr="00684C0E" w:rsidRDefault="00D32F71" w:rsidP="00C96667">
      <w:pPr>
        <w:pStyle w:val="LV1"/>
      </w:pPr>
      <w:bookmarkStart w:id="25" w:name="_Toc226619765"/>
      <w:bookmarkStart w:id="26" w:name="_Ref402530057"/>
      <w:r>
        <w:t>Relationship to s</w:t>
      </w:r>
      <w:r w:rsidR="000C21A3" w:rsidRPr="00684C0E">
        <w:t>ervice</w:t>
      </w:r>
      <w:bookmarkEnd w:id="25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6"/>
    <w:p w14:paraId="1D64B865" w14:textId="2AAC9970" w:rsidR="00CF2367" w:rsidRPr="00187DE1" w:rsidRDefault="00F03C06" w:rsidP="00DF65CF">
      <w:pPr>
        <w:pStyle w:val="LV2"/>
      </w:pPr>
      <w:r w:rsidRPr="00187DE1">
        <w:t xml:space="preserve">The </w:t>
      </w:r>
      <w:r w:rsidR="00D235BB">
        <w:t xml:space="preserve">clinical worsening aspect of </w:t>
      </w:r>
      <w:r w:rsidR="00D235BB" w:rsidRPr="00187DE1">
        <w:t>factor</w:t>
      </w:r>
      <w:r w:rsidR="00D235BB">
        <w:t>s</w:t>
      </w:r>
      <w:r w:rsidR="00D235BB" w:rsidRPr="00187DE1">
        <w:t xml:space="preserve"> set out in </w:t>
      </w:r>
      <w:r w:rsidR="00D235BB">
        <w:t xml:space="preserve">section 9 </w:t>
      </w:r>
      <w:r w:rsidR="00D235BB" w:rsidRPr="00187DE1">
        <w:t>appl</w:t>
      </w:r>
      <w:r w:rsidR="00D235BB">
        <w:t>y</w:t>
      </w:r>
      <w:r w:rsidR="00D235BB" w:rsidRPr="00187DE1">
        <w:t xml:space="preserve"> </w:t>
      </w:r>
      <w:r w:rsidR="002A04B0" w:rsidRPr="00187DE1">
        <w:t>only to material contribution to, or</w:t>
      </w:r>
      <w:r w:rsidRPr="00187DE1">
        <w:t xml:space="preserve"> aggravation of, </w:t>
      </w:r>
      <w:r w:rsidR="00C53EFC">
        <w:t>complex regional pain syndrome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C53EFC">
        <w:t>complex regional pain syndrome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7" w:name="_Toc226619766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A40F22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226619767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255A0064" w:rsidR="00702C42" w:rsidRPr="003F39C0" w:rsidRDefault="00702C42" w:rsidP="003F39C0">
      <w:pPr>
        <w:pStyle w:val="NOTEScheduleonly"/>
      </w:pPr>
      <w:r w:rsidRPr="003F39C0">
        <w:t>Note:</w:t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1" w:name="_Toc405472918"/>
      <w:bookmarkStart w:id="32" w:name="_Toc226619768"/>
      <w:r w:rsidRPr="00D97BB3">
        <w:t>Definitions</w:t>
      </w:r>
      <w:bookmarkEnd w:id="31"/>
      <w:bookmarkEnd w:id="32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4E23CF7B" w14:textId="6FEB8D67" w:rsidR="00C53EFC" w:rsidRPr="00513D05" w:rsidRDefault="00C53EFC" w:rsidP="00C53EFC">
      <w:pPr>
        <w:pStyle w:val="SH3"/>
        <w:ind w:left="851"/>
      </w:pPr>
      <w:bookmarkStart w:id="33" w:name="_Ref402530810"/>
      <w:r>
        <w:rPr>
          <w:b/>
          <w:i/>
        </w:rPr>
        <w:t>complex regional pain syndrome</w:t>
      </w:r>
      <w:r w:rsidRPr="00513D05">
        <w:t>—see subsection</w:t>
      </w:r>
      <w:r>
        <w:t xml:space="preserve"> 7(2).</w:t>
      </w:r>
    </w:p>
    <w:p w14:paraId="61F3D3F5" w14:textId="08B6671C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3"/>
    <w:p w14:paraId="62173E6F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14:paraId="617C9B19" w14:textId="08CDD08D" w:rsidR="00885EAB" w:rsidRPr="00513D05" w:rsidRDefault="00885EAB" w:rsidP="00984EE9">
      <w:pPr>
        <w:pStyle w:val="SH4"/>
        <w:ind w:left="1418"/>
      </w:pPr>
      <w:proofErr w:type="gramStart"/>
      <w:r w:rsidRPr="00513D05">
        <w:t>pneumonia;</w:t>
      </w:r>
      <w:proofErr w:type="gramEnd"/>
    </w:p>
    <w:p w14:paraId="0456F543" w14:textId="5AC66AFE" w:rsidR="00885EAB" w:rsidRPr="00513D05" w:rsidRDefault="00885EAB" w:rsidP="00984EE9">
      <w:pPr>
        <w:pStyle w:val="SH4"/>
        <w:ind w:left="1418"/>
      </w:pPr>
      <w:r w:rsidRPr="00513D05">
        <w:t xml:space="preserve">respiratory </w:t>
      </w:r>
      <w:proofErr w:type="gramStart"/>
      <w:r w:rsidRPr="00513D05">
        <w:t>failure;</w:t>
      </w:r>
      <w:proofErr w:type="gramEnd"/>
    </w:p>
    <w:p w14:paraId="170BC364" w14:textId="09036DD7" w:rsidR="00885EAB" w:rsidRPr="00513D05" w:rsidRDefault="00885EAB" w:rsidP="00984EE9">
      <w:pPr>
        <w:pStyle w:val="SH4"/>
        <w:ind w:left="1418"/>
      </w:pPr>
      <w:r w:rsidRPr="00513D05">
        <w:t xml:space="preserve">cardiac </w:t>
      </w:r>
      <w:proofErr w:type="gramStart"/>
      <w:r w:rsidRPr="00513D05">
        <w:t>arrest;</w:t>
      </w:r>
      <w:proofErr w:type="gramEnd"/>
    </w:p>
    <w:p w14:paraId="395381B6" w14:textId="6399833B" w:rsidR="00885EAB" w:rsidRPr="00513D05" w:rsidRDefault="00885EAB" w:rsidP="00984EE9">
      <w:pPr>
        <w:pStyle w:val="SH4"/>
        <w:ind w:left="1418"/>
      </w:pPr>
      <w:r w:rsidRPr="00513D05">
        <w:t>circulatory failure;</w:t>
      </w:r>
      <w:r w:rsidR="002376A0">
        <w:t xml:space="preserve"> or</w:t>
      </w:r>
    </w:p>
    <w:p w14:paraId="53A3E74D" w14:textId="134C5C22" w:rsidR="00BD3334" w:rsidRPr="00BD3334" w:rsidRDefault="00885EAB" w:rsidP="00984EE9">
      <w:pPr>
        <w:pStyle w:val="SH4"/>
        <w:ind w:left="1418"/>
      </w:pPr>
      <w:r w:rsidRPr="00513D05"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3A1AAD2E" w:rsidR="00681215" w:rsidRDefault="00C53EFC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complex regional pain syndrome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40F22">
            <w:rPr>
              <w:i/>
              <w:sz w:val="18"/>
            </w:rPr>
            <w:t xml:space="preserve">42 </w:t>
          </w:r>
          <w:r w:rsidR="00681215" w:rsidRPr="007C5CE0">
            <w:rPr>
              <w:i/>
              <w:sz w:val="18"/>
              <w:szCs w:val="18"/>
            </w:rPr>
            <w:t>of</w:t>
          </w:r>
          <w:r>
            <w:rPr>
              <w:i/>
              <w:sz w:val="18"/>
              <w:szCs w:val="18"/>
            </w:rPr>
            <w:t xml:space="preserve"> 202</w:t>
          </w:r>
          <w:r w:rsidR="00A40F22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18BED792" w:rsidR="00681215" w:rsidRDefault="00C53EFC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complex regional pain syndrome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40F22">
            <w:rPr>
              <w:i/>
              <w:sz w:val="18"/>
            </w:rPr>
            <w:t xml:space="preserve">42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>
            <w:rPr>
              <w:i/>
              <w:sz w:val="18"/>
              <w:szCs w:val="18"/>
            </w:rPr>
            <w:t>202</w:t>
          </w:r>
          <w:r w:rsidR="00A40F22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20CE" w14:textId="789ED9EF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820F7"/>
    <w:multiLevelType w:val="hybridMultilevel"/>
    <w:tmpl w:val="B9F0C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8"/>
  </w:num>
  <w:num w:numId="22" w16cid:durableId="861939741">
    <w:abstractNumId w:val="12"/>
  </w:num>
  <w:num w:numId="23" w16cid:durableId="1924755300">
    <w:abstractNumId w:val="16"/>
  </w:num>
  <w:num w:numId="24" w16cid:durableId="379594336">
    <w:abstractNumId w:val="19"/>
  </w:num>
  <w:num w:numId="25" w16cid:durableId="155512400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A0E83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0AED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172A"/>
    <w:rsid w:val="0033221D"/>
    <w:rsid w:val="00333347"/>
    <w:rsid w:val="003354D2"/>
    <w:rsid w:val="00335BC6"/>
    <w:rsid w:val="003415D3"/>
    <w:rsid w:val="00344701"/>
    <w:rsid w:val="00352B0F"/>
    <w:rsid w:val="00353FF1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3E29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3AA6"/>
    <w:rsid w:val="00594161"/>
    <w:rsid w:val="00594749"/>
    <w:rsid w:val="005A0458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91163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0E9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3091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1475"/>
    <w:rsid w:val="00A22C98"/>
    <w:rsid w:val="00A231E2"/>
    <w:rsid w:val="00A40F22"/>
    <w:rsid w:val="00A42FEB"/>
    <w:rsid w:val="00A515BC"/>
    <w:rsid w:val="00A56C3D"/>
    <w:rsid w:val="00A572AA"/>
    <w:rsid w:val="00A6070D"/>
    <w:rsid w:val="00A64912"/>
    <w:rsid w:val="00A64BA1"/>
    <w:rsid w:val="00A70A74"/>
    <w:rsid w:val="00A931D7"/>
    <w:rsid w:val="00AA0FC8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451D1"/>
    <w:rsid w:val="00B50826"/>
    <w:rsid w:val="00B50ADC"/>
    <w:rsid w:val="00B527C0"/>
    <w:rsid w:val="00B566B1"/>
    <w:rsid w:val="00B63834"/>
    <w:rsid w:val="00B65887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2FCB"/>
    <w:rsid w:val="00C25E7F"/>
    <w:rsid w:val="00C2746F"/>
    <w:rsid w:val="00C324A0"/>
    <w:rsid w:val="00C3300F"/>
    <w:rsid w:val="00C349C5"/>
    <w:rsid w:val="00C42BF8"/>
    <w:rsid w:val="00C50043"/>
    <w:rsid w:val="00C53EFC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235BB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27195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041B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  <w:style w:type="paragraph" w:customStyle="1" w:styleId="PlainParagraph">
    <w:name w:val="Plain Paragraph"/>
    <w:aliases w:val="PP"/>
    <w:basedOn w:val="Normal"/>
    <w:link w:val="PlainParagraphChar"/>
    <w:qFormat/>
    <w:rsid w:val="00C53EFC"/>
    <w:pPr>
      <w:spacing w:before="280" w:after="140" w:line="280" w:lineRule="atLeast"/>
    </w:pPr>
    <w:rPr>
      <w:rFonts w:ascii="Arial" w:eastAsia="Times New Roman" w:hAnsi="Arial" w:cs="Arial"/>
      <w:szCs w:val="22"/>
      <w:lang w:eastAsia="en-AU"/>
    </w:rPr>
  </w:style>
  <w:style w:type="character" w:customStyle="1" w:styleId="PlainParagraphChar">
    <w:name w:val="Plain Paragraph Char"/>
    <w:aliases w:val="PP Char"/>
    <w:basedOn w:val="DefaultParagraphFont"/>
    <w:link w:val="PlainParagraph"/>
    <w:rsid w:val="00C53EFC"/>
    <w:rPr>
      <w:rFonts w:ascii="Arial" w:eastAsia="Times New Roman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588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1145</Words>
  <Characters>6527</Characters>
  <Application>Microsoft Office Word</Application>
  <DocSecurity>0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2026-04-08T23:24:00Z</dcterms:created>
  <dcterms:modified xsi:type="dcterms:W3CDTF">2026-04-23T00:56:00Z</dcterms:modified>
  <cp:category/>
  <cp:contentStatus/>
  <dc:language/>
  <cp:version/>
</cp:coreProperties>
</file>