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BF9B7" w14:textId="77777777" w:rsidR="00715914" w:rsidRPr="00FA33FB" w:rsidRDefault="00997416" w:rsidP="000D4D03">
      <w:pPr>
        <w:pStyle w:val="Plain"/>
        <w:jc w:val="center"/>
        <w:rPr>
          <w:sz w:val="28"/>
        </w:rPr>
      </w:pPr>
      <w:r>
        <w:rPr>
          <w:noProof/>
        </w:rPr>
        <w:drawing>
          <wp:inline distT="0" distB="0" distL="0" distR="0" wp14:anchorId="220587DD" wp14:editId="7B80B672">
            <wp:extent cx="1752600" cy="933450"/>
            <wp:effectExtent l="0" t="0" r="0" b="0"/>
            <wp:docPr id="2" name="Picture 2" descr="RMA Australian Government Coat of Arm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MA Australian Government Coat of Arms&#10;&#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6257CD60" w14:textId="77777777" w:rsidR="00715914" w:rsidRPr="00FA33FB" w:rsidRDefault="00715914" w:rsidP="00715914">
      <w:pPr>
        <w:rPr>
          <w:sz w:val="19"/>
        </w:rPr>
      </w:pPr>
    </w:p>
    <w:p w14:paraId="5D6ECB4B" w14:textId="77777777" w:rsidR="000F76FA" w:rsidRPr="00024911" w:rsidRDefault="00E55F66" w:rsidP="006647B7">
      <w:pPr>
        <w:pStyle w:val="Plainheader"/>
      </w:pPr>
      <w:r w:rsidRPr="00024911">
        <w:t>Statement of Principles</w:t>
      </w:r>
    </w:p>
    <w:p w14:paraId="7E79D9E7" w14:textId="77777777" w:rsidR="000D4972" w:rsidRPr="00024911" w:rsidRDefault="000D4972" w:rsidP="000D4972">
      <w:pPr>
        <w:pStyle w:val="Plainheader"/>
      </w:pPr>
      <w:r w:rsidRPr="00024911">
        <w:t>concerning</w:t>
      </w:r>
    </w:p>
    <w:p w14:paraId="23A97512" w14:textId="778D68F9" w:rsidR="00054930" w:rsidRDefault="0037191C" w:rsidP="000D4972">
      <w:pPr>
        <w:pStyle w:val="Plainheader"/>
      </w:pPr>
      <w:r>
        <w:t>LABRAL TEAR OF THE HIP AND SHOULDER</w:t>
      </w:r>
      <w:r w:rsidR="000D4972">
        <w:br/>
        <w:t xml:space="preserve"> </w:t>
      </w:r>
      <w:r w:rsidR="00997416">
        <w:t xml:space="preserve">(Balance of Probabilities) </w:t>
      </w:r>
    </w:p>
    <w:p w14:paraId="36FCFAA6" w14:textId="64EFB01D" w:rsidR="00715914" w:rsidRPr="00024911" w:rsidRDefault="00E55F66" w:rsidP="006647B7">
      <w:pPr>
        <w:pStyle w:val="Plainheader"/>
      </w:pPr>
      <w:r w:rsidRPr="00024911">
        <w:t xml:space="preserve">(No. </w:t>
      </w:r>
      <w:r w:rsidR="005817E8">
        <w:t>34</w:t>
      </w:r>
      <w:r w:rsidRPr="00024911">
        <w:t xml:space="preserve"> of</w:t>
      </w:r>
      <w:r w:rsidR="00085567">
        <w:t xml:space="preserve"> </w:t>
      </w:r>
      <w:bookmarkStart w:id="0" w:name="year"/>
      <w:r w:rsidR="000D1AD1">
        <w:t>202</w:t>
      </w:r>
      <w:bookmarkEnd w:id="0"/>
      <w:r w:rsidR="0037191C">
        <w:t>6</w:t>
      </w:r>
      <w:r w:rsidRPr="00024911">
        <w:t>)</w:t>
      </w:r>
    </w:p>
    <w:p w14:paraId="2228743E"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subsection 196</w:t>
      </w:r>
      <w:proofErr w:type="gramStart"/>
      <w:r w:rsidR="00997416" w:rsidRPr="00BB78C9">
        <w:rPr>
          <w:sz w:val="24"/>
          <w:szCs w:val="24"/>
        </w:rPr>
        <w:t>B(</w:t>
      </w:r>
      <w:proofErr w:type="gramEnd"/>
      <w:r w:rsidR="00997416" w:rsidRPr="00BB78C9">
        <w:rPr>
          <w:sz w:val="24"/>
          <w:szCs w:val="24"/>
        </w:rPr>
        <w:t xml:space="preserve">3) of the </w:t>
      </w:r>
      <w:r w:rsidR="00997416" w:rsidRPr="00BB78C9">
        <w:rPr>
          <w:i/>
          <w:sz w:val="24"/>
          <w:szCs w:val="24"/>
        </w:rPr>
        <w:t>Veterans</w:t>
      </w:r>
      <w:r w:rsidR="008721B5">
        <w:rPr>
          <w:i/>
          <w:sz w:val="24"/>
          <w:szCs w:val="24"/>
        </w:rPr>
        <w:t>'</w:t>
      </w:r>
      <w:r w:rsidR="00997416" w:rsidRPr="00BB78C9">
        <w:rPr>
          <w:i/>
          <w:sz w:val="24"/>
          <w:szCs w:val="24"/>
        </w:rPr>
        <w:t xml:space="preserve"> Entitlements Act 1986</w:t>
      </w:r>
      <w:r w:rsidRPr="007527C1">
        <w:rPr>
          <w:sz w:val="24"/>
          <w:szCs w:val="24"/>
        </w:rPr>
        <w:t>.</w:t>
      </w:r>
    </w:p>
    <w:p w14:paraId="0500425F" w14:textId="77777777" w:rsidR="00F97A62" w:rsidRPr="00F97A62" w:rsidRDefault="00F97A62" w:rsidP="00F97A62">
      <w:pPr>
        <w:rPr>
          <w:lang w:eastAsia="en-AU"/>
        </w:rPr>
      </w:pPr>
    </w:p>
    <w:p w14:paraId="75FEF3CD" w14:textId="3813D809" w:rsidR="00F67B67" w:rsidRDefault="00F67B67" w:rsidP="00764D43">
      <w:pPr>
        <w:pStyle w:val="Plain"/>
        <w:tabs>
          <w:tab w:val="clear" w:pos="567"/>
          <w:tab w:val="left" w:pos="851"/>
        </w:tabs>
      </w:pPr>
      <w:r w:rsidRPr="007527C1">
        <w:t>Dated</w:t>
      </w:r>
      <w:r w:rsidR="007615E2">
        <w:tab/>
      </w:r>
      <w:r w:rsidR="005817E8">
        <w:t>24 April 2026</w:t>
      </w:r>
    </w:p>
    <w:p w14:paraId="50DBEFA4" w14:textId="77777777" w:rsidR="00D93DA9" w:rsidRDefault="00D93DA9" w:rsidP="00764D43">
      <w:pPr>
        <w:pStyle w:val="Plain"/>
      </w:pPr>
    </w:p>
    <w:p w14:paraId="20853D46" w14:textId="77777777" w:rsidR="00D93DA9" w:rsidRDefault="00D93DA9" w:rsidP="00764D43">
      <w:pPr>
        <w:pStyle w:val="Plain"/>
      </w:pPr>
    </w:p>
    <w:p w14:paraId="328C5FFA" w14:textId="77777777" w:rsidR="00D93DA9" w:rsidRDefault="00D93DA9" w:rsidP="00764D43">
      <w:pPr>
        <w:pStyle w:val="Plain"/>
      </w:pPr>
    </w:p>
    <w:p w14:paraId="4E4AC07A" w14:textId="77777777" w:rsidR="00D93DA9" w:rsidRDefault="00D93DA9" w:rsidP="00764D43">
      <w:pPr>
        <w:pStyle w:val="Plain"/>
      </w:pPr>
    </w:p>
    <w:p w14:paraId="24C6ED2D" w14:textId="77777777" w:rsidR="00AC7363" w:rsidRDefault="00AC7363" w:rsidP="00764D43">
      <w:pPr>
        <w:pStyle w:val="Plain"/>
      </w:pPr>
    </w:p>
    <w:p w14:paraId="7E859D8D" w14:textId="77777777" w:rsidR="00AC7363" w:rsidRDefault="00AC7363" w:rsidP="00764D43">
      <w:pPr>
        <w:pStyle w:val="Plain"/>
      </w:pPr>
    </w:p>
    <w:p w14:paraId="66FA31FE" w14:textId="77777777" w:rsidR="00AC7363" w:rsidRDefault="00AC7363" w:rsidP="00764D43">
      <w:pPr>
        <w:pStyle w:val="Plain"/>
      </w:pPr>
    </w:p>
    <w:p w14:paraId="275CBC36" w14:textId="77777777" w:rsidR="00AC7363" w:rsidRDefault="00AC7363" w:rsidP="00764D43">
      <w:pPr>
        <w:pStyle w:val="Plain"/>
      </w:pPr>
    </w:p>
    <w:p w14:paraId="2BAD1C6A" w14:textId="77777777" w:rsidR="00AC7363" w:rsidRDefault="00AC7363" w:rsidP="00764D43">
      <w:pPr>
        <w:pStyle w:val="Plain"/>
      </w:pPr>
    </w:p>
    <w:p w14:paraId="2B27DC36" w14:textId="77777777" w:rsidR="00AC7363" w:rsidRDefault="00AC7363" w:rsidP="00764D43">
      <w:pPr>
        <w:pStyle w:val="Plain"/>
      </w:pPr>
    </w:p>
    <w:p w14:paraId="3337C4F5" w14:textId="77777777" w:rsidR="00AC7363" w:rsidRDefault="00AC7363" w:rsidP="00AC7363">
      <w:pPr>
        <w:pStyle w:val="Plain"/>
      </w:pPr>
      <w:r>
        <w:t>Professor Terence Campbell AM</w:t>
      </w:r>
    </w:p>
    <w:p w14:paraId="7D8BAD76" w14:textId="77777777" w:rsidR="00AC7363" w:rsidRDefault="00AC7363" w:rsidP="00AC7363">
      <w:pPr>
        <w:pStyle w:val="Plain"/>
      </w:pPr>
      <w:r>
        <w:t>Chairperson</w:t>
      </w:r>
    </w:p>
    <w:p w14:paraId="728A8C7D" w14:textId="77777777" w:rsidR="00AC7363" w:rsidRDefault="00AC7363" w:rsidP="00AC7363">
      <w:pPr>
        <w:pStyle w:val="Plain"/>
      </w:pPr>
      <w:r>
        <w:t>by and on behalf of</w:t>
      </w:r>
    </w:p>
    <w:p w14:paraId="483C84BB" w14:textId="77777777" w:rsidR="00AC7363" w:rsidRDefault="00AC7363" w:rsidP="00AC7363">
      <w:pPr>
        <w:pStyle w:val="Plain"/>
      </w:pPr>
      <w:r>
        <w:t>The Repatriation Medical Authority</w:t>
      </w:r>
    </w:p>
    <w:p w14:paraId="3260F010" w14:textId="23ED899A" w:rsidR="00D93DA9" w:rsidRPr="007527C1" w:rsidRDefault="005F50EF" w:rsidP="005F50EF">
      <w:pPr>
        <w:spacing w:line="240" w:lineRule="auto"/>
      </w:pPr>
      <w:r>
        <w:br w:type="page"/>
      </w:r>
    </w:p>
    <w:p w14:paraId="6B2C2391" w14:textId="156DDADA" w:rsidR="00A137F8" w:rsidRDefault="00715914" w:rsidP="003734C6">
      <w:pPr>
        <w:pStyle w:val="Header"/>
        <w:tabs>
          <w:tab w:val="clear" w:pos="4150"/>
          <w:tab w:val="clear" w:pos="8307"/>
        </w:tabs>
        <w:rPr>
          <w:rStyle w:val="CharChapText"/>
        </w:rPr>
      </w:pPr>
      <w:r w:rsidRPr="00FA33FB">
        <w:rPr>
          <w:rStyle w:val="CharChapNo"/>
        </w:rPr>
        <w:lastRenderedPageBreak/>
        <w:t xml:space="preserve"> </w:t>
      </w:r>
      <w:r w:rsidRPr="00FA33FB">
        <w:rPr>
          <w:rStyle w:val="CharChapText"/>
        </w:rPr>
        <w:t xml:space="preserve"> </w:t>
      </w:r>
    </w:p>
    <w:p w14:paraId="175D5076" w14:textId="77777777" w:rsidR="00F67BCA" w:rsidRPr="00FA33FB" w:rsidRDefault="00715914" w:rsidP="00A137F8">
      <w:pPr>
        <w:pStyle w:val="Header"/>
        <w:tabs>
          <w:tab w:val="clear" w:pos="4150"/>
          <w:tab w:val="clear" w:pos="8307"/>
        </w:tabs>
        <w:spacing w:line="300" w:lineRule="exact"/>
        <w:rPr>
          <w:sz w:val="36"/>
        </w:rPr>
      </w:pPr>
      <w:r w:rsidRPr="00FA33FB">
        <w:rPr>
          <w:sz w:val="36"/>
        </w:rPr>
        <w:t>Contents</w:t>
      </w:r>
    </w:p>
    <w:bookmarkStart w:id="1" w:name="BKCheck15B_2"/>
    <w:bookmarkEnd w:id="1"/>
    <w:p w14:paraId="71E49029" w14:textId="604CFBFB" w:rsidR="000D4972"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0D4972">
        <w:rPr>
          <w:noProof/>
        </w:rPr>
        <w:t>1</w:t>
      </w:r>
      <w:r w:rsidR="000D4972">
        <w:rPr>
          <w:rFonts w:asciiTheme="minorHAnsi" w:eastAsiaTheme="minorEastAsia" w:hAnsiTheme="minorHAnsi" w:cstheme="minorBidi"/>
          <w:noProof/>
          <w:kern w:val="0"/>
          <w:sz w:val="22"/>
          <w:szCs w:val="22"/>
        </w:rPr>
        <w:tab/>
      </w:r>
      <w:r w:rsidR="000D4972">
        <w:rPr>
          <w:noProof/>
        </w:rPr>
        <w:t>Name</w:t>
      </w:r>
      <w:r w:rsidR="000D4972">
        <w:rPr>
          <w:noProof/>
        </w:rPr>
        <w:tab/>
      </w:r>
      <w:r w:rsidR="000D4972">
        <w:rPr>
          <w:noProof/>
        </w:rPr>
        <w:fldChar w:fldCharType="begin"/>
      </w:r>
      <w:r w:rsidR="000D4972">
        <w:rPr>
          <w:noProof/>
        </w:rPr>
        <w:instrText xml:space="preserve"> PAGEREF _Toc522787300 \h </w:instrText>
      </w:r>
      <w:r w:rsidR="000D4972">
        <w:rPr>
          <w:noProof/>
        </w:rPr>
      </w:r>
      <w:r w:rsidR="000D4972">
        <w:rPr>
          <w:noProof/>
        </w:rPr>
        <w:fldChar w:fldCharType="separate"/>
      </w:r>
      <w:r w:rsidR="005F50EF">
        <w:rPr>
          <w:noProof/>
        </w:rPr>
        <w:t>3</w:t>
      </w:r>
      <w:r w:rsidR="000D4972">
        <w:rPr>
          <w:noProof/>
        </w:rPr>
        <w:fldChar w:fldCharType="end"/>
      </w:r>
    </w:p>
    <w:p w14:paraId="687B782B" w14:textId="34425E05" w:rsidR="000D4972" w:rsidRDefault="000D4972">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_Toc522787301 \h </w:instrText>
      </w:r>
      <w:r>
        <w:rPr>
          <w:noProof/>
        </w:rPr>
      </w:r>
      <w:r>
        <w:rPr>
          <w:noProof/>
        </w:rPr>
        <w:fldChar w:fldCharType="separate"/>
      </w:r>
      <w:r w:rsidR="005F50EF">
        <w:rPr>
          <w:noProof/>
        </w:rPr>
        <w:t>3</w:t>
      </w:r>
      <w:r>
        <w:rPr>
          <w:noProof/>
        </w:rPr>
        <w:fldChar w:fldCharType="end"/>
      </w:r>
    </w:p>
    <w:p w14:paraId="63BDEC73" w14:textId="1CBEA82C" w:rsidR="000D4972" w:rsidRDefault="000D4972">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_Toc522787302 \h </w:instrText>
      </w:r>
      <w:r>
        <w:rPr>
          <w:noProof/>
        </w:rPr>
      </w:r>
      <w:r>
        <w:rPr>
          <w:noProof/>
        </w:rPr>
        <w:fldChar w:fldCharType="separate"/>
      </w:r>
      <w:r w:rsidR="005F50EF">
        <w:rPr>
          <w:noProof/>
        </w:rPr>
        <w:t>3</w:t>
      </w:r>
      <w:r>
        <w:rPr>
          <w:noProof/>
        </w:rPr>
        <w:fldChar w:fldCharType="end"/>
      </w:r>
    </w:p>
    <w:p w14:paraId="0824E806" w14:textId="7C0D8FBD" w:rsidR="000D4972" w:rsidRDefault="000D4972">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_Toc522787303 \h </w:instrText>
      </w:r>
      <w:r>
        <w:rPr>
          <w:noProof/>
        </w:rPr>
      </w:r>
      <w:r>
        <w:rPr>
          <w:noProof/>
        </w:rPr>
        <w:fldChar w:fldCharType="separate"/>
      </w:r>
      <w:r w:rsidR="005F50EF">
        <w:rPr>
          <w:noProof/>
        </w:rPr>
        <w:t>3</w:t>
      </w:r>
      <w:r>
        <w:rPr>
          <w:noProof/>
        </w:rPr>
        <w:fldChar w:fldCharType="end"/>
      </w:r>
    </w:p>
    <w:p w14:paraId="0AE5E568" w14:textId="36DCB24A" w:rsidR="000D4972" w:rsidRDefault="000D4972">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_Toc522787304 \h </w:instrText>
      </w:r>
      <w:r>
        <w:rPr>
          <w:noProof/>
        </w:rPr>
      </w:r>
      <w:r>
        <w:rPr>
          <w:noProof/>
        </w:rPr>
        <w:fldChar w:fldCharType="separate"/>
      </w:r>
      <w:r w:rsidR="005F50EF">
        <w:rPr>
          <w:noProof/>
        </w:rPr>
        <w:t>3</w:t>
      </w:r>
      <w:r>
        <w:rPr>
          <w:noProof/>
        </w:rPr>
        <w:fldChar w:fldCharType="end"/>
      </w:r>
    </w:p>
    <w:p w14:paraId="309E753D" w14:textId="50BC61EC" w:rsidR="000D4972" w:rsidRDefault="000D4972">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_Toc522787305 \h </w:instrText>
      </w:r>
      <w:r>
        <w:rPr>
          <w:noProof/>
        </w:rPr>
      </w:r>
      <w:r>
        <w:rPr>
          <w:noProof/>
        </w:rPr>
        <w:fldChar w:fldCharType="separate"/>
      </w:r>
      <w:r w:rsidR="005F50EF">
        <w:rPr>
          <w:noProof/>
        </w:rPr>
        <w:t>3</w:t>
      </w:r>
      <w:r>
        <w:rPr>
          <w:noProof/>
        </w:rPr>
        <w:fldChar w:fldCharType="end"/>
      </w:r>
    </w:p>
    <w:p w14:paraId="4A047050" w14:textId="7B5B914D" w:rsidR="000D4972" w:rsidRDefault="000D4972">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_Toc522787306 \h </w:instrText>
      </w:r>
      <w:r>
        <w:rPr>
          <w:noProof/>
        </w:rPr>
      </w:r>
      <w:r>
        <w:rPr>
          <w:noProof/>
        </w:rPr>
        <w:fldChar w:fldCharType="separate"/>
      </w:r>
      <w:r w:rsidR="005F50EF">
        <w:rPr>
          <w:noProof/>
        </w:rPr>
        <w:t>3</w:t>
      </w:r>
      <w:r>
        <w:rPr>
          <w:noProof/>
        </w:rPr>
        <w:fldChar w:fldCharType="end"/>
      </w:r>
    </w:p>
    <w:p w14:paraId="27558E06" w14:textId="3CA4DCEC" w:rsidR="000D4972" w:rsidRDefault="000D4972">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_Toc522787307 \h </w:instrText>
      </w:r>
      <w:r>
        <w:rPr>
          <w:noProof/>
        </w:rPr>
      </w:r>
      <w:r>
        <w:rPr>
          <w:noProof/>
        </w:rPr>
        <w:fldChar w:fldCharType="separate"/>
      </w:r>
      <w:r w:rsidR="005F50EF">
        <w:rPr>
          <w:noProof/>
        </w:rPr>
        <w:t>4</w:t>
      </w:r>
      <w:r>
        <w:rPr>
          <w:noProof/>
        </w:rPr>
        <w:fldChar w:fldCharType="end"/>
      </w:r>
    </w:p>
    <w:p w14:paraId="1836314E" w14:textId="1D48B496" w:rsidR="000D4972" w:rsidRDefault="000D4972">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_Toc522787308 \h </w:instrText>
      </w:r>
      <w:r>
        <w:rPr>
          <w:noProof/>
        </w:rPr>
      </w:r>
      <w:r>
        <w:rPr>
          <w:noProof/>
        </w:rPr>
        <w:fldChar w:fldCharType="separate"/>
      </w:r>
      <w:r w:rsidR="005F50EF">
        <w:rPr>
          <w:noProof/>
        </w:rPr>
        <w:t>4</w:t>
      </w:r>
      <w:r>
        <w:rPr>
          <w:noProof/>
        </w:rPr>
        <w:fldChar w:fldCharType="end"/>
      </w:r>
    </w:p>
    <w:p w14:paraId="720E4EDB" w14:textId="28DF8EE7" w:rsidR="000D4972" w:rsidRDefault="000D4972">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_Toc522787309 \h </w:instrText>
      </w:r>
      <w:r>
        <w:rPr>
          <w:noProof/>
        </w:rPr>
      </w:r>
      <w:r>
        <w:rPr>
          <w:noProof/>
        </w:rPr>
        <w:fldChar w:fldCharType="separate"/>
      </w:r>
      <w:r w:rsidR="005F50EF">
        <w:rPr>
          <w:noProof/>
        </w:rPr>
        <w:t>5</w:t>
      </w:r>
      <w:r>
        <w:rPr>
          <w:noProof/>
        </w:rPr>
        <w:fldChar w:fldCharType="end"/>
      </w:r>
    </w:p>
    <w:p w14:paraId="29F41960" w14:textId="19947E00" w:rsidR="000D4972" w:rsidRDefault="000D4972">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_Toc522787310 \h </w:instrText>
      </w:r>
      <w:r>
        <w:rPr>
          <w:noProof/>
        </w:rPr>
      </w:r>
      <w:r>
        <w:rPr>
          <w:noProof/>
        </w:rPr>
        <w:fldChar w:fldCharType="separate"/>
      </w:r>
      <w:r w:rsidR="005F50EF">
        <w:rPr>
          <w:noProof/>
        </w:rPr>
        <w:t>5</w:t>
      </w:r>
      <w:r>
        <w:rPr>
          <w:noProof/>
        </w:rPr>
        <w:fldChar w:fldCharType="end"/>
      </w:r>
    </w:p>
    <w:p w14:paraId="147E4E6C" w14:textId="0B7D7CE4" w:rsidR="000D4972" w:rsidRDefault="000D4972">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_Toc522787311 \h </w:instrText>
      </w:r>
      <w:r>
        <w:rPr>
          <w:noProof/>
        </w:rPr>
      </w:r>
      <w:r>
        <w:rPr>
          <w:noProof/>
        </w:rPr>
        <w:fldChar w:fldCharType="separate"/>
      </w:r>
      <w:r w:rsidR="005F50EF">
        <w:rPr>
          <w:noProof/>
        </w:rPr>
        <w:t>6</w:t>
      </w:r>
      <w:r>
        <w:rPr>
          <w:noProof/>
        </w:rPr>
        <w:fldChar w:fldCharType="end"/>
      </w:r>
    </w:p>
    <w:p w14:paraId="4C9330D8" w14:textId="1DE0871D" w:rsidR="000D4972" w:rsidRDefault="000D4972">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_Toc522787312 \h </w:instrText>
      </w:r>
      <w:r>
        <w:rPr>
          <w:noProof/>
        </w:rPr>
      </w:r>
      <w:r>
        <w:rPr>
          <w:noProof/>
        </w:rPr>
        <w:fldChar w:fldCharType="separate"/>
      </w:r>
      <w:r w:rsidR="005F50EF">
        <w:rPr>
          <w:noProof/>
        </w:rPr>
        <w:t>6</w:t>
      </w:r>
      <w:r>
        <w:rPr>
          <w:noProof/>
        </w:rPr>
        <w:fldChar w:fldCharType="end"/>
      </w:r>
    </w:p>
    <w:p w14:paraId="45C59D5E" w14:textId="77777777" w:rsidR="003A2FFE" w:rsidRDefault="002A3436" w:rsidP="00715914">
      <w:r>
        <w:rPr>
          <w:rFonts w:eastAsia="Times New Roman"/>
          <w:b/>
          <w:kern w:val="28"/>
          <w:sz w:val="18"/>
          <w:lang w:eastAsia="en-AU"/>
        </w:rPr>
        <w:fldChar w:fldCharType="end"/>
      </w:r>
    </w:p>
    <w:p w14:paraId="49330341" w14:textId="77777777" w:rsidR="003A2FFE" w:rsidRDefault="003A2FFE" w:rsidP="003A2FFE">
      <w:pPr>
        <w:tabs>
          <w:tab w:val="left" w:pos="3631"/>
        </w:tabs>
      </w:pPr>
    </w:p>
    <w:p w14:paraId="4510A1DD" w14:textId="77777777" w:rsidR="003734C6" w:rsidRDefault="003734C6" w:rsidP="00715914">
      <w:r w:rsidRPr="003A2FFE">
        <w:br w:type="page"/>
      </w:r>
    </w:p>
    <w:p w14:paraId="2A1E7F8A" w14:textId="77777777" w:rsidR="00877AE3" w:rsidRDefault="00877AE3" w:rsidP="00C96667">
      <w:pPr>
        <w:pStyle w:val="LV1"/>
      </w:pPr>
      <w:bookmarkStart w:id="2" w:name="_Toc522787300"/>
      <w:r>
        <w:lastRenderedPageBreak/>
        <w:t>Name</w:t>
      </w:r>
      <w:bookmarkEnd w:id="2"/>
    </w:p>
    <w:p w14:paraId="6F0FAC51" w14:textId="6DA2F71F" w:rsidR="00237471" w:rsidRPr="00F97A62" w:rsidRDefault="00715914" w:rsidP="00DF65CF">
      <w:pPr>
        <w:pStyle w:val="PlainIndent"/>
      </w:pPr>
      <w:r w:rsidRPr="00F97A62">
        <w:t xml:space="preserve">This </w:t>
      </w:r>
      <w:r w:rsidR="00574573" w:rsidRPr="00F97A62">
        <w:t xml:space="preserve">is the </w:t>
      </w:r>
      <w:bookmarkStart w:id="3" w:name="BKCheck15B_3"/>
      <w:bookmarkEnd w:id="3"/>
      <w:r w:rsidR="00574573" w:rsidRPr="00F97A62">
        <w:t xml:space="preserve">Statement of Principles concerning </w:t>
      </w:r>
      <w:r w:rsidR="0037191C">
        <w:rPr>
          <w:i/>
        </w:rPr>
        <w:t>labral tear of the hip and shoulder</w:t>
      </w:r>
      <w:r w:rsidR="00574573" w:rsidRPr="00F97A62">
        <w:t xml:space="preserve"> </w:t>
      </w:r>
      <w:r w:rsidR="00574573">
        <w:rPr>
          <w:i/>
        </w:rPr>
        <w:t xml:space="preserve">(Balance of </w:t>
      </w:r>
      <w:r w:rsidR="00574573" w:rsidRPr="005817E8">
        <w:rPr>
          <w:i/>
        </w:rPr>
        <w:t xml:space="preserve">Probabilities) </w:t>
      </w:r>
      <w:r w:rsidR="00574573" w:rsidRPr="005817E8">
        <w:t xml:space="preserve">(No. </w:t>
      </w:r>
      <w:r w:rsidR="005817E8" w:rsidRPr="005817E8">
        <w:t>34</w:t>
      </w:r>
      <w:r w:rsidR="00574573" w:rsidRPr="005817E8">
        <w:t xml:space="preserve"> of </w:t>
      </w:r>
      <w:r w:rsidR="0037191C" w:rsidRPr="005817E8">
        <w:t>2026</w:t>
      </w:r>
      <w:r w:rsidR="00574573" w:rsidRPr="005817E8">
        <w:t>).</w:t>
      </w:r>
    </w:p>
    <w:p w14:paraId="4752A1CD" w14:textId="77777777" w:rsidR="00F67B67" w:rsidRPr="00684C0E" w:rsidRDefault="00F67B67" w:rsidP="00C96667">
      <w:pPr>
        <w:pStyle w:val="LV1"/>
      </w:pPr>
      <w:bookmarkStart w:id="4" w:name="_Toc522787301"/>
      <w:r w:rsidRPr="00684C0E">
        <w:t>Commencement</w:t>
      </w:r>
      <w:bookmarkEnd w:id="4"/>
    </w:p>
    <w:p w14:paraId="48161169" w14:textId="226D9F49" w:rsidR="00F67B67" w:rsidRPr="007527C1" w:rsidRDefault="00F67B67" w:rsidP="00DF65CF">
      <w:pPr>
        <w:pStyle w:val="PlainIndent"/>
      </w:pPr>
      <w:r w:rsidRPr="007527C1">
        <w:t xml:space="preserve">This instrument commences on </w:t>
      </w:r>
      <w:r w:rsidR="005817E8">
        <w:rPr>
          <w:b/>
        </w:rPr>
        <w:t>25 May 2026.</w:t>
      </w:r>
    </w:p>
    <w:p w14:paraId="11A6BE1E" w14:textId="77777777" w:rsidR="00F67B67" w:rsidRPr="00684C0E" w:rsidRDefault="00F67B67" w:rsidP="00C96667">
      <w:pPr>
        <w:pStyle w:val="LV1"/>
      </w:pPr>
      <w:bookmarkStart w:id="5" w:name="_Toc522787302"/>
      <w:r w:rsidRPr="00684C0E">
        <w:t>Authority</w:t>
      </w:r>
      <w:bookmarkEnd w:id="5"/>
    </w:p>
    <w:p w14:paraId="44D837A0" w14:textId="77777777" w:rsidR="00F67B67" w:rsidRDefault="00F67B67" w:rsidP="00DF65CF">
      <w:pPr>
        <w:pStyle w:val="PlainIndent"/>
      </w:pPr>
      <w:r w:rsidRPr="007527C1">
        <w:t>This inst</w:t>
      </w:r>
      <w:r w:rsidR="00D32F71">
        <w:t xml:space="preserve">rument is made under subsection </w:t>
      </w:r>
      <w:r w:rsidRPr="007527C1">
        <w:t>196</w:t>
      </w:r>
      <w:proofErr w:type="gramStart"/>
      <w:r w:rsidRPr="007527C1">
        <w:t>B(</w:t>
      </w:r>
      <w:proofErr w:type="gramEnd"/>
      <w:r w:rsidRPr="007527C1">
        <w:t xml:space="preserve">3) of the </w:t>
      </w:r>
      <w:r w:rsidRPr="007527C1">
        <w:rPr>
          <w:i/>
        </w:rPr>
        <w:t>Veterans</w:t>
      </w:r>
      <w:r w:rsidR="008721B5">
        <w:rPr>
          <w:i/>
        </w:rPr>
        <w:t>'</w:t>
      </w:r>
      <w:r w:rsidRPr="007527C1">
        <w:rPr>
          <w:i/>
        </w:rPr>
        <w:t xml:space="preserve"> Entitlements Act 1986</w:t>
      </w:r>
      <w:r w:rsidRPr="007527C1">
        <w:t>.</w:t>
      </w:r>
    </w:p>
    <w:p w14:paraId="35DACDD7" w14:textId="77777777" w:rsidR="007959B9" w:rsidRPr="00684C0E" w:rsidRDefault="007959B9" w:rsidP="007959B9">
      <w:pPr>
        <w:pStyle w:val="LV1"/>
        <w:numPr>
          <w:ilvl w:val="0"/>
          <w:numId w:val="4"/>
        </w:numPr>
      </w:pPr>
      <w:bookmarkStart w:id="6" w:name="_Toc522787303"/>
      <w:r>
        <w:t>Re</w:t>
      </w:r>
      <w:r w:rsidR="00CB7412">
        <w:t>peal</w:t>
      </w:r>
      <w:bookmarkEnd w:id="6"/>
    </w:p>
    <w:p w14:paraId="26178D58" w14:textId="42369D75" w:rsidR="007959B9" w:rsidRPr="007527C1" w:rsidRDefault="000D4972" w:rsidP="00DF65CF">
      <w:pPr>
        <w:pStyle w:val="PlainIndent"/>
      </w:pPr>
      <w:r>
        <w:t>The</w:t>
      </w:r>
      <w:r w:rsidRPr="007527C1">
        <w:t xml:space="preserve"> </w:t>
      </w:r>
      <w:r w:rsidRPr="00DA3996">
        <w:t xml:space="preserve">Statement of Principles concerning </w:t>
      </w:r>
      <w:r w:rsidR="0037191C">
        <w:t>labral tear</w:t>
      </w:r>
      <w:r w:rsidR="002D4541">
        <w:t xml:space="preserve"> </w:t>
      </w:r>
      <w:r w:rsidR="00D117D0" w:rsidRPr="00D117D0">
        <w:rPr>
          <w:iCs/>
        </w:rPr>
        <w:t>(Balance of Probabilities)</w:t>
      </w:r>
      <w:r w:rsidR="00D117D0">
        <w:t xml:space="preserve"> (</w:t>
      </w:r>
      <w:r w:rsidR="002D4541">
        <w:t xml:space="preserve">No. </w:t>
      </w:r>
      <w:r w:rsidR="0037191C">
        <w:t>37</w:t>
      </w:r>
      <w:r w:rsidR="002D4541">
        <w:t xml:space="preserve"> of 20</w:t>
      </w:r>
      <w:r w:rsidR="0037191C">
        <w:t>17</w:t>
      </w:r>
      <w:r w:rsidR="00D117D0">
        <w:t>)</w:t>
      </w:r>
      <w:r>
        <w:t xml:space="preserve"> </w:t>
      </w:r>
      <w:r w:rsidRPr="00786DAE">
        <w:t>(Federal Re</w:t>
      </w:r>
      <w:r w:rsidR="00F27BB2">
        <w:t>giste</w:t>
      </w:r>
      <w:r w:rsidR="002D4541">
        <w:t xml:space="preserve">r of Legislation No. </w:t>
      </w:r>
      <w:r w:rsidR="0037191C" w:rsidRPr="0037191C">
        <w:t>F2017L00886</w:t>
      </w:r>
      <w:r w:rsidRPr="00786DAE">
        <w:t xml:space="preserve">) </w:t>
      </w:r>
      <w:r w:rsidR="00F27BB2">
        <w:t>made under subsection</w:t>
      </w:r>
      <w:r w:rsidRPr="00DA3996">
        <w:t xml:space="preserve"> 196</w:t>
      </w:r>
      <w:proofErr w:type="gramStart"/>
      <w:r w:rsidRPr="00DA3996">
        <w:t>B(</w:t>
      </w:r>
      <w:proofErr w:type="gramEnd"/>
      <w:r>
        <w:t>3</w:t>
      </w:r>
      <w:r w:rsidR="00F27BB2">
        <w:t>)</w:t>
      </w:r>
      <w:r w:rsidRPr="00DA3996">
        <w:t xml:space="preserve"> of the VEA </w:t>
      </w:r>
      <w:r>
        <w:t>i</w:t>
      </w:r>
      <w:r w:rsidRPr="007527C1">
        <w:t>s</w:t>
      </w:r>
      <w:r>
        <w:t xml:space="preserve"> repealed.</w:t>
      </w:r>
    </w:p>
    <w:p w14:paraId="70963372" w14:textId="77777777" w:rsidR="007C7DEE" w:rsidRPr="00684C0E" w:rsidRDefault="007C7DEE" w:rsidP="00C96667">
      <w:pPr>
        <w:pStyle w:val="LV1"/>
      </w:pPr>
      <w:bookmarkStart w:id="7" w:name="_Toc522787304"/>
      <w:r w:rsidRPr="00684C0E">
        <w:t>Application</w:t>
      </w:r>
      <w:bookmarkEnd w:id="7"/>
    </w:p>
    <w:p w14:paraId="4D408B62" w14:textId="77777777" w:rsidR="007C7DEE" w:rsidRPr="007527C1" w:rsidRDefault="007C7DEE" w:rsidP="00DF65CF">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14:paraId="403008E4" w14:textId="77777777" w:rsidR="007C7DEE" w:rsidRPr="00684C0E" w:rsidRDefault="007C7DEE" w:rsidP="00C96667">
      <w:pPr>
        <w:pStyle w:val="LV1"/>
      </w:pPr>
      <w:bookmarkStart w:id="8" w:name="_Ref410129949"/>
      <w:bookmarkStart w:id="9" w:name="_Toc522787305"/>
      <w:r w:rsidRPr="00684C0E">
        <w:t>Definitions</w:t>
      </w:r>
      <w:bookmarkEnd w:id="8"/>
      <w:bookmarkEnd w:id="9"/>
    </w:p>
    <w:p w14:paraId="0DD1E7F3" w14:textId="77777777" w:rsidR="00237471" w:rsidRPr="00D5620B" w:rsidRDefault="007142FB" w:rsidP="00DF65CF">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48BC15F1" w14:textId="77777777" w:rsidR="007C7DEE" w:rsidRPr="00684C0E" w:rsidRDefault="007C7DEE" w:rsidP="00C96667">
      <w:pPr>
        <w:pStyle w:val="LV1"/>
      </w:pPr>
      <w:bookmarkStart w:id="10" w:name="_Ref409687573"/>
      <w:bookmarkStart w:id="11" w:name="_Ref409687579"/>
      <w:bookmarkStart w:id="12" w:name="_Ref409687725"/>
      <w:bookmarkStart w:id="13" w:name="_Toc522787306"/>
      <w:r w:rsidRPr="00684C0E">
        <w:t>Kind of injury, disease or death</w:t>
      </w:r>
      <w:r w:rsidR="00215860" w:rsidRPr="00684C0E">
        <w:t xml:space="preserve"> to which this Statement of Principles relates</w:t>
      </w:r>
      <w:bookmarkEnd w:id="10"/>
      <w:bookmarkEnd w:id="11"/>
      <w:bookmarkEnd w:id="12"/>
      <w:bookmarkEnd w:id="13"/>
    </w:p>
    <w:p w14:paraId="72A28F05" w14:textId="4E3C2F24" w:rsidR="007C7DEE" w:rsidRPr="00D5620B" w:rsidRDefault="007C7DEE" w:rsidP="00DF65CF">
      <w:pPr>
        <w:pStyle w:val="LV2"/>
      </w:pPr>
      <w:bookmarkStart w:id="14" w:name="_Ref403053584"/>
      <w:r w:rsidRPr="00D5620B">
        <w:t xml:space="preserve">This Statement of Principles is </w:t>
      </w:r>
      <w:r w:rsidRPr="002F77A1">
        <w:t xml:space="preserve">about </w:t>
      </w:r>
      <w:r w:rsidR="0037191C">
        <w:t>labral tear of the hip and shoulder</w:t>
      </w:r>
      <w:r w:rsidR="00D5620B" w:rsidRPr="002F77A1">
        <w:t xml:space="preserve"> </w:t>
      </w:r>
      <w:r w:rsidRPr="002F77A1">
        <w:t>and death</w:t>
      </w:r>
      <w:r w:rsidRPr="00D5620B">
        <w:t xml:space="preserve"> from</w:t>
      </w:r>
      <w:r w:rsidR="002F77A1">
        <w:t xml:space="preserve"> </w:t>
      </w:r>
      <w:r w:rsidR="0037191C">
        <w:t>labral tear of the hip and shoulder</w:t>
      </w:r>
      <w:r w:rsidRPr="00D5620B">
        <w:t>.</w:t>
      </w:r>
      <w:bookmarkEnd w:id="14"/>
    </w:p>
    <w:p w14:paraId="6155B62A" w14:textId="25C7C3A0" w:rsidR="00215860" w:rsidRPr="007142FB" w:rsidRDefault="00215860" w:rsidP="0083517B">
      <w:pPr>
        <w:pStyle w:val="LVtext"/>
      </w:pPr>
      <w:r w:rsidRPr="007142FB">
        <w:t>Meaning of</w:t>
      </w:r>
      <w:r w:rsidR="00D60FC8" w:rsidRPr="007142FB">
        <w:t xml:space="preserve"> </w:t>
      </w:r>
      <w:r w:rsidR="0037191C">
        <w:rPr>
          <w:b/>
        </w:rPr>
        <w:t>labral tear of the hip and shoulder</w:t>
      </w:r>
    </w:p>
    <w:p w14:paraId="1391DA86" w14:textId="77777777" w:rsidR="002474D6" w:rsidRPr="00237BAF" w:rsidRDefault="002474D6" w:rsidP="002474D6">
      <w:pPr>
        <w:pStyle w:val="LV2"/>
        <w:numPr>
          <w:ilvl w:val="1"/>
          <w:numId w:val="4"/>
        </w:numPr>
        <w:ind w:left="1418"/>
      </w:pPr>
      <w:bookmarkStart w:id="15" w:name="_Ref409598124"/>
      <w:bookmarkStart w:id="16" w:name="_Ref402529683"/>
      <w:r w:rsidRPr="00237BAF">
        <w:t>For the purposes of this Statement of Principles,</w:t>
      </w:r>
      <w:r w:rsidRPr="002F77A1">
        <w:t xml:space="preserve"> </w:t>
      </w:r>
      <w:r w:rsidRPr="00F2687B">
        <w:t>labral tear of the hip and shoulder</w:t>
      </w:r>
      <w:r w:rsidRPr="00237BAF">
        <w:t>:</w:t>
      </w:r>
      <w:bookmarkEnd w:id="15"/>
    </w:p>
    <w:bookmarkEnd w:id="16"/>
    <w:p w14:paraId="4377B39F" w14:textId="33D65B62" w:rsidR="00913398" w:rsidRDefault="00913398" w:rsidP="00913398">
      <w:pPr>
        <w:pStyle w:val="LV3"/>
        <w:numPr>
          <w:ilvl w:val="2"/>
          <w:numId w:val="4"/>
        </w:numPr>
        <w:ind w:left="1985"/>
      </w:pPr>
      <w:r>
        <w:t>means an injury involving tearing of the fibrocartilaginous rim of the hip or shoulder joint, in the presence of:</w:t>
      </w:r>
    </w:p>
    <w:p w14:paraId="6232A709" w14:textId="77777777" w:rsidR="00913398" w:rsidRDefault="00913398" w:rsidP="00913398">
      <w:pPr>
        <w:pStyle w:val="LV3"/>
        <w:numPr>
          <w:ilvl w:val="2"/>
          <w:numId w:val="4"/>
        </w:numPr>
        <w:ind w:left="1985"/>
      </w:pPr>
      <w:r>
        <w:t>relevant symptoms and corresponding clinical signs; and</w:t>
      </w:r>
    </w:p>
    <w:p w14:paraId="4C3F0106" w14:textId="77777777" w:rsidR="00913398" w:rsidRDefault="00913398" w:rsidP="00913398">
      <w:pPr>
        <w:pStyle w:val="LV3"/>
        <w:numPr>
          <w:ilvl w:val="2"/>
          <w:numId w:val="4"/>
        </w:numPr>
        <w:ind w:left="1985"/>
      </w:pPr>
      <w:r>
        <w:t>excludes degenerative tears of the labrum associated with osteoarthritis of the relevant joint, and acetabular labral tears associated with femoroacetabular impingement syndrome.</w:t>
      </w:r>
    </w:p>
    <w:p w14:paraId="28172D94" w14:textId="77777777" w:rsidR="00913398" w:rsidRDefault="00913398" w:rsidP="00913398">
      <w:pPr>
        <w:pStyle w:val="NOTE"/>
        <w:ind w:left="2025" w:hanging="607"/>
        <w:rPr>
          <w:lang w:val="en-US"/>
        </w:rPr>
      </w:pPr>
      <w:r w:rsidRPr="00A80BA9">
        <w:rPr>
          <w:lang w:val="en-US"/>
        </w:rPr>
        <w:t>Note 1: The</w:t>
      </w:r>
      <w:r>
        <w:rPr>
          <w:lang w:val="en-US"/>
        </w:rPr>
        <w:t xml:space="preserve"> most common</w:t>
      </w:r>
      <w:r w:rsidRPr="00A80BA9">
        <w:rPr>
          <w:lang w:val="en-US"/>
        </w:rPr>
        <w:t xml:space="preserve"> symptom of </w:t>
      </w:r>
      <w:r>
        <w:rPr>
          <w:lang w:val="en-US"/>
        </w:rPr>
        <w:t xml:space="preserve">acetabular (hip) labral tears is pain in the groin area which may also radiate to the outer thigh. In glenoid (shoulder) labral tears, pain mainly occurs in the anterior or superior part of the shoulder and may radiate down the arm. </w:t>
      </w:r>
      <w:r w:rsidRPr="00A80BA9">
        <w:rPr>
          <w:lang w:val="en-US"/>
        </w:rPr>
        <w:t>Other symptoms of acetabular and glenoid labral tears include instability, reduced joint mobility, clicking or locking.</w:t>
      </w:r>
    </w:p>
    <w:p w14:paraId="348F4735" w14:textId="77777777" w:rsidR="00913398" w:rsidRPr="00433F50" w:rsidRDefault="00913398" w:rsidP="00913398">
      <w:pPr>
        <w:pStyle w:val="NOTE"/>
        <w:ind w:left="2025" w:hanging="607"/>
        <w:rPr>
          <w:lang w:val="en-US"/>
        </w:rPr>
      </w:pPr>
      <w:r w:rsidRPr="00A80BA9">
        <w:rPr>
          <w:lang w:val="en-US"/>
        </w:rPr>
        <w:lastRenderedPageBreak/>
        <w:t xml:space="preserve">Note 2: Clinical signs include </w:t>
      </w:r>
      <w:r>
        <w:rPr>
          <w:lang w:val="en-US"/>
        </w:rPr>
        <w:t>hip and shoulder physical examination</w:t>
      </w:r>
      <w:r w:rsidRPr="00A80BA9">
        <w:rPr>
          <w:lang w:val="en-US"/>
        </w:rPr>
        <w:t xml:space="preserve"> tests that reproduce the patient's typical pain, a limited range of motion, gait abnormalities, and weakness or tenderness around the hip</w:t>
      </w:r>
      <w:r>
        <w:rPr>
          <w:lang w:val="en-US"/>
        </w:rPr>
        <w:t xml:space="preserve"> or shoulder</w:t>
      </w:r>
      <w:r w:rsidRPr="00A80BA9">
        <w:rPr>
          <w:lang w:val="en-US"/>
        </w:rPr>
        <w:t>.</w:t>
      </w:r>
    </w:p>
    <w:p w14:paraId="68377FAB" w14:textId="77777777" w:rsidR="00913398" w:rsidRDefault="00913398" w:rsidP="00913398">
      <w:pPr>
        <w:pStyle w:val="LV2"/>
        <w:numPr>
          <w:ilvl w:val="1"/>
          <w:numId w:val="4"/>
        </w:numPr>
        <w:ind w:left="1418"/>
      </w:pPr>
      <w:r w:rsidRPr="009F643B">
        <w:t xml:space="preserve">This Statement of Principles applies to labral tears of the hip and shoulder that have been diagnosed </w:t>
      </w:r>
      <w:proofErr w:type="gramStart"/>
      <w:r w:rsidRPr="009F643B">
        <w:t>on the basis of</w:t>
      </w:r>
      <w:proofErr w:type="gramEnd"/>
      <w:r w:rsidRPr="009F643B">
        <w:t>:</w:t>
      </w:r>
    </w:p>
    <w:p w14:paraId="3429B803" w14:textId="77777777" w:rsidR="00913398" w:rsidRDefault="00913398" w:rsidP="00913398">
      <w:pPr>
        <w:pStyle w:val="LV3"/>
        <w:numPr>
          <w:ilvl w:val="2"/>
          <w:numId w:val="4"/>
        </w:numPr>
        <w:ind w:left="1985"/>
      </w:pPr>
      <w:r>
        <w:t xml:space="preserve">relevant symptoms and corresponding clinical signs of labral tears of the hip and shoulder; and </w:t>
      </w:r>
    </w:p>
    <w:p w14:paraId="3F850C5A" w14:textId="77777777" w:rsidR="00913398" w:rsidRDefault="00913398" w:rsidP="00913398">
      <w:pPr>
        <w:pStyle w:val="LV3"/>
        <w:numPr>
          <w:ilvl w:val="2"/>
          <w:numId w:val="4"/>
        </w:numPr>
        <w:ind w:left="1985"/>
      </w:pPr>
      <w:r>
        <w:t>imaging findings that are consistent with labral tears occurring in the acetabulum or glenoid.</w:t>
      </w:r>
    </w:p>
    <w:p w14:paraId="6E37BA8D" w14:textId="77777777" w:rsidR="00913398" w:rsidRPr="009F643B" w:rsidRDefault="00913398" w:rsidP="00913398">
      <w:pPr>
        <w:pStyle w:val="NOTE"/>
        <w:ind w:left="2025" w:hanging="607"/>
      </w:pPr>
      <w:r w:rsidRPr="009F643B">
        <w:t>Note 1: It will usually be the case that the date of the imaging findings of abnormal morphology at the hip or shoulder joint is after the date of clinical onset.</w:t>
      </w:r>
    </w:p>
    <w:p w14:paraId="6AFC959A" w14:textId="77777777" w:rsidR="00913398" w:rsidRDefault="00913398" w:rsidP="006C58FF">
      <w:pPr>
        <w:pStyle w:val="Note2"/>
      </w:pPr>
      <w:r w:rsidRPr="009F643B">
        <w:t xml:space="preserve">Note 2: </w:t>
      </w:r>
      <w:r w:rsidRPr="000B1F0E">
        <w:rPr>
          <w:b/>
          <w:bCs/>
          <w:i/>
          <w:iCs/>
        </w:rPr>
        <w:t>clinical onset</w:t>
      </w:r>
      <w:r w:rsidRPr="009F643B">
        <w:t xml:space="preserve"> is defined in the schedule 1 – Dictionary.</w:t>
      </w:r>
    </w:p>
    <w:p w14:paraId="46121CDE" w14:textId="098E1B54" w:rsidR="008F572A" w:rsidRPr="00FA33FB" w:rsidRDefault="00237BAF" w:rsidP="0083517B">
      <w:pPr>
        <w:pStyle w:val="LVtext"/>
      </w:pPr>
      <w:r w:rsidRPr="003A5C26">
        <w:t>Death from</w:t>
      </w:r>
      <w:r w:rsidR="008F572A" w:rsidRPr="00237BAF">
        <w:t xml:space="preserve"> </w:t>
      </w:r>
      <w:r w:rsidR="0037191C">
        <w:rPr>
          <w:b/>
        </w:rPr>
        <w:t>labral tear of the hip and shoulder</w:t>
      </w:r>
    </w:p>
    <w:p w14:paraId="3FEA5A86" w14:textId="406D28E7" w:rsidR="008F572A" w:rsidRPr="00237BAF" w:rsidRDefault="008F572A" w:rsidP="00DF65CF">
      <w:pPr>
        <w:pStyle w:val="LV2"/>
      </w:pPr>
      <w:r w:rsidRPr="00237BAF">
        <w:t xml:space="preserve">For the purposes of this Statement of </w:t>
      </w:r>
      <w:r w:rsidR="00D5620B">
        <w:t xml:space="preserve">Principles, </w:t>
      </w:r>
      <w:r w:rsidR="0037191C">
        <w:t>labral tear of the hip and shoulder</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8721B5">
        <w:t>'</w:t>
      </w:r>
      <w:r w:rsidRPr="00D5620B">
        <w:t>s</w:t>
      </w:r>
      <w:r w:rsidR="002F77A1">
        <w:t xml:space="preserve"> </w:t>
      </w:r>
      <w:r w:rsidR="0037191C">
        <w:t>labral tear of the hip and shoulder</w:t>
      </w:r>
      <w:r w:rsidRPr="00D5620B">
        <w:t>.</w:t>
      </w:r>
    </w:p>
    <w:p w14:paraId="1C9F9369" w14:textId="77777777" w:rsidR="007C7DEE" w:rsidRPr="00046E67" w:rsidRDefault="00046E67" w:rsidP="00DF65CF">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7E43F0">
        <w:t>–</w:t>
      </w:r>
      <w:r w:rsidR="00D32F71">
        <w:t xml:space="preserve"> </w:t>
      </w:r>
      <w:r w:rsidR="00885EAB" w:rsidRPr="00046E67">
        <w:t>Dictionary</w:t>
      </w:r>
      <w:r w:rsidR="007E43F0">
        <w:t>.</w:t>
      </w:r>
    </w:p>
    <w:p w14:paraId="30E6D69F" w14:textId="77777777" w:rsidR="007C7DEE" w:rsidRPr="00A20CA1" w:rsidRDefault="007C7DEE" w:rsidP="00181048">
      <w:pPr>
        <w:pStyle w:val="LV1"/>
        <w:keepNext/>
      </w:pPr>
      <w:bookmarkStart w:id="17" w:name="_Toc522787307"/>
      <w:r w:rsidRPr="00A20CA1">
        <w:t>Basis for determining the factors</w:t>
      </w:r>
      <w:bookmarkEnd w:id="17"/>
    </w:p>
    <w:p w14:paraId="22C46370" w14:textId="0EF6E80E" w:rsidR="007C7DEE" w:rsidRPr="00237BAF" w:rsidRDefault="007C7DEE" w:rsidP="00DF65CF">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37191C">
        <w:t>labral tear of the hip and shoulder</w:t>
      </w:r>
      <w:r w:rsidR="007A3989">
        <w:t xml:space="preserve"> </w:t>
      </w:r>
      <w:r w:rsidRPr="00D5620B">
        <w:t>and death from</w:t>
      </w:r>
      <w:r w:rsidR="007A3989">
        <w:t xml:space="preserve"> </w:t>
      </w:r>
      <w:r w:rsidR="0037191C">
        <w:t>labral tear of the hip and shoulder</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14:paraId="632772B6" w14:textId="77777777" w:rsidR="00DF65CF" w:rsidRPr="00046E67" w:rsidRDefault="00DF65CF" w:rsidP="006C58FF">
      <w:pPr>
        <w:pStyle w:val="Note2"/>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7B68A4B4" w14:textId="77777777" w:rsidR="007C7DEE" w:rsidRPr="00301C54" w:rsidRDefault="007C7DEE" w:rsidP="00C96667">
      <w:pPr>
        <w:pStyle w:val="LV1"/>
      </w:pPr>
      <w:bookmarkStart w:id="18" w:name="_Ref411946955"/>
      <w:bookmarkStart w:id="19" w:name="_Ref411946997"/>
      <w:bookmarkStart w:id="20" w:name="_Ref412032503"/>
      <w:bookmarkStart w:id="21" w:name="_Toc522787308"/>
      <w:r w:rsidRPr="00301C54">
        <w:t xml:space="preserve">Factors that must </w:t>
      </w:r>
      <w:r w:rsidR="00D32F71">
        <w:t>exist</w:t>
      </w:r>
      <w:bookmarkEnd w:id="18"/>
      <w:bookmarkEnd w:id="19"/>
      <w:bookmarkEnd w:id="20"/>
      <w:bookmarkEnd w:id="21"/>
    </w:p>
    <w:p w14:paraId="78837F81" w14:textId="3EA0BC23" w:rsidR="007C7DEE" w:rsidRPr="00AA6D8B" w:rsidRDefault="002716E4" w:rsidP="00DF65CF">
      <w:pPr>
        <w:pStyle w:val="PlainIndent"/>
      </w:pPr>
      <w:bookmarkStart w:id="22"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37191C">
        <w:t>labral tear of the hip and shoulder</w:t>
      </w:r>
      <w:r w:rsidR="007A3989">
        <w:t xml:space="preserve"> </w:t>
      </w:r>
      <w:r w:rsidR="007C7DEE" w:rsidRPr="00AA6D8B">
        <w:t xml:space="preserve">or death from </w:t>
      </w:r>
      <w:r w:rsidR="0037191C">
        <w:t>labral tear of the hip and shoulder</w:t>
      </w:r>
      <w:r w:rsidR="007A3989">
        <w:t xml:space="preserve"> </w:t>
      </w:r>
      <w:proofErr w:type="gramStart"/>
      <w:r w:rsidR="007C7DEE" w:rsidRPr="00AA6D8B">
        <w:t>is connected with</w:t>
      </w:r>
      <w:proofErr w:type="gramEnd"/>
      <w:r w:rsidR="007C7DEE" w:rsidRPr="00AA6D8B">
        <w:t xml:space="preserve"> the circumstances of a pers</w:t>
      </w:r>
      <w:r w:rsidR="002A1ECC" w:rsidRPr="00AA6D8B">
        <w:t>on</w:t>
      </w:r>
      <w:r w:rsidR="008721B5">
        <w:t>'</w:t>
      </w:r>
      <w:r w:rsidR="002A1ECC" w:rsidRPr="00AA6D8B">
        <w:t>s relevant service</w:t>
      </w:r>
      <w:r w:rsidR="007C7DEE" w:rsidRPr="00AA6D8B">
        <w:t>:</w:t>
      </w:r>
      <w:bookmarkEnd w:id="22"/>
    </w:p>
    <w:p w14:paraId="1BBE9773" w14:textId="77777777" w:rsidR="002474D6" w:rsidRDefault="002474D6" w:rsidP="002474D6">
      <w:pPr>
        <w:pStyle w:val="LV2"/>
      </w:pPr>
      <w:bookmarkStart w:id="23" w:name="_Ref402530260"/>
      <w:bookmarkStart w:id="24" w:name="_Ref409598844"/>
      <w:r>
        <w:t xml:space="preserve">having a significant physical force applied to or through the affected shoulder joint or the affected hip joint at the time of clinical </w:t>
      </w:r>
      <w:proofErr w:type="gramStart"/>
      <w:r>
        <w:t>onset;</w:t>
      </w:r>
      <w:proofErr w:type="gramEnd"/>
    </w:p>
    <w:p w14:paraId="79C4D929" w14:textId="77777777" w:rsidR="002474D6" w:rsidRDefault="002474D6" w:rsidP="002474D6">
      <w:pPr>
        <w:pStyle w:val="NOTE"/>
        <w:ind w:left="1872"/>
      </w:pPr>
      <w:r>
        <w:t xml:space="preserve">Note: Examples of activities or significant physical forces may include sporting activities, motor vehicle accidents and falls. </w:t>
      </w:r>
    </w:p>
    <w:p w14:paraId="0FCBF78D" w14:textId="77777777" w:rsidR="002474D6" w:rsidRDefault="002474D6" w:rsidP="002474D6">
      <w:pPr>
        <w:pStyle w:val="LV2"/>
      </w:pPr>
      <w:r w:rsidRPr="00927EF5">
        <w:t xml:space="preserve">performing forceful and repetitive motions of the affected shoulder joint or the affected hip joint, involving extremes of the normal range of motion, for at least 4 hours per week for the 1 month immediately preceding clinical </w:t>
      </w:r>
      <w:proofErr w:type="gramStart"/>
      <w:r w:rsidRPr="00927EF5">
        <w:t>onset;</w:t>
      </w:r>
      <w:proofErr w:type="gramEnd"/>
    </w:p>
    <w:p w14:paraId="1EE4A73A" w14:textId="77777777" w:rsidR="002474D6" w:rsidRDefault="002474D6" w:rsidP="006C58FF">
      <w:pPr>
        <w:pStyle w:val="NOTE"/>
        <w:keepLines/>
        <w:ind w:left="1985" w:hanging="567"/>
      </w:pPr>
      <w:r>
        <w:lastRenderedPageBreak/>
        <w:t>Note 1: Examples of activities involving forceful and repetitive motions of the shoulder at extremes of the normal range of motion may include swimming, basketball, football, line or rope handling, rope ladder climbing, loading ammunition, physical employment standards training and participating in obstacle courses, infantry minor tactics courses and high rope courses.</w:t>
      </w:r>
      <w:r>
        <w:tab/>
      </w:r>
    </w:p>
    <w:p w14:paraId="44F02F17" w14:textId="77777777" w:rsidR="002474D6" w:rsidRDefault="002474D6" w:rsidP="006C58FF">
      <w:pPr>
        <w:pStyle w:val="NOTE"/>
        <w:keepLines/>
        <w:ind w:left="1985" w:hanging="567"/>
      </w:pPr>
      <w:r>
        <w:t>Note 2: Examples of activities involving forceful and repetitive motions of the hip at extremes of the normal range of motion may include golf, hockey, rowing, running, physical employment standards training and participating in obstacle courses and infantry minor tactics courses.</w:t>
      </w:r>
    </w:p>
    <w:p w14:paraId="4D4B6916" w14:textId="77777777" w:rsidR="002474D6" w:rsidRPr="00046E67" w:rsidRDefault="002474D6" w:rsidP="002474D6">
      <w:pPr>
        <w:pStyle w:val="LV2"/>
      </w:pPr>
      <w:r w:rsidRPr="00927EF5">
        <w:t xml:space="preserve">being in the third trimester of pregnancy within the 1 week before clinical onset of labral tear of the hip </w:t>
      </w:r>
      <w:proofErr w:type="gramStart"/>
      <w:r w:rsidRPr="00927EF5">
        <w:t>joint;</w:t>
      </w:r>
      <w:proofErr w:type="gramEnd"/>
    </w:p>
    <w:p w14:paraId="610B41C3" w14:textId="77777777" w:rsidR="002474D6" w:rsidRPr="008D1B8B" w:rsidRDefault="002474D6" w:rsidP="002474D6">
      <w:pPr>
        <w:pStyle w:val="LV2"/>
      </w:pPr>
      <w:r w:rsidRPr="008D1B8B">
        <w:t>inability to obtain appropriate clinical management for</w:t>
      </w:r>
      <w:r>
        <w:t xml:space="preserve"> </w:t>
      </w:r>
      <w:r w:rsidRPr="0003433F">
        <w:t>labral tear of the hip and shoulder</w:t>
      </w:r>
      <w:r>
        <w:t xml:space="preserve"> before clinical worsening</w:t>
      </w:r>
      <w:r w:rsidRPr="008D1B8B">
        <w:t>.</w:t>
      </w:r>
    </w:p>
    <w:p w14:paraId="3F45AFE2" w14:textId="77777777" w:rsidR="000C21A3" w:rsidRPr="00684C0E" w:rsidRDefault="00D32F71" w:rsidP="00C96667">
      <w:pPr>
        <w:pStyle w:val="LV1"/>
      </w:pPr>
      <w:bookmarkStart w:id="25" w:name="_Toc522787309"/>
      <w:bookmarkStart w:id="26" w:name="_Ref402530057"/>
      <w:bookmarkEnd w:id="23"/>
      <w:bookmarkEnd w:id="24"/>
      <w:r>
        <w:t>Relationship to s</w:t>
      </w:r>
      <w:r w:rsidR="000C21A3" w:rsidRPr="00684C0E">
        <w:t>ervice</w:t>
      </w:r>
      <w:bookmarkEnd w:id="25"/>
    </w:p>
    <w:p w14:paraId="6F795953" w14:textId="77777777" w:rsidR="00F03C06" w:rsidRPr="00187DE1" w:rsidRDefault="00F03C06" w:rsidP="00DF65CF">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26"/>
    <w:p w14:paraId="1D64B865" w14:textId="6BB6CCE1" w:rsidR="00CF2367" w:rsidRPr="00187DE1" w:rsidRDefault="0037191C" w:rsidP="00DF65CF">
      <w:pPr>
        <w:pStyle w:val="LV2"/>
      </w:pPr>
      <w:r w:rsidRPr="00187DE1">
        <w:t xml:space="preserve">The </w:t>
      </w:r>
      <w:r>
        <w:t xml:space="preserve">clinical worsening aspect of </w:t>
      </w:r>
      <w:r w:rsidRPr="00187DE1">
        <w:t>factor</w:t>
      </w:r>
      <w:r>
        <w:t>s</w:t>
      </w:r>
      <w:r w:rsidRPr="00187DE1">
        <w:t xml:space="preserve"> set out in </w:t>
      </w:r>
      <w:r>
        <w:t xml:space="preserve">section 9 </w:t>
      </w:r>
      <w:r w:rsidRPr="00187DE1">
        <w:t>appl</w:t>
      </w:r>
      <w:r>
        <w:t>y</w:t>
      </w:r>
      <w:r w:rsidRPr="00187DE1">
        <w:t xml:space="preserve"> only to material contribution to</w:t>
      </w:r>
      <w:r w:rsidR="00F03C06" w:rsidRPr="00187DE1">
        <w:t xml:space="preserve">, </w:t>
      </w:r>
      <w:r>
        <w:t>labral tear of the hip and shoulder</w:t>
      </w:r>
      <w:r w:rsidR="007A3989">
        <w:t xml:space="preserve"> </w:t>
      </w:r>
      <w:r w:rsidR="00F03C06" w:rsidRPr="00187DE1">
        <w:t>where the person</w:t>
      </w:r>
      <w:r w:rsidR="008721B5">
        <w:t>'</w:t>
      </w:r>
      <w:r w:rsidR="00F03C06" w:rsidRPr="00187DE1">
        <w:t xml:space="preserve">s </w:t>
      </w:r>
      <w:r>
        <w:t>labral tear of the hip and shoulder</w:t>
      </w:r>
      <w:r w:rsidR="007A3989">
        <w:t xml:space="preserve"> </w:t>
      </w:r>
      <w:r w:rsidR="00F03C06" w:rsidRPr="00187DE1">
        <w:t>was suffered or contracted before or during (but did not arise out of) the person</w:t>
      </w:r>
      <w:r w:rsidR="008721B5">
        <w:t>'</w:t>
      </w:r>
      <w:r w:rsidR="00F03C06" w:rsidRPr="00187DE1">
        <w:t xml:space="preserve">s relevant service. </w:t>
      </w:r>
    </w:p>
    <w:p w14:paraId="3C02BC41" w14:textId="77777777" w:rsidR="00774897" w:rsidRPr="00301C54" w:rsidRDefault="00774897" w:rsidP="00C96667">
      <w:pPr>
        <w:pStyle w:val="LV1"/>
      </w:pPr>
      <w:bookmarkStart w:id="27" w:name="_Toc522787310"/>
      <w:r w:rsidRPr="00301C54">
        <w:t>Factors referring to an injury or disea</w:t>
      </w:r>
      <w:r w:rsidR="008B2204">
        <w:t>se covered by another Statement</w:t>
      </w:r>
      <w:r w:rsidRPr="00301C54">
        <w:t xml:space="preserve"> of Principles</w:t>
      </w:r>
      <w:bookmarkEnd w:id="27"/>
    </w:p>
    <w:p w14:paraId="4FFCE0FB" w14:textId="77777777" w:rsidR="00F03C06" w:rsidRPr="00E64EE4" w:rsidRDefault="00F03C06" w:rsidP="00DF65CF">
      <w:pPr>
        <w:pStyle w:val="PlainIndent"/>
      </w:pPr>
      <w:r w:rsidRPr="00E64EE4">
        <w:t>In this Statement of Principles:</w:t>
      </w:r>
    </w:p>
    <w:p w14:paraId="334FCF15" w14:textId="77777777" w:rsidR="00F03C06" w:rsidRPr="00E64EE4" w:rsidRDefault="00F03C06" w:rsidP="00DF65CF">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14:paraId="17C82090" w14:textId="77777777" w:rsidR="00733269" w:rsidRPr="00E64EE4" w:rsidRDefault="00F03C06" w:rsidP="00DF65CF">
      <w:pPr>
        <w:pStyle w:val="LV2"/>
      </w:pPr>
      <w:r w:rsidRPr="00E64EE4">
        <w:t xml:space="preserve">that factor </w:t>
      </w:r>
      <w:r w:rsidR="001648F7">
        <w:t xml:space="preserve">refers to an injury or disease </w:t>
      </w:r>
      <w:r w:rsidRPr="00E64EE4">
        <w:t>in respect of which a Statement of Principles has been determined under subsection 196</w:t>
      </w:r>
      <w:proofErr w:type="gramStart"/>
      <w:r w:rsidRPr="00E64EE4">
        <w:t>B(</w:t>
      </w:r>
      <w:proofErr w:type="gramEnd"/>
      <w:r w:rsidRPr="00E64EE4">
        <w:t xml:space="preserve">3) of the </w:t>
      </w:r>
      <w:proofErr w:type="gramStart"/>
      <w:r w:rsidRPr="00E64EE4">
        <w:t>VEA</w:t>
      </w:r>
      <w:r w:rsidR="00B24368" w:rsidRPr="00E64EE4">
        <w:t>;</w:t>
      </w:r>
      <w:proofErr w:type="gramEnd"/>
    </w:p>
    <w:p w14:paraId="7395F62C" w14:textId="77777777" w:rsidR="00F03C06" w:rsidRDefault="00733269" w:rsidP="00DF65CF">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5B11E939" w14:textId="77777777" w:rsidR="00782F4E" w:rsidRPr="00E64EE4" w:rsidRDefault="00782F4E" w:rsidP="00DF65CF">
      <w:pPr>
        <w:pStyle w:val="PlainIndent"/>
      </w:pPr>
    </w:p>
    <w:p w14:paraId="592D17A2" w14:textId="77777777" w:rsidR="00081B7C" w:rsidRPr="00FA33FB" w:rsidRDefault="00081B7C" w:rsidP="00DF65CF">
      <w:pPr>
        <w:pStyle w:val="PlainIndent"/>
        <w:sectPr w:rsidR="00081B7C" w:rsidRPr="00FA33FB" w:rsidSect="005F50EF">
          <w:footerReference w:type="default" r:id="rId9"/>
          <w:headerReference w:type="first" r:id="rId10"/>
          <w:footerReference w:type="first" r:id="rId11"/>
          <w:pgSz w:w="11907" w:h="16839" w:code="9"/>
          <w:pgMar w:top="1843" w:right="1797" w:bottom="1440" w:left="1797" w:header="720" w:footer="709" w:gutter="0"/>
          <w:pgNumType w:start="1"/>
          <w:cols w:space="708"/>
          <w:docGrid w:linePitch="360"/>
        </w:sectPr>
      </w:pPr>
    </w:p>
    <w:p w14:paraId="31F07938" w14:textId="77777777" w:rsidR="00F03C06" w:rsidRDefault="00F03C06" w:rsidP="00DF65CF">
      <w:pPr>
        <w:pStyle w:val="PlainIndent"/>
      </w:pPr>
    </w:p>
    <w:p w14:paraId="71672B3D" w14:textId="77777777" w:rsidR="00CF2367" w:rsidRPr="00FA33FB" w:rsidRDefault="00CF2367" w:rsidP="002A3436">
      <w:pPr>
        <w:pStyle w:val="SHHeader"/>
      </w:pPr>
      <w:bookmarkStart w:id="28" w:name="opcAmSched"/>
      <w:bookmarkStart w:id="29" w:name="opcCurrentFind"/>
      <w:bookmarkStart w:id="30" w:name="_Toc522787311"/>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28"/>
      <w:bookmarkEnd w:id="29"/>
      <w:bookmarkEnd w:id="30"/>
      <w:r w:rsidRPr="00FA33FB">
        <w:rPr>
          <w:rStyle w:val="CharAmPartNo"/>
        </w:rPr>
        <w:t xml:space="preserve"> </w:t>
      </w:r>
      <w:r w:rsidRPr="00FA33FB">
        <w:rPr>
          <w:rStyle w:val="CharAmPartText"/>
        </w:rPr>
        <w:t xml:space="preserve"> </w:t>
      </w:r>
    </w:p>
    <w:p w14:paraId="1DF2B175" w14:textId="4C191FA1" w:rsidR="00702C42" w:rsidRPr="003F39C0" w:rsidRDefault="00702C42" w:rsidP="003F39C0">
      <w:pPr>
        <w:pStyle w:val="NOTEScheduleonly"/>
      </w:pPr>
      <w:r w:rsidRPr="003F39C0">
        <w:t>Note:</w:t>
      </w:r>
      <w:r w:rsidR="006F2D64">
        <w:t xml:space="preserve"> </w:t>
      </w:r>
      <w:r w:rsidRPr="003F39C0">
        <w:t>See</w:t>
      </w:r>
      <w:r w:rsidR="00101F89" w:rsidRPr="003F39C0">
        <w:t xml:space="preserve"> Section</w:t>
      </w:r>
      <w:r w:rsidR="009056AF">
        <w:t xml:space="preserve"> </w:t>
      </w:r>
      <w:r w:rsidR="007959B9">
        <w:t>6</w:t>
      </w:r>
    </w:p>
    <w:p w14:paraId="028E975F" w14:textId="77777777" w:rsidR="00BD3334" w:rsidRDefault="00702C42" w:rsidP="00516768">
      <w:pPr>
        <w:pStyle w:val="SH1"/>
      </w:pPr>
      <w:bookmarkStart w:id="31" w:name="_Toc405472918"/>
      <w:bookmarkStart w:id="32" w:name="_Toc522787312"/>
      <w:r w:rsidRPr="00D97BB3">
        <w:t>Definitions</w:t>
      </w:r>
      <w:bookmarkEnd w:id="31"/>
      <w:bookmarkEnd w:id="32"/>
    </w:p>
    <w:p w14:paraId="3351BE07" w14:textId="77777777" w:rsidR="00702C42" w:rsidRPr="00516768" w:rsidRDefault="00702C42" w:rsidP="00DF65CF">
      <w:pPr>
        <w:pStyle w:val="SH2"/>
      </w:pPr>
      <w:r w:rsidRPr="00516768">
        <w:t>In this instrument:</w:t>
      </w:r>
    </w:p>
    <w:p w14:paraId="4A90EE3A" w14:textId="77777777" w:rsidR="002474D6" w:rsidRDefault="002474D6" w:rsidP="002474D6">
      <w:pPr>
        <w:pStyle w:val="SH3"/>
        <w:ind w:left="851"/>
      </w:pPr>
      <w:bookmarkStart w:id="33" w:name="_Ref402530810"/>
      <w:r w:rsidRPr="000A3AE7">
        <w:rPr>
          <w:b/>
          <w:i/>
        </w:rPr>
        <w:t>clinical onset</w:t>
      </w:r>
      <w:r w:rsidRPr="000A3AE7">
        <w:t xml:space="preserve"> means the point backwards in time from the first date of imaging findings of abnormal morphology at the hip or shoulder joint, to the date at which the symptoms of a labral tear were persistently present, as assessed by a registered medical practitioner.</w:t>
      </w:r>
    </w:p>
    <w:p w14:paraId="35101058" w14:textId="5EDEBC30" w:rsidR="002474D6" w:rsidRPr="00513D05" w:rsidRDefault="002474D6" w:rsidP="002474D6">
      <w:pPr>
        <w:pStyle w:val="SH3"/>
        <w:ind w:left="851"/>
      </w:pPr>
      <w:r w:rsidRPr="00CD7278">
        <w:rPr>
          <w:b/>
          <w:bCs/>
          <w:i/>
          <w:iCs/>
        </w:rPr>
        <w:t>labral tear of the hip and shoulder</w:t>
      </w:r>
      <w:r w:rsidRPr="00513D05">
        <w:t>—see subsection</w:t>
      </w:r>
      <w:r>
        <w:t xml:space="preserve"> 7(2).</w:t>
      </w:r>
    </w:p>
    <w:p w14:paraId="61F3D3F5" w14:textId="3D2944E0" w:rsidR="00885EAB" w:rsidRPr="009C404D" w:rsidRDefault="00885EAB" w:rsidP="00984EE9">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bookmarkEnd w:id="33"/>
    <w:p w14:paraId="62173E6F" w14:textId="77777777" w:rsidR="00885EAB" w:rsidRPr="009C404D" w:rsidRDefault="00054930" w:rsidP="00984EE9">
      <w:pPr>
        <w:pStyle w:val="SH3"/>
        <w:ind w:left="851" w:hanging="851"/>
      </w:pPr>
      <w:r>
        <w:rPr>
          <w:b/>
          <w:i/>
        </w:rPr>
        <w:t>r</w:t>
      </w:r>
      <w:r w:rsidR="00885EAB" w:rsidRPr="00973808">
        <w:rPr>
          <w:b/>
          <w:i/>
        </w:rPr>
        <w:t>elevant service</w:t>
      </w:r>
      <w:r w:rsidR="00885EAB" w:rsidRPr="009C404D">
        <w:t xml:space="preserve"> means:</w:t>
      </w:r>
    </w:p>
    <w:p w14:paraId="30C31FC3" w14:textId="77777777" w:rsidR="00885EAB" w:rsidRPr="00365E25" w:rsidRDefault="00C77046" w:rsidP="00984EE9">
      <w:pPr>
        <w:pStyle w:val="SH4"/>
        <w:ind w:left="1418"/>
      </w:pPr>
      <w:bookmarkStart w:id="34" w:name="_Ref402529607"/>
      <w:r>
        <w:t xml:space="preserve">eligible war service (other than operational </w:t>
      </w:r>
      <w:r w:rsidR="00885EAB" w:rsidRPr="00365E25">
        <w:t>service</w:t>
      </w:r>
      <w:r>
        <w:t xml:space="preserve">) under the </w:t>
      </w:r>
      <w:proofErr w:type="gramStart"/>
      <w:r>
        <w:t>VEA;</w:t>
      </w:r>
      <w:proofErr w:type="gramEnd"/>
    </w:p>
    <w:p w14:paraId="48A643D9" w14:textId="77777777"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14:paraId="2D85A4AA" w14:textId="77777777" w:rsidR="00885EAB" w:rsidRPr="00513D05" w:rsidRDefault="00C77046" w:rsidP="00984EE9">
      <w:pPr>
        <w:pStyle w:val="SH4"/>
        <w:ind w:left="1418"/>
      </w:pPr>
      <w:r>
        <w:t>peacetime service under the MRCA.</w:t>
      </w:r>
    </w:p>
    <w:p w14:paraId="7B0AD683" w14:textId="77777777" w:rsidR="00F52BA4" w:rsidRPr="00F52BA4" w:rsidRDefault="00F52BA4" w:rsidP="009877AB">
      <w:pPr>
        <w:pStyle w:val="ScheduleNote"/>
      </w:pPr>
      <w:r w:rsidRPr="00F52BA4">
        <w:t xml:space="preserve">Note: </w:t>
      </w:r>
      <w:r w:rsidRPr="00F52BA4">
        <w:rPr>
          <w:b/>
          <w:i/>
        </w:rPr>
        <w:t>MRCA</w:t>
      </w:r>
      <w:r w:rsidRPr="00F52BA4">
        <w:t xml:space="preserve"> and </w:t>
      </w:r>
      <w:r w:rsidRPr="00F52BA4">
        <w:rPr>
          <w:b/>
          <w:i/>
        </w:rPr>
        <w:t>VEA</w:t>
      </w:r>
      <w:r w:rsidRPr="00F52BA4">
        <w:t xml:space="preserve"> are also defined in the Schedule 1 - Dictionary.</w:t>
      </w:r>
    </w:p>
    <w:p w14:paraId="0FD10A16" w14:textId="77777777"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4"/>
      <w:r w:rsidR="00513D05" w:rsidRPr="009C404D">
        <w:t xml:space="preserve"> </w:t>
      </w:r>
      <w:r w:rsidR="00885EAB" w:rsidRPr="009C404D">
        <w:t>the following:</w:t>
      </w:r>
    </w:p>
    <w:p w14:paraId="617C9B19" w14:textId="21E65F5F" w:rsidR="00885EAB" w:rsidRPr="00513D05" w:rsidRDefault="00885EAB" w:rsidP="00984EE9">
      <w:pPr>
        <w:pStyle w:val="SH4"/>
        <w:ind w:left="1418"/>
      </w:pPr>
      <w:proofErr w:type="gramStart"/>
      <w:r w:rsidRPr="00513D05">
        <w:t>pneumonia;</w:t>
      </w:r>
      <w:proofErr w:type="gramEnd"/>
    </w:p>
    <w:p w14:paraId="0456F543" w14:textId="1DE58280" w:rsidR="00885EAB" w:rsidRPr="00513D05" w:rsidRDefault="00885EAB" w:rsidP="00984EE9">
      <w:pPr>
        <w:pStyle w:val="SH4"/>
        <w:ind w:left="1418"/>
      </w:pPr>
      <w:r w:rsidRPr="00513D05">
        <w:t xml:space="preserve">respiratory </w:t>
      </w:r>
      <w:proofErr w:type="gramStart"/>
      <w:r w:rsidRPr="00513D05">
        <w:t>failure;</w:t>
      </w:r>
      <w:proofErr w:type="gramEnd"/>
    </w:p>
    <w:p w14:paraId="170BC364" w14:textId="08CC2AD1" w:rsidR="00885EAB" w:rsidRPr="00513D05" w:rsidRDefault="00885EAB" w:rsidP="00984EE9">
      <w:pPr>
        <w:pStyle w:val="SH4"/>
        <w:ind w:left="1418"/>
      </w:pPr>
      <w:r w:rsidRPr="00513D05">
        <w:t xml:space="preserve">cardiac </w:t>
      </w:r>
      <w:proofErr w:type="gramStart"/>
      <w:r w:rsidRPr="00513D05">
        <w:t>arrest;</w:t>
      </w:r>
      <w:proofErr w:type="gramEnd"/>
    </w:p>
    <w:p w14:paraId="395381B6" w14:textId="1B933DE3" w:rsidR="00885EAB" w:rsidRPr="00513D05" w:rsidRDefault="00885EAB" w:rsidP="00984EE9">
      <w:pPr>
        <w:pStyle w:val="SH4"/>
        <w:ind w:left="1418"/>
      </w:pPr>
      <w:r w:rsidRPr="00513D05">
        <w:t>circulatory failure;</w:t>
      </w:r>
      <w:r w:rsidR="002376A0">
        <w:t xml:space="preserve"> or</w:t>
      </w:r>
    </w:p>
    <w:p w14:paraId="53A3E74D" w14:textId="7AB9FC83" w:rsidR="00BD3334" w:rsidRPr="00BD3334" w:rsidRDefault="00885EAB" w:rsidP="00984EE9">
      <w:pPr>
        <w:pStyle w:val="SH4"/>
        <w:ind w:left="1418"/>
      </w:pPr>
      <w:r w:rsidRPr="00513D05">
        <w:t>cessation of brain function.</w:t>
      </w:r>
    </w:p>
    <w:p w14:paraId="51ED5A0D" w14:textId="77777777"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4E59D1">
        <w:rPr>
          <w:i/>
        </w:rPr>
        <w:t>'</w:t>
      </w:r>
      <w:r w:rsidRPr="0019084F">
        <w:rPr>
          <w:i/>
        </w:rPr>
        <w:t xml:space="preserve"> Entitlements Act 1986</w:t>
      </w:r>
      <w:r w:rsidRPr="0019084F">
        <w:t>.</w:t>
      </w:r>
    </w:p>
    <w:p w14:paraId="19A47FD7" w14:textId="77777777" w:rsidR="00CF2367" w:rsidRPr="00FA33FB" w:rsidRDefault="00CF2367" w:rsidP="00CF2367"/>
    <w:p w14:paraId="56C909C9" w14:textId="77777777" w:rsidR="00CF2367" w:rsidRPr="00FA33FB" w:rsidRDefault="00CF2367" w:rsidP="00CF2367">
      <w:pPr>
        <w:sectPr w:rsidR="00CF2367" w:rsidRPr="00FA33FB" w:rsidSect="00FA33FB">
          <w:headerReference w:type="even" r:id="rId12"/>
          <w:headerReference w:type="default" r:id="rId13"/>
          <w:headerReference w:type="first" r:id="rId14"/>
          <w:footerReference w:type="first" r:id="rId15"/>
          <w:pgSz w:w="11907" w:h="16839" w:code="9"/>
          <w:pgMar w:top="1440" w:right="1797" w:bottom="1440" w:left="1797" w:header="720" w:footer="709" w:gutter="0"/>
          <w:cols w:space="720"/>
          <w:docGrid w:linePitch="299"/>
        </w:sectPr>
      </w:pPr>
    </w:p>
    <w:p w14:paraId="79894413" w14:textId="77777777" w:rsidR="00CF2367" w:rsidRDefault="00CF2367" w:rsidP="003F4535">
      <w:pPr>
        <w:rPr>
          <w:b/>
          <w:i/>
        </w:rPr>
      </w:pPr>
    </w:p>
    <w:sectPr w:rsidR="00CF2367"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86118" w14:textId="77777777" w:rsidR="008C7465" w:rsidRDefault="008C7465" w:rsidP="00715914">
      <w:pPr>
        <w:spacing w:line="240" w:lineRule="auto"/>
      </w:pPr>
      <w:r>
        <w:separator/>
      </w:r>
    </w:p>
  </w:endnote>
  <w:endnote w:type="continuationSeparator" w:id="0">
    <w:p w14:paraId="3219A1C5"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650B"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3E7D7C65" w14:textId="77777777" w:rsidTr="00CC061E">
      <w:tc>
        <w:tcPr>
          <w:tcW w:w="709" w:type="dxa"/>
          <w:tcBorders>
            <w:top w:val="nil"/>
            <w:left w:val="nil"/>
            <w:bottom w:val="nil"/>
            <w:right w:val="nil"/>
          </w:tcBorders>
        </w:tcPr>
        <w:p w14:paraId="47012166" w14:textId="77777777" w:rsidR="00681215" w:rsidRPr="00C01863" w:rsidRDefault="00681215" w:rsidP="00681215">
          <w:pPr>
            <w:spacing w:line="0" w:lineRule="atLeast"/>
            <w:rPr>
              <w:sz w:val="18"/>
            </w:rPr>
          </w:pPr>
        </w:p>
      </w:tc>
      <w:tc>
        <w:tcPr>
          <w:tcW w:w="7088" w:type="dxa"/>
          <w:tcBorders>
            <w:top w:val="nil"/>
            <w:left w:val="nil"/>
            <w:bottom w:val="nil"/>
            <w:right w:val="nil"/>
          </w:tcBorders>
        </w:tcPr>
        <w:p w14:paraId="116B2E0F" w14:textId="77777777" w:rsidR="00681215" w:rsidRDefault="00681215" w:rsidP="00681215">
          <w:pPr>
            <w:spacing w:line="0" w:lineRule="atLeast"/>
            <w:jc w:val="center"/>
            <w:rPr>
              <w:i/>
              <w:sz w:val="18"/>
            </w:rPr>
          </w:pPr>
          <w:r w:rsidRPr="007C5CE0">
            <w:rPr>
              <w:i/>
              <w:sz w:val="18"/>
            </w:rPr>
            <w:t>Statement of Principles concerning</w:t>
          </w:r>
        </w:p>
        <w:p w14:paraId="57D2AD6B" w14:textId="76EF3F8F" w:rsidR="00681215" w:rsidRDefault="0037191C" w:rsidP="00681215">
          <w:pPr>
            <w:spacing w:line="0" w:lineRule="atLeast"/>
            <w:jc w:val="center"/>
            <w:rPr>
              <w:i/>
              <w:sz w:val="18"/>
              <w:szCs w:val="18"/>
            </w:rPr>
          </w:pPr>
          <w:r w:rsidRPr="0037191C">
            <w:rPr>
              <w:i/>
              <w:sz w:val="18"/>
              <w:szCs w:val="18"/>
            </w:rPr>
            <w:t>labral tear of the hip and shoulder</w:t>
          </w:r>
          <w:r w:rsidR="00681215">
            <w:rPr>
              <w:i/>
              <w:sz w:val="18"/>
              <w:szCs w:val="18"/>
            </w:rPr>
            <w:t xml:space="preserve"> (Balance of Probabilities) </w:t>
          </w:r>
          <w:r w:rsidR="00681215" w:rsidRPr="007C5CE0">
            <w:rPr>
              <w:i/>
              <w:sz w:val="18"/>
            </w:rPr>
            <w:t>(</w:t>
          </w:r>
          <w:r w:rsidR="00681215" w:rsidRPr="005817E8">
            <w:rPr>
              <w:i/>
              <w:sz w:val="18"/>
            </w:rPr>
            <w:t xml:space="preserve">No. </w:t>
          </w:r>
          <w:r w:rsidR="005817E8">
            <w:rPr>
              <w:i/>
              <w:sz w:val="18"/>
              <w:szCs w:val="18"/>
            </w:rPr>
            <w:t>3</w:t>
          </w:r>
          <w:r w:rsidR="005817E8" w:rsidRPr="005817E8">
            <w:rPr>
              <w:i/>
              <w:sz w:val="18"/>
              <w:szCs w:val="18"/>
            </w:rPr>
            <w:t>4</w:t>
          </w:r>
          <w:r w:rsidR="00681215" w:rsidRPr="005817E8">
            <w:rPr>
              <w:i/>
              <w:sz w:val="18"/>
              <w:szCs w:val="18"/>
            </w:rPr>
            <w:t xml:space="preserve"> of </w:t>
          </w:r>
          <w:r w:rsidR="00260C74" w:rsidRPr="005817E8">
            <w:rPr>
              <w:i/>
              <w:sz w:val="18"/>
              <w:szCs w:val="18"/>
            </w:rPr>
            <w:t>202</w:t>
          </w:r>
          <w:r w:rsidRPr="005817E8">
            <w:rPr>
              <w:i/>
              <w:sz w:val="18"/>
              <w:szCs w:val="18"/>
            </w:rPr>
            <w:t>6</w:t>
          </w:r>
          <w:r w:rsidR="00681215" w:rsidRPr="005817E8">
            <w:rPr>
              <w:i/>
              <w:sz w:val="18"/>
              <w:szCs w:val="18"/>
            </w:rPr>
            <w:t>)</w:t>
          </w:r>
        </w:p>
        <w:p w14:paraId="4853D602"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tcPr>
        <w:p w14:paraId="5345F965"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6F1A0D53" w14:textId="77777777" w:rsidR="00681215" w:rsidRPr="00035BD7" w:rsidRDefault="00681215" w:rsidP="00681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A920"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6AB9EE9B" w14:textId="77777777" w:rsidTr="00CC061E">
      <w:tc>
        <w:tcPr>
          <w:tcW w:w="709" w:type="dxa"/>
          <w:tcBorders>
            <w:top w:val="nil"/>
            <w:left w:val="nil"/>
            <w:bottom w:val="nil"/>
            <w:right w:val="nil"/>
          </w:tcBorders>
        </w:tcPr>
        <w:p w14:paraId="4B531554" w14:textId="77777777" w:rsidR="00681215" w:rsidRPr="00C01863" w:rsidRDefault="00681215" w:rsidP="00681215">
          <w:pPr>
            <w:spacing w:line="0" w:lineRule="atLeast"/>
            <w:rPr>
              <w:sz w:val="18"/>
            </w:rPr>
          </w:pPr>
        </w:p>
      </w:tc>
      <w:tc>
        <w:tcPr>
          <w:tcW w:w="7088" w:type="dxa"/>
          <w:tcBorders>
            <w:top w:val="nil"/>
            <w:left w:val="nil"/>
            <w:bottom w:val="nil"/>
            <w:right w:val="nil"/>
          </w:tcBorders>
        </w:tcPr>
        <w:p w14:paraId="4D661626" w14:textId="77777777" w:rsidR="00681215" w:rsidRDefault="00681215" w:rsidP="00681215">
          <w:pPr>
            <w:spacing w:line="0" w:lineRule="atLeast"/>
            <w:jc w:val="center"/>
            <w:rPr>
              <w:i/>
              <w:sz w:val="18"/>
            </w:rPr>
          </w:pPr>
          <w:r w:rsidRPr="007C5CE0">
            <w:rPr>
              <w:i/>
              <w:sz w:val="18"/>
            </w:rPr>
            <w:t>Statement of Principles concerning</w:t>
          </w:r>
        </w:p>
        <w:p w14:paraId="606C9974" w14:textId="50C4C49A" w:rsidR="00681215" w:rsidRDefault="0037191C" w:rsidP="00681215">
          <w:pPr>
            <w:spacing w:line="0" w:lineRule="atLeast"/>
            <w:jc w:val="center"/>
            <w:rPr>
              <w:i/>
              <w:sz w:val="18"/>
              <w:szCs w:val="18"/>
            </w:rPr>
          </w:pPr>
          <w:r w:rsidRPr="0037191C">
            <w:rPr>
              <w:i/>
              <w:sz w:val="18"/>
              <w:szCs w:val="18"/>
            </w:rPr>
            <w:t>labral tear of the hip and shoulder</w:t>
          </w:r>
          <w:r w:rsidR="00681215">
            <w:rPr>
              <w:i/>
              <w:sz w:val="18"/>
              <w:szCs w:val="18"/>
            </w:rPr>
            <w:t xml:space="preserve"> (Balance of Probabilities) </w:t>
          </w:r>
          <w:r w:rsidR="00681215" w:rsidRPr="007C5CE0">
            <w:rPr>
              <w:i/>
              <w:sz w:val="18"/>
            </w:rPr>
            <w:t xml:space="preserve">(No. </w:t>
          </w:r>
          <w:r w:rsidR="00260C74" w:rsidRPr="0037191C">
            <w:rPr>
              <w:i/>
              <w:sz w:val="18"/>
              <w:szCs w:val="18"/>
              <w:highlight w:val="yellow"/>
            </w:rPr>
            <w:t>BP</w:t>
          </w:r>
          <w:r w:rsidR="00681215" w:rsidRPr="0037191C">
            <w:rPr>
              <w:i/>
              <w:sz w:val="18"/>
              <w:szCs w:val="18"/>
              <w:highlight w:val="yellow"/>
            </w:rPr>
            <w:t xml:space="preserve"> of</w:t>
          </w:r>
          <w:r w:rsidR="00681215" w:rsidRPr="007C5CE0">
            <w:rPr>
              <w:i/>
              <w:sz w:val="18"/>
              <w:szCs w:val="18"/>
            </w:rPr>
            <w:t xml:space="preserve"> </w:t>
          </w:r>
          <w:r w:rsidR="00260C74" w:rsidRPr="00260C74">
            <w:rPr>
              <w:i/>
              <w:sz w:val="18"/>
              <w:szCs w:val="18"/>
            </w:rPr>
            <w:t>202</w:t>
          </w:r>
          <w:r>
            <w:rPr>
              <w:i/>
              <w:sz w:val="18"/>
              <w:szCs w:val="18"/>
            </w:rPr>
            <w:t>6</w:t>
          </w:r>
          <w:r w:rsidR="00681215" w:rsidRPr="007C5CE0">
            <w:rPr>
              <w:i/>
              <w:sz w:val="18"/>
              <w:szCs w:val="18"/>
            </w:rPr>
            <w:t>)</w:t>
          </w:r>
        </w:p>
        <w:p w14:paraId="4147D553"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tcPr>
        <w:p w14:paraId="7BCFB75A"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7A039456" w14:textId="77777777" w:rsidR="00681215" w:rsidRPr="00035BD7" w:rsidRDefault="00681215" w:rsidP="00681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6416" w14:textId="77777777" w:rsidR="00885EAB" w:rsidRPr="001D0896" w:rsidRDefault="00885EAB" w:rsidP="001D08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29FA" w14:textId="77777777"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0ABD" w14:textId="77777777" w:rsidR="00885EAB" w:rsidRPr="00681215" w:rsidRDefault="00885EAB" w:rsidP="006812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D704" w14:textId="77777777" w:rsidR="00885EAB" w:rsidRPr="00681215" w:rsidRDefault="00885EAB" w:rsidP="0068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F90D2" w14:textId="77777777" w:rsidR="008C7465" w:rsidRDefault="008C7465" w:rsidP="00715914">
      <w:pPr>
        <w:spacing w:line="240" w:lineRule="auto"/>
      </w:pPr>
      <w:r>
        <w:separator/>
      </w:r>
    </w:p>
  </w:footnote>
  <w:footnote w:type="continuationSeparator" w:id="0">
    <w:p w14:paraId="6E23F711"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420CE" w14:textId="2E5D4B79" w:rsidR="00AD23CD" w:rsidRPr="00B70FA0" w:rsidRDefault="00B70FA0" w:rsidP="00B70FA0">
    <w:pPr>
      <w:jc w:val="center"/>
      <w:rPr>
        <w:b/>
        <w:sz w:val="32"/>
        <w:szCs w:val="32"/>
      </w:rPr>
    </w:pPr>
    <w:r w:rsidRPr="00246D86">
      <w:rPr>
        <w:b/>
        <w:sz w:val="32"/>
        <w:szCs w:val="32"/>
      </w:rPr>
      <w:t xml:space="preserve">Draft </w:t>
    </w:r>
    <w:proofErr w:type="spellStart"/>
    <w:r w:rsidRPr="00246D86">
      <w:rPr>
        <w:b/>
        <w:sz w:val="32"/>
        <w:szCs w:val="32"/>
      </w:rPr>
      <w:t>SoP</w:t>
    </w:r>
    <w:proofErr w:type="spellEnd"/>
    <w:r w:rsidRPr="00246D86">
      <w:rPr>
        <w:b/>
        <w:sz w:val="32"/>
        <w:szCs w:val="32"/>
      </w:rPr>
      <w:t xml:space="preserve"> RMA Meeting </w:t>
    </w:r>
    <w:r w:rsidR="0037191C">
      <w:rPr>
        <w:b/>
        <w:sz w:val="32"/>
        <w:szCs w:val="32"/>
      </w:rPr>
      <w:t>April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53FE" w14:textId="77777777" w:rsidR="00885EAB" w:rsidRPr="00681215" w:rsidRDefault="00885EAB" w:rsidP="006812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7F8E" w14:textId="77777777" w:rsidR="00681215" w:rsidRDefault="00681215" w:rsidP="00681215">
    <w:pPr>
      <w:rPr>
        <w:sz w:val="20"/>
      </w:rPr>
    </w:pPr>
    <w:r>
      <w:rPr>
        <w:b/>
        <w:noProof/>
        <w:sz w:val="20"/>
      </w:rPr>
      <w:t>Schedule 1</w:t>
    </w:r>
    <w:r>
      <w:rPr>
        <w:sz w:val="20"/>
      </w:rPr>
      <w:t xml:space="preserve"> - </w:t>
    </w:r>
    <w:r>
      <w:rPr>
        <w:noProof/>
        <w:sz w:val="20"/>
      </w:rPr>
      <w:t>Dictionary</w:t>
    </w:r>
  </w:p>
  <w:p w14:paraId="631D57C1" w14:textId="77777777" w:rsidR="00681215" w:rsidRDefault="00681215" w:rsidP="00681215">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571F" w14:textId="77777777"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31B8" w14:textId="77777777" w:rsidR="00885EAB" w:rsidRPr="00681215" w:rsidRDefault="00885EAB" w:rsidP="006812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73A1" w14:textId="77777777" w:rsidR="00885EAB" w:rsidRPr="00681215" w:rsidRDefault="00885EAB" w:rsidP="0068121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F43C"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96B2BCE8"/>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675226B"/>
    <w:multiLevelType w:val="hybridMultilevel"/>
    <w:tmpl w:val="A8F68852"/>
    <w:lvl w:ilvl="0" w:tplc="48AE8C86">
      <w:start w:val="1"/>
      <w:numFmt w:val="lowerRoman"/>
      <w:lvlText w:val="(%1)"/>
      <w:lvlJc w:val="left"/>
      <w:pPr>
        <w:ind w:left="1493" w:hanging="750"/>
      </w:pPr>
      <w:rPr>
        <w:rFonts w:ascii="Times New Roman" w:eastAsia="Times New Roman" w:hAnsi="Times New Roman" w:cs="Times New Roman"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429239E"/>
    <w:multiLevelType w:val="hybridMultilevel"/>
    <w:tmpl w:val="3D762D50"/>
    <w:lvl w:ilvl="0" w:tplc="48AE8C86">
      <w:start w:val="1"/>
      <w:numFmt w:val="lowerRoman"/>
      <w:lvlText w:val="(%1)"/>
      <w:lvlJc w:val="left"/>
      <w:pPr>
        <w:ind w:left="1080" w:hanging="360"/>
      </w:pPr>
      <w:rPr>
        <w:rFonts w:ascii="Times New Roman" w:eastAsia="Times New Roman" w:hAnsi="Times New Roman" w:cs="Times New Roman" w:hint="default"/>
      </w:rPr>
    </w:lvl>
    <w:lvl w:ilvl="1" w:tplc="48AE8C86">
      <w:start w:val="1"/>
      <w:numFmt w:val="lowerRoman"/>
      <w:lvlText w:val="(%2)"/>
      <w:lvlJc w:val="left"/>
      <w:pPr>
        <w:ind w:left="1800" w:hanging="360"/>
      </w:pPr>
      <w:rPr>
        <w:rFonts w:ascii="Times New Roman" w:eastAsia="Times New Roman"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41A36C0"/>
    <w:multiLevelType w:val="hybridMultilevel"/>
    <w:tmpl w:val="30EA0A6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7471269">
    <w:abstractNumId w:val="15"/>
  </w:num>
  <w:num w:numId="2" w16cid:durableId="298458287">
    <w:abstractNumId w:val="13"/>
  </w:num>
  <w:num w:numId="3" w16cid:durableId="12463584">
    <w:abstractNumId w:val="11"/>
  </w:num>
  <w:num w:numId="4" w16cid:durableId="1682127640">
    <w:abstractNumId w:val="10"/>
  </w:num>
  <w:num w:numId="5" w16cid:durableId="491217666">
    <w:abstractNumId w:val="14"/>
  </w:num>
  <w:num w:numId="6" w16cid:durableId="4914104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4176829">
    <w:abstractNumId w:val="9"/>
  </w:num>
  <w:num w:numId="8" w16cid:durableId="686099654">
    <w:abstractNumId w:val="7"/>
  </w:num>
  <w:num w:numId="9" w16cid:durableId="871771644">
    <w:abstractNumId w:val="6"/>
  </w:num>
  <w:num w:numId="10" w16cid:durableId="1054040673">
    <w:abstractNumId w:val="5"/>
  </w:num>
  <w:num w:numId="11" w16cid:durableId="1412116996">
    <w:abstractNumId w:val="4"/>
  </w:num>
  <w:num w:numId="12" w16cid:durableId="1142503800">
    <w:abstractNumId w:val="8"/>
  </w:num>
  <w:num w:numId="13" w16cid:durableId="1642492107">
    <w:abstractNumId w:val="3"/>
  </w:num>
  <w:num w:numId="14" w16cid:durableId="827208307">
    <w:abstractNumId w:val="2"/>
  </w:num>
  <w:num w:numId="15" w16cid:durableId="1127429934">
    <w:abstractNumId w:val="1"/>
  </w:num>
  <w:num w:numId="16" w16cid:durableId="1708800648">
    <w:abstractNumId w:val="0"/>
  </w:num>
  <w:num w:numId="17" w16cid:durableId="1258363715">
    <w:abstractNumId w:val="10"/>
  </w:num>
  <w:num w:numId="18" w16cid:durableId="730889925">
    <w:abstractNumId w:val="10"/>
  </w:num>
  <w:num w:numId="19" w16cid:durableId="494540114">
    <w:abstractNumId w:val="10"/>
  </w:num>
  <w:num w:numId="20" w16cid:durableId="2052067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9522105">
    <w:abstractNumId w:val="17"/>
  </w:num>
  <w:num w:numId="22" w16cid:durableId="861939741">
    <w:abstractNumId w:val="12"/>
  </w:num>
  <w:num w:numId="23" w16cid:durableId="1924755300">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36AF"/>
    <w:rsid w:val="00014777"/>
    <w:rsid w:val="0001587D"/>
    <w:rsid w:val="00024911"/>
    <w:rsid w:val="00032E05"/>
    <w:rsid w:val="000340DC"/>
    <w:rsid w:val="000437C1"/>
    <w:rsid w:val="00046E67"/>
    <w:rsid w:val="00051B75"/>
    <w:rsid w:val="0005365D"/>
    <w:rsid w:val="00054930"/>
    <w:rsid w:val="000614BF"/>
    <w:rsid w:val="00061E3E"/>
    <w:rsid w:val="00080915"/>
    <w:rsid w:val="00081B7C"/>
    <w:rsid w:val="00085567"/>
    <w:rsid w:val="0008674F"/>
    <w:rsid w:val="00097FDF"/>
    <w:rsid w:val="000A6B73"/>
    <w:rsid w:val="000B1350"/>
    <w:rsid w:val="000B1F0E"/>
    <w:rsid w:val="000B58FA"/>
    <w:rsid w:val="000C21A3"/>
    <w:rsid w:val="000C664A"/>
    <w:rsid w:val="000C6D96"/>
    <w:rsid w:val="000D05EF"/>
    <w:rsid w:val="000D1AD1"/>
    <w:rsid w:val="000D4972"/>
    <w:rsid w:val="000D4D03"/>
    <w:rsid w:val="000E2261"/>
    <w:rsid w:val="000E4183"/>
    <w:rsid w:val="000F21C1"/>
    <w:rsid w:val="000F76FA"/>
    <w:rsid w:val="000F7717"/>
    <w:rsid w:val="00101F89"/>
    <w:rsid w:val="001058EA"/>
    <w:rsid w:val="0010745C"/>
    <w:rsid w:val="00130420"/>
    <w:rsid w:val="00132CEB"/>
    <w:rsid w:val="00137FE9"/>
    <w:rsid w:val="00142B62"/>
    <w:rsid w:val="0015201F"/>
    <w:rsid w:val="00157B8B"/>
    <w:rsid w:val="00160E32"/>
    <w:rsid w:val="00161A8E"/>
    <w:rsid w:val="001648F7"/>
    <w:rsid w:val="00166C2F"/>
    <w:rsid w:val="001809D7"/>
    <w:rsid w:val="00181048"/>
    <w:rsid w:val="001833C8"/>
    <w:rsid w:val="00187DE1"/>
    <w:rsid w:val="0019084F"/>
    <w:rsid w:val="001939E1"/>
    <w:rsid w:val="00194C3E"/>
    <w:rsid w:val="00195382"/>
    <w:rsid w:val="001B0F26"/>
    <w:rsid w:val="001C2AD2"/>
    <w:rsid w:val="001C61C5"/>
    <w:rsid w:val="001C69C4"/>
    <w:rsid w:val="001C6A0D"/>
    <w:rsid w:val="001C77EE"/>
    <w:rsid w:val="001D0896"/>
    <w:rsid w:val="001D2262"/>
    <w:rsid w:val="001D37EF"/>
    <w:rsid w:val="001D407A"/>
    <w:rsid w:val="001D67F6"/>
    <w:rsid w:val="001E3590"/>
    <w:rsid w:val="001E44BE"/>
    <w:rsid w:val="001E4EF7"/>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474D6"/>
    <w:rsid w:val="002564A4"/>
    <w:rsid w:val="00260C74"/>
    <w:rsid w:val="002650E6"/>
    <w:rsid w:val="0026736C"/>
    <w:rsid w:val="002716E4"/>
    <w:rsid w:val="002717B2"/>
    <w:rsid w:val="002773D7"/>
    <w:rsid w:val="00281308"/>
    <w:rsid w:val="00281DF7"/>
    <w:rsid w:val="00284719"/>
    <w:rsid w:val="00297ECB"/>
    <w:rsid w:val="002A04B0"/>
    <w:rsid w:val="002A1ECC"/>
    <w:rsid w:val="002A3436"/>
    <w:rsid w:val="002A7BCF"/>
    <w:rsid w:val="002B21A6"/>
    <w:rsid w:val="002B45FA"/>
    <w:rsid w:val="002B5188"/>
    <w:rsid w:val="002C7539"/>
    <w:rsid w:val="002D043A"/>
    <w:rsid w:val="002D2AA2"/>
    <w:rsid w:val="002D4541"/>
    <w:rsid w:val="002D6224"/>
    <w:rsid w:val="002E35CD"/>
    <w:rsid w:val="002E3F4B"/>
    <w:rsid w:val="002E508C"/>
    <w:rsid w:val="002E5382"/>
    <w:rsid w:val="002F5948"/>
    <w:rsid w:val="002F77A1"/>
    <w:rsid w:val="00301C54"/>
    <w:rsid w:val="00304F8B"/>
    <w:rsid w:val="0033221D"/>
    <w:rsid w:val="003354D2"/>
    <w:rsid w:val="00335BC6"/>
    <w:rsid w:val="003415D3"/>
    <w:rsid w:val="00344701"/>
    <w:rsid w:val="00350CCF"/>
    <w:rsid w:val="00352B0F"/>
    <w:rsid w:val="00356690"/>
    <w:rsid w:val="00360459"/>
    <w:rsid w:val="00365E25"/>
    <w:rsid w:val="0037191C"/>
    <w:rsid w:val="003734C6"/>
    <w:rsid w:val="003802D6"/>
    <w:rsid w:val="00385187"/>
    <w:rsid w:val="003A189F"/>
    <w:rsid w:val="003A2FFE"/>
    <w:rsid w:val="003A5C26"/>
    <w:rsid w:val="003B3E42"/>
    <w:rsid w:val="003C4C02"/>
    <w:rsid w:val="003C6231"/>
    <w:rsid w:val="003D0BFE"/>
    <w:rsid w:val="003D5700"/>
    <w:rsid w:val="003E341B"/>
    <w:rsid w:val="003F39C0"/>
    <w:rsid w:val="003F4535"/>
    <w:rsid w:val="004116CD"/>
    <w:rsid w:val="00412BA4"/>
    <w:rsid w:val="0041386E"/>
    <w:rsid w:val="004144EC"/>
    <w:rsid w:val="00417EB9"/>
    <w:rsid w:val="00420A33"/>
    <w:rsid w:val="0042300E"/>
    <w:rsid w:val="00424CA9"/>
    <w:rsid w:val="00431E9B"/>
    <w:rsid w:val="00436129"/>
    <w:rsid w:val="004379E3"/>
    <w:rsid w:val="0044015E"/>
    <w:rsid w:val="0044291A"/>
    <w:rsid w:val="00444ABD"/>
    <w:rsid w:val="00456CE5"/>
    <w:rsid w:val="0046351C"/>
    <w:rsid w:val="00467661"/>
    <w:rsid w:val="004705B7"/>
    <w:rsid w:val="00472DBE"/>
    <w:rsid w:val="00474A19"/>
    <w:rsid w:val="004834A1"/>
    <w:rsid w:val="004840A6"/>
    <w:rsid w:val="004916B9"/>
    <w:rsid w:val="00493386"/>
    <w:rsid w:val="00496F97"/>
    <w:rsid w:val="004A4764"/>
    <w:rsid w:val="004A5E4B"/>
    <w:rsid w:val="004C6AE8"/>
    <w:rsid w:val="004C6D55"/>
    <w:rsid w:val="004C786F"/>
    <w:rsid w:val="004D10CF"/>
    <w:rsid w:val="004D4BCA"/>
    <w:rsid w:val="004E063A"/>
    <w:rsid w:val="004E4A0E"/>
    <w:rsid w:val="004E59D1"/>
    <w:rsid w:val="004E692C"/>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4573"/>
    <w:rsid w:val="005758CA"/>
    <w:rsid w:val="00575A90"/>
    <w:rsid w:val="005817E8"/>
    <w:rsid w:val="00584811"/>
    <w:rsid w:val="00585784"/>
    <w:rsid w:val="00593AA6"/>
    <w:rsid w:val="00594161"/>
    <w:rsid w:val="00594749"/>
    <w:rsid w:val="005B05D3"/>
    <w:rsid w:val="005B0883"/>
    <w:rsid w:val="005B4067"/>
    <w:rsid w:val="005B5916"/>
    <w:rsid w:val="005C3F41"/>
    <w:rsid w:val="005D2D09"/>
    <w:rsid w:val="005D6DCF"/>
    <w:rsid w:val="005E6900"/>
    <w:rsid w:val="005E7FC2"/>
    <w:rsid w:val="005F50EF"/>
    <w:rsid w:val="00600219"/>
    <w:rsid w:val="006013B7"/>
    <w:rsid w:val="00603D01"/>
    <w:rsid w:val="00603DC4"/>
    <w:rsid w:val="00615B89"/>
    <w:rsid w:val="00616FF5"/>
    <w:rsid w:val="00617C4E"/>
    <w:rsid w:val="00620076"/>
    <w:rsid w:val="006314DD"/>
    <w:rsid w:val="00641371"/>
    <w:rsid w:val="0066266D"/>
    <w:rsid w:val="006647B7"/>
    <w:rsid w:val="00667A4E"/>
    <w:rsid w:val="00670EA1"/>
    <w:rsid w:val="00677CC2"/>
    <w:rsid w:val="00681215"/>
    <w:rsid w:val="006840B0"/>
    <w:rsid w:val="00684C0E"/>
    <w:rsid w:val="006905DE"/>
    <w:rsid w:val="0069207B"/>
    <w:rsid w:val="00695023"/>
    <w:rsid w:val="006B5789"/>
    <w:rsid w:val="006C30C5"/>
    <w:rsid w:val="006C4E18"/>
    <w:rsid w:val="006C58FF"/>
    <w:rsid w:val="006C7F8C"/>
    <w:rsid w:val="006D6CB3"/>
    <w:rsid w:val="006E212F"/>
    <w:rsid w:val="006E6246"/>
    <w:rsid w:val="006F2D64"/>
    <w:rsid w:val="006F318F"/>
    <w:rsid w:val="006F4226"/>
    <w:rsid w:val="006F513D"/>
    <w:rsid w:val="0070017E"/>
    <w:rsid w:val="007005C0"/>
    <w:rsid w:val="00700B2C"/>
    <w:rsid w:val="00702C42"/>
    <w:rsid w:val="00704703"/>
    <w:rsid w:val="007050A2"/>
    <w:rsid w:val="00713084"/>
    <w:rsid w:val="007142FB"/>
    <w:rsid w:val="00714F20"/>
    <w:rsid w:val="0071590F"/>
    <w:rsid w:val="00715914"/>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094"/>
    <w:rsid w:val="007959B9"/>
    <w:rsid w:val="00795F0E"/>
    <w:rsid w:val="007A15B1"/>
    <w:rsid w:val="007A3989"/>
    <w:rsid w:val="007B132E"/>
    <w:rsid w:val="007C2253"/>
    <w:rsid w:val="007C5CE0"/>
    <w:rsid w:val="007C7DEE"/>
    <w:rsid w:val="007D3BA2"/>
    <w:rsid w:val="007E163D"/>
    <w:rsid w:val="007E43F0"/>
    <w:rsid w:val="007E667A"/>
    <w:rsid w:val="007F2378"/>
    <w:rsid w:val="007F28C9"/>
    <w:rsid w:val="007F5EB0"/>
    <w:rsid w:val="00803587"/>
    <w:rsid w:val="00805DB4"/>
    <w:rsid w:val="00806368"/>
    <w:rsid w:val="008117E9"/>
    <w:rsid w:val="008128BF"/>
    <w:rsid w:val="00824498"/>
    <w:rsid w:val="00825BFB"/>
    <w:rsid w:val="008321ED"/>
    <w:rsid w:val="00832C32"/>
    <w:rsid w:val="0083517B"/>
    <w:rsid w:val="00836587"/>
    <w:rsid w:val="00842EA3"/>
    <w:rsid w:val="00850A63"/>
    <w:rsid w:val="0085384C"/>
    <w:rsid w:val="00856A31"/>
    <w:rsid w:val="0086644D"/>
    <w:rsid w:val="00867ABD"/>
    <w:rsid w:val="00867B37"/>
    <w:rsid w:val="008721B5"/>
    <w:rsid w:val="00873081"/>
    <w:rsid w:val="008754D0"/>
    <w:rsid w:val="00877AE3"/>
    <w:rsid w:val="008855C9"/>
    <w:rsid w:val="00885EAB"/>
    <w:rsid w:val="00886456"/>
    <w:rsid w:val="008A46E1"/>
    <w:rsid w:val="008A4F43"/>
    <w:rsid w:val="008B2204"/>
    <w:rsid w:val="008B2706"/>
    <w:rsid w:val="008B542F"/>
    <w:rsid w:val="008C1A64"/>
    <w:rsid w:val="008C7465"/>
    <w:rsid w:val="008C7752"/>
    <w:rsid w:val="008D0EE0"/>
    <w:rsid w:val="008D16D3"/>
    <w:rsid w:val="008D1B8B"/>
    <w:rsid w:val="008E6067"/>
    <w:rsid w:val="008E76DC"/>
    <w:rsid w:val="008F48EC"/>
    <w:rsid w:val="008F54E7"/>
    <w:rsid w:val="008F572A"/>
    <w:rsid w:val="00903422"/>
    <w:rsid w:val="00904761"/>
    <w:rsid w:val="009056AF"/>
    <w:rsid w:val="00912B55"/>
    <w:rsid w:val="00913398"/>
    <w:rsid w:val="00915DF9"/>
    <w:rsid w:val="009254C3"/>
    <w:rsid w:val="00925CA9"/>
    <w:rsid w:val="00926C44"/>
    <w:rsid w:val="00932377"/>
    <w:rsid w:val="00941893"/>
    <w:rsid w:val="00947D5A"/>
    <w:rsid w:val="009532A5"/>
    <w:rsid w:val="00956922"/>
    <w:rsid w:val="009612CF"/>
    <w:rsid w:val="009724F4"/>
    <w:rsid w:val="00973808"/>
    <w:rsid w:val="00982242"/>
    <w:rsid w:val="00984EE9"/>
    <w:rsid w:val="00985EC2"/>
    <w:rsid w:val="009868E9"/>
    <w:rsid w:val="009877AB"/>
    <w:rsid w:val="00997416"/>
    <w:rsid w:val="009B5A4E"/>
    <w:rsid w:val="009C2B65"/>
    <w:rsid w:val="009C404D"/>
    <w:rsid w:val="009D6BB0"/>
    <w:rsid w:val="009E5CFC"/>
    <w:rsid w:val="00A02B28"/>
    <w:rsid w:val="00A06E7A"/>
    <w:rsid w:val="00A079CB"/>
    <w:rsid w:val="00A11C0D"/>
    <w:rsid w:val="00A12128"/>
    <w:rsid w:val="00A137F8"/>
    <w:rsid w:val="00A20CA1"/>
    <w:rsid w:val="00A20FDB"/>
    <w:rsid w:val="00A22C98"/>
    <w:rsid w:val="00A231E2"/>
    <w:rsid w:val="00A42FEB"/>
    <w:rsid w:val="00A515BC"/>
    <w:rsid w:val="00A56C3D"/>
    <w:rsid w:val="00A6070D"/>
    <w:rsid w:val="00A64912"/>
    <w:rsid w:val="00A64BA1"/>
    <w:rsid w:val="00A70A74"/>
    <w:rsid w:val="00A931D7"/>
    <w:rsid w:val="00AA64D6"/>
    <w:rsid w:val="00AA6D8B"/>
    <w:rsid w:val="00AC7363"/>
    <w:rsid w:val="00AD23CD"/>
    <w:rsid w:val="00AD2DC7"/>
    <w:rsid w:val="00AD5641"/>
    <w:rsid w:val="00AD7889"/>
    <w:rsid w:val="00AD7AC2"/>
    <w:rsid w:val="00AD7DCC"/>
    <w:rsid w:val="00AF021B"/>
    <w:rsid w:val="00AF06CF"/>
    <w:rsid w:val="00B05CF4"/>
    <w:rsid w:val="00B07CDB"/>
    <w:rsid w:val="00B166C8"/>
    <w:rsid w:val="00B16A31"/>
    <w:rsid w:val="00B177FE"/>
    <w:rsid w:val="00B17DFD"/>
    <w:rsid w:val="00B24368"/>
    <w:rsid w:val="00B308FE"/>
    <w:rsid w:val="00B33709"/>
    <w:rsid w:val="00B33B3C"/>
    <w:rsid w:val="00B34B5A"/>
    <w:rsid w:val="00B50826"/>
    <w:rsid w:val="00B50ADC"/>
    <w:rsid w:val="00B527C0"/>
    <w:rsid w:val="00B566B1"/>
    <w:rsid w:val="00B63834"/>
    <w:rsid w:val="00B664A3"/>
    <w:rsid w:val="00B70FA0"/>
    <w:rsid w:val="00B72734"/>
    <w:rsid w:val="00B72A5E"/>
    <w:rsid w:val="00B80199"/>
    <w:rsid w:val="00B83204"/>
    <w:rsid w:val="00B833B0"/>
    <w:rsid w:val="00B83823"/>
    <w:rsid w:val="00B90372"/>
    <w:rsid w:val="00B90B8D"/>
    <w:rsid w:val="00B92A80"/>
    <w:rsid w:val="00B933A7"/>
    <w:rsid w:val="00BA220B"/>
    <w:rsid w:val="00BA3A57"/>
    <w:rsid w:val="00BA691F"/>
    <w:rsid w:val="00BB4E1A"/>
    <w:rsid w:val="00BB78C9"/>
    <w:rsid w:val="00BC015E"/>
    <w:rsid w:val="00BC1BF3"/>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25E7F"/>
    <w:rsid w:val="00C2746F"/>
    <w:rsid w:val="00C324A0"/>
    <w:rsid w:val="00C3300F"/>
    <w:rsid w:val="00C349C5"/>
    <w:rsid w:val="00C42BF8"/>
    <w:rsid w:val="00C50043"/>
    <w:rsid w:val="00C5731E"/>
    <w:rsid w:val="00C738B9"/>
    <w:rsid w:val="00C7573B"/>
    <w:rsid w:val="00C77046"/>
    <w:rsid w:val="00C93C03"/>
    <w:rsid w:val="00C96667"/>
    <w:rsid w:val="00C9794D"/>
    <w:rsid w:val="00CA61BB"/>
    <w:rsid w:val="00CA7414"/>
    <w:rsid w:val="00CB1DCB"/>
    <w:rsid w:val="00CB2C8E"/>
    <w:rsid w:val="00CB602E"/>
    <w:rsid w:val="00CB7412"/>
    <w:rsid w:val="00CC7039"/>
    <w:rsid w:val="00CD7B88"/>
    <w:rsid w:val="00CE051D"/>
    <w:rsid w:val="00CE1335"/>
    <w:rsid w:val="00CE493D"/>
    <w:rsid w:val="00CF07FA"/>
    <w:rsid w:val="00CF0BB2"/>
    <w:rsid w:val="00CF2367"/>
    <w:rsid w:val="00CF3EE8"/>
    <w:rsid w:val="00D030FB"/>
    <w:rsid w:val="00D050E6"/>
    <w:rsid w:val="00D117D0"/>
    <w:rsid w:val="00D13441"/>
    <w:rsid w:val="00D150E7"/>
    <w:rsid w:val="00D32F65"/>
    <w:rsid w:val="00D32F71"/>
    <w:rsid w:val="00D3607D"/>
    <w:rsid w:val="00D377E3"/>
    <w:rsid w:val="00D401FF"/>
    <w:rsid w:val="00D50484"/>
    <w:rsid w:val="00D527C9"/>
    <w:rsid w:val="00D52DC2"/>
    <w:rsid w:val="00D53BCC"/>
    <w:rsid w:val="00D5574C"/>
    <w:rsid w:val="00D5599D"/>
    <w:rsid w:val="00D5620B"/>
    <w:rsid w:val="00D60FC8"/>
    <w:rsid w:val="00D6329A"/>
    <w:rsid w:val="00D70DFB"/>
    <w:rsid w:val="00D71633"/>
    <w:rsid w:val="00D766DF"/>
    <w:rsid w:val="00D93DA9"/>
    <w:rsid w:val="00D94857"/>
    <w:rsid w:val="00D96383"/>
    <w:rsid w:val="00D963F0"/>
    <w:rsid w:val="00D97BB3"/>
    <w:rsid w:val="00DA0E36"/>
    <w:rsid w:val="00DA186E"/>
    <w:rsid w:val="00DA4116"/>
    <w:rsid w:val="00DA7AC0"/>
    <w:rsid w:val="00DB15BB"/>
    <w:rsid w:val="00DB251C"/>
    <w:rsid w:val="00DB3F17"/>
    <w:rsid w:val="00DB4162"/>
    <w:rsid w:val="00DB4630"/>
    <w:rsid w:val="00DC3D39"/>
    <w:rsid w:val="00DC4F88"/>
    <w:rsid w:val="00DD0396"/>
    <w:rsid w:val="00DD2B43"/>
    <w:rsid w:val="00DD31AB"/>
    <w:rsid w:val="00DE59B7"/>
    <w:rsid w:val="00DF24DC"/>
    <w:rsid w:val="00DF5291"/>
    <w:rsid w:val="00DF65CF"/>
    <w:rsid w:val="00DF6D11"/>
    <w:rsid w:val="00E05704"/>
    <w:rsid w:val="00E11E44"/>
    <w:rsid w:val="00E3270E"/>
    <w:rsid w:val="00E338EF"/>
    <w:rsid w:val="00E35C4E"/>
    <w:rsid w:val="00E544BB"/>
    <w:rsid w:val="00E55F66"/>
    <w:rsid w:val="00E64EE4"/>
    <w:rsid w:val="00E662CB"/>
    <w:rsid w:val="00E74DC7"/>
    <w:rsid w:val="00E8075A"/>
    <w:rsid w:val="00E90315"/>
    <w:rsid w:val="00E92D94"/>
    <w:rsid w:val="00E9347E"/>
    <w:rsid w:val="00E93E6F"/>
    <w:rsid w:val="00E94D5E"/>
    <w:rsid w:val="00EA041B"/>
    <w:rsid w:val="00EA7100"/>
    <w:rsid w:val="00EA7F9F"/>
    <w:rsid w:val="00EB1274"/>
    <w:rsid w:val="00EB2BC4"/>
    <w:rsid w:val="00EC7405"/>
    <w:rsid w:val="00ED2BB6"/>
    <w:rsid w:val="00ED34E1"/>
    <w:rsid w:val="00ED3B8D"/>
    <w:rsid w:val="00ED46FF"/>
    <w:rsid w:val="00ED4913"/>
    <w:rsid w:val="00EF2E3A"/>
    <w:rsid w:val="00F03C06"/>
    <w:rsid w:val="00F072A7"/>
    <w:rsid w:val="00F078DC"/>
    <w:rsid w:val="00F27BB2"/>
    <w:rsid w:val="00F32BA8"/>
    <w:rsid w:val="00F349F1"/>
    <w:rsid w:val="00F4350D"/>
    <w:rsid w:val="00F52BA4"/>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D07DF"/>
    <w:rsid w:val="00FE4688"/>
    <w:rsid w:val="00FE4D2E"/>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2B81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F65CF"/>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DF65CF"/>
    <w:pPr>
      <w:numPr>
        <w:ilvl w:val="1"/>
        <w:numId w:val="19"/>
      </w:numPr>
      <w:ind w:left="1418"/>
    </w:pPr>
  </w:style>
  <w:style w:type="paragraph" w:customStyle="1" w:styleId="LV3">
    <w:name w:val="LV 3"/>
    <w:basedOn w:val="PlainIndent"/>
    <w:autoRedefine/>
    <w:qFormat/>
    <w:rsid w:val="00DF65CF"/>
    <w:pPr>
      <w:numPr>
        <w:ilvl w:val="2"/>
        <w:numId w:val="19"/>
      </w:numPr>
      <w:ind w:left="1985"/>
      <w:contextualSpacing/>
    </w:pPr>
  </w:style>
  <w:style w:type="paragraph" w:customStyle="1" w:styleId="LV4">
    <w:name w:val="LV 4"/>
    <w:basedOn w:val="PlainIndent"/>
    <w:autoRedefine/>
    <w:qFormat/>
    <w:rsid w:val="00805DB4"/>
    <w:pPr>
      <w:numPr>
        <w:ilvl w:val="3"/>
        <w:numId w:val="19"/>
      </w:numPr>
      <w:ind w:left="2552"/>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DF65CF"/>
    <w:pPr>
      <w:ind w:left="1985" w:firstLine="0"/>
    </w:pPr>
  </w:style>
  <w:style w:type="paragraph" w:customStyle="1" w:styleId="Note2">
    <w:name w:val="Note 2"/>
    <w:basedOn w:val="NOTE"/>
    <w:link w:val="Note2Char"/>
    <w:uiPriority w:val="2"/>
    <w:qFormat/>
    <w:rsid w:val="00DF65CF"/>
    <w:pPr>
      <w:ind w:hanging="510"/>
    </w:pPr>
  </w:style>
  <w:style w:type="character" w:customStyle="1" w:styleId="Note1Char">
    <w:name w:val="Note 1 Char"/>
    <w:basedOn w:val="DefaultParagraphFont"/>
    <w:link w:val="Note1"/>
    <w:uiPriority w:val="2"/>
    <w:rsid w:val="00DF65CF"/>
    <w:rPr>
      <w:rFonts w:eastAsia="Times New Roman"/>
      <w:sz w:val="18"/>
    </w:rPr>
  </w:style>
  <w:style w:type="character" w:customStyle="1" w:styleId="Note2Char">
    <w:name w:val="Note 2 Char"/>
    <w:basedOn w:val="DefaultParagraphFont"/>
    <w:link w:val="Note2"/>
    <w:uiPriority w:val="2"/>
    <w:rsid w:val="00DF65CF"/>
    <w:rPr>
      <w:rFonts w:eastAsia="Times New Roman"/>
      <w:sz w:val="18"/>
    </w:rPr>
  </w:style>
  <w:style w:type="paragraph" w:customStyle="1" w:styleId="ScheduleNote">
    <w:name w:val="Schedule Note"/>
    <w:basedOn w:val="NOTE"/>
    <w:link w:val="ScheduleNoteChar"/>
    <w:uiPriority w:val="2"/>
    <w:qFormat/>
    <w:rsid w:val="00DF65CF"/>
    <w:pPr>
      <w:ind w:left="851" w:firstLine="0"/>
    </w:pPr>
  </w:style>
  <w:style w:type="character" w:customStyle="1" w:styleId="ScheduleNoteChar">
    <w:name w:val="Schedule Note Char"/>
    <w:basedOn w:val="DefaultParagraphFont"/>
    <w:link w:val="ScheduleNote"/>
    <w:uiPriority w:val="2"/>
    <w:rsid w:val="00DF65CF"/>
    <w:rPr>
      <w:rFonts w:eastAsia="Times New Roman"/>
      <w:sz w:val="18"/>
    </w:rPr>
  </w:style>
  <w:style w:type="paragraph" w:customStyle="1" w:styleId="Note3">
    <w:name w:val="Note 3"/>
    <w:basedOn w:val="NOTE"/>
    <w:link w:val="Note3Char"/>
    <w:uiPriority w:val="2"/>
    <w:qFormat/>
    <w:rsid w:val="00DF65CF"/>
    <w:pPr>
      <w:ind w:left="2977" w:hanging="425"/>
    </w:pPr>
  </w:style>
  <w:style w:type="character" w:customStyle="1" w:styleId="Note3Char">
    <w:name w:val="Note 3 Char"/>
    <w:basedOn w:val="DefaultParagraphFont"/>
    <w:link w:val="Note3"/>
    <w:uiPriority w:val="2"/>
    <w:rsid w:val="00DF65CF"/>
    <w:rPr>
      <w:rFonts w:eastAsia="Times New Roman"/>
      <w:sz w:val="18"/>
    </w:rPr>
  </w:style>
  <w:style w:type="paragraph" w:styleId="ListParagraph">
    <w:name w:val="List Paragraph"/>
    <w:basedOn w:val="Normal"/>
    <w:uiPriority w:val="34"/>
    <w:qFormat/>
    <w:rsid w:val="00181048"/>
    <w:pPr>
      <w:spacing w:line="240" w:lineRule="auto"/>
      <w:ind w:left="720"/>
      <w:contextualSpacing/>
    </w:pPr>
    <w:rPr>
      <w:rFonts w:eastAsia="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7ECB6-C40A-4D53-9251-7E56DF9A1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1253</Words>
  <Characters>7148</Characters>
  <Application>Microsoft Office Word</Application>
  <DocSecurity>0</DocSecurity>
  <PresentationFormat/>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2026-03-12T05:18:00Z</dcterms:created>
  <dcterms:modified xsi:type="dcterms:W3CDTF">2026-04-10T04:19:00Z</dcterms:modified>
  <cp:category/>
  <cp:contentStatus/>
  <dc:language/>
  <cp:version/>
</cp:coreProperties>
</file>