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20587DD" wp14:editId="4939DF9C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FA33FB" w:rsidRDefault="00715914" w:rsidP="00715914">
      <w:pPr>
        <w:rPr>
          <w:sz w:val="19"/>
        </w:rPr>
      </w:pPr>
    </w:p>
    <w:p w14:paraId="5D6ECB4B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E79D9E7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23A97512" w14:textId="7793B42F" w:rsidR="00054930" w:rsidRDefault="00701B9C" w:rsidP="000D4972">
      <w:pPr>
        <w:pStyle w:val="Plainheader"/>
      </w:pPr>
      <w:r>
        <w:t>HAEMORRHOIDS</w:t>
      </w:r>
      <w:r w:rsidR="000D4972">
        <w:br/>
        <w:t xml:space="preserve"> </w:t>
      </w:r>
      <w:r w:rsidR="00997416">
        <w:t xml:space="preserve">(Balance of Probabilities) </w:t>
      </w:r>
    </w:p>
    <w:p w14:paraId="36FCFAA6" w14:textId="2CE23437" w:rsidR="00715914" w:rsidRPr="00024911" w:rsidRDefault="00E55F66" w:rsidP="006647B7">
      <w:pPr>
        <w:pStyle w:val="Plainheader"/>
      </w:pPr>
      <w:r w:rsidRPr="00024911">
        <w:t xml:space="preserve">(No. </w:t>
      </w:r>
      <w:r w:rsidR="008A2835">
        <w:t>20</w:t>
      </w:r>
      <w:r w:rsidRPr="00024911">
        <w:t xml:space="preserve"> of</w:t>
      </w:r>
      <w:r w:rsidR="00085567">
        <w:t xml:space="preserve"> </w:t>
      </w:r>
      <w:bookmarkStart w:id="0" w:name="year"/>
      <w:r w:rsidR="000D1AD1">
        <w:t>202</w:t>
      </w:r>
      <w:bookmarkEnd w:id="0"/>
      <w:r w:rsidR="008A2835">
        <w:t>6</w:t>
      </w:r>
      <w:r w:rsidRPr="00024911">
        <w:t>)</w:t>
      </w:r>
    </w:p>
    <w:p w14:paraId="2228743E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>subsection 196</w:t>
      </w:r>
      <w:proofErr w:type="gramStart"/>
      <w:r w:rsidR="00997416" w:rsidRPr="00BB78C9">
        <w:rPr>
          <w:sz w:val="24"/>
          <w:szCs w:val="24"/>
        </w:rPr>
        <w:t>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500425F" w14:textId="77777777" w:rsidR="00F97A62" w:rsidRPr="00F97A62" w:rsidRDefault="00F97A62" w:rsidP="00F97A62">
      <w:pPr>
        <w:rPr>
          <w:lang w:eastAsia="en-AU"/>
        </w:rPr>
      </w:pPr>
    </w:p>
    <w:p w14:paraId="75FEF3CD" w14:textId="5E2902F4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8A2835">
        <w:t>20 February 2026</w:t>
      </w:r>
    </w:p>
    <w:p w14:paraId="50DBEFA4" w14:textId="77777777" w:rsidR="00D93DA9" w:rsidRDefault="00D93DA9" w:rsidP="00764D43">
      <w:pPr>
        <w:pStyle w:val="Plain"/>
      </w:pPr>
    </w:p>
    <w:p w14:paraId="20853D46" w14:textId="77777777" w:rsidR="00D93DA9" w:rsidRDefault="00D93DA9" w:rsidP="00764D43">
      <w:pPr>
        <w:pStyle w:val="Plain"/>
      </w:pPr>
    </w:p>
    <w:p w14:paraId="328C5FFA" w14:textId="77777777" w:rsidR="00D93DA9" w:rsidRDefault="00D93DA9" w:rsidP="00764D43">
      <w:pPr>
        <w:pStyle w:val="Plain"/>
      </w:pPr>
    </w:p>
    <w:p w14:paraId="4E4AC07A" w14:textId="77777777" w:rsidR="00D93DA9" w:rsidRDefault="00D93DA9" w:rsidP="00764D43">
      <w:pPr>
        <w:pStyle w:val="Plain"/>
      </w:pPr>
    </w:p>
    <w:p w14:paraId="24C6ED2D" w14:textId="77777777" w:rsidR="00AC7363" w:rsidRDefault="00AC7363" w:rsidP="00764D43">
      <w:pPr>
        <w:pStyle w:val="Plain"/>
      </w:pPr>
    </w:p>
    <w:p w14:paraId="7E859D8D" w14:textId="77777777" w:rsidR="00AC7363" w:rsidRDefault="00AC7363" w:rsidP="00764D43">
      <w:pPr>
        <w:pStyle w:val="Plain"/>
      </w:pPr>
    </w:p>
    <w:p w14:paraId="66FA31FE" w14:textId="77777777" w:rsidR="00AC7363" w:rsidRDefault="00AC7363" w:rsidP="00764D43">
      <w:pPr>
        <w:pStyle w:val="Plain"/>
      </w:pPr>
    </w:p>
    <w:p w14:paraId="275CBC36" w14:textId="77777777" w:rsidR="00AC7363" w:rsidRDefault="00AC7363" w:rsidP="00764D43">
      <w:pPr>
        <w:pStyle w:val="Plain"/>
      </w:pPr>
    </w:p>
    <w:p w14:paraId="2BAD1C6A" w14:textId="77777777" w:rsidR="00AC7363" w:rsidRDefault="00AC7363" w:rsidP="00764D43">
      <w:pPr>
        <w:pStyle w:val="Plain"/>
      </w:pPr>
    </w:p>
    <w:p w14:paraId="2B27DC36" w14:textId="77777777" w:rsidR="00AC7363" w:rsidRDefault="00AC7363" w:rsidP="00764D43">
      <w:pPr>
        <w:pStyle w:val="Plain"/>
      </w:pPr>
    </w:p>
    <w:p w14:paraId="3337C4F5" w14:textId="77777777" w:rsidR="00AC7363" w:rsidRDefault="00AC7363" w:rsidP="00AC7363">
      <w:pPr>
        <w:pStyle w:val="Plain"/>
      </w:pPr>
      <w:r>
        <w:t>Professor Terence Campbell AM</w:t>
      </w:r>
    </w:p>
    <w:p w14:paraId="7D8BAD76" w14:textId="77777777" w:rsidR="00AC7363" w:rsidRDefault="00AC7363" w:rsidP="00AC7363">
      <w:pPr>
        <w:pStyle w:val="Plain"/>
      </w:pPr>
      <w:r>
        <w:t>Chairperson</w:t>
      </w:r>
    </w:p>
    <w:p w14:paraId="728A8C7D" w14:textId="77777777" w:rsidR="00AC7363" w:rsidRDefault="00AC7363" w:rsidP="00AC7363">
      <w:pPr>
        <w:pStyle w:val="Plain"/>
      </w:pPr>
      <w:r>
        <w:t>by and on behalf of</w:t>
      </w:r>
    </w:p>
    <w:p w14:paraId="483C84BB" w14:textId="77777777" w:rsidR="00AC7363" w:rsidRDefault="00AC7363" w:rsidP="00AC7363">
      <w:pPr>
        <w:pStyle w:val="Plain"/>
      </w:pPr>
      <w:r>
        <w:t>The Repatriation Medical Authority</w:t>
      </w:r>
    </w:p>
    <w:p w14:paraId="54BCD45F" w14:textId="77777777" w:rsidR="00D93DA9" w:rsidRPr="007527C1" w:rsidRDefault="00D93DA9" w:rsidP="00764D43">
      <w:pPr>
        <w:pStyle w:val="Plain"/>
      </w:pPr>
    </w:p>
    <w:p w14:paraId="6B2C2391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lastRenderedPageBreak/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175D5076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14:paraId="71E49029" w14:textId="53A218F4"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D36AE4">
        <w:rPr>
          <w:noProof/>
        </w:rPr>
        <w:t>4</w:t>
      </w:r>
      <w:r w:rsidR="000D4972">
        <w:rPr>
          <w:noProof/>
        </w:rPr>
        <w:fldChar w:fldCharType="end"/>
      </w:r>
    </w:p>
    <w:p w14:paraId="687B782B" w14:textId="0E65BA7F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4</w:t>
      </w:r>
      <w:r>
        <w:rPr>
          <w:noProof/>
        </w:rPr>
        <w:fldChar w:fldCharType="end"/>
      </w:r>
    </w:p>
    <w:p w14:paraId="63BDEC73" w14:textId="5C3933B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4</w:t>
      </w:r>
      <w:r>
        <w:rPr>
          <w:noProof/>
        </w:rPr>
        <w:fldChar w:fldCharType="end"/>
      </w:r>
    </w:p>
    <w:p w14:paraId="0824E806" w14:textId="12D6D67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4</w:t>
      </w:r>
      <w:r>
        <w:rPr>
          <w:noProof/>
        </w:rPr>
        <w:fldChar w:fldCharType="end"/>
      </w:r>
    </w:p>
    <w:p w14:paraId="0AE5E568" w14:textId="7D8E5E0C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4</w:t>
      </w:r>
      <w:r>
        <w:rPr>
          <w:noProof/>
        </w:rPr>
        <w:fldChar w:fldCharType="end"/>
      </w:r>
    </w:p>
    <w:p w14:paraId="309E753D" w14:textId="75DB3A5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4</w:t>
      </w:r>
      <w:r>
        <w:rPr>
          <w:noProof/>
        </w:rPr>
        <w:fldChar w:fldCharType="end"/>
      </w:r>
    </w:p>
    <w:p w14:paraId="4A047050" w14:textId="695F848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4</w:t>
      </w:r>
      <w:r>
        <w:rPr>
          <w:noProof/>
        </w:rPr>
        <w:fldChar w:fldCharType="end"/>
      </w:r>
    </w:p>
    <w:p w14:paraId="27558E06" w14:textId="0DBCB7A0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5</w:t>
      </w:r>
      <w:r>
        <w:rPr>
          <w:noProof/>
        </w:rPr>
        <w:fldChar w:fldCharType="end"/>
      </w:r>
    </w:p>
    <w:p w14:paraId="1836314E" w14:textId="0D0CBD66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5</w:t>
      </w:r>
      <w:r>
        <w:rPr>
          <w:noProof/>
        </w:rPr>
        <w:fldChar w:fldCharType="end"/>
      </w:r>
    </w:p>
    <w:p w14:paraId="720E4EDB" w14:textId="45C71DDF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6</w:t>
      </w:r>
      <w:r>
        <w:rPr>
          <w:noProof/>
        </w:rPr>
        <w:fldChar w:fldCharType="end"/>
      </w:r>
    </w:p>
    <w:p w14:paraId="29F41960" w14:textId="44DBC0FD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6</w:t>
      </w:r>
      <w:r>
        <w:rPr>
          <w:noProof/>
        </w:rPr>
        <w:fldChar w:fldCharType="end"/>
      </w:r>
    </w:p>
    <w:p w14:paraId="147E4E6C" w14:textId="1423B66D"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7</w:t>
      </w:r>
      <w:r>
        <w:rPr>
          <w:noProof/>
        </w:rPr>
        <w:fldChar w:fldCharType="end"/>
      </w:r>
    </w:p>
    <w:p w14:paraId="4C9330D8" w14:textId="3D06224E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 w:rsidR="00D36AE4">
        <w:rPr>
          <w:noProof/>
        </w:rPr>
        <w:t>7</w:t>
      </w:r>
      <w:r>
        <w:rPr>
          <w:noProof/>
        </w:rPr>
        <w:fldChar w:fldCharType="end"/>
      </w:r>
    </w:p>
    <w:p w14:paraId="45C59D5E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9330341" w14:textId="77777777" w:rsidR="003A2FFE" w:rsidRDefault="003A2FFE" w:rsidP="003A2FFE">
      <w:pPr>
        <w:tabs>
          <w:tab w:val="left" w:pos="3631"/>
        </w:tabs>
      </w:pPr>
    </w:p>
    <w:p w14:paraId="4510A1DD" w14:textId="77777777" w:rsidR="003734C6" w:rsidRDefault="003734C6" w:rsidP="00715914">
      <w:r w:rsidRPr="003A2FFE">
        <w:br w:type="page"/>
      </w:r>
    </w:p>
    <w:p w14:paraId="2A1E7F8A" w14:textId="77777777" w:rsidR="00877AE3" w:rsidRDefault="00877AE3" w:rsidP="00C96667">
      <w:pPr>
        <w:pStyle w:val="LV1"/>
      </w:pPr>
      <w:bookmarkStart w:id="2" w:name="_Toc522787300"/>
      <w:r>
        <w:lastRenderedPageBreak/>
        <w:t>Name</w:t>
      </w:r>
      <w:bookmarkEnd w:id="2"/>
    </w:p>
    <w:p w14:paraId="6F0FAC51" w14:textId="7E2B5D64" w:rsidR="00237471" w:rsidRPr="00F97A62" w:rsidRDefault="00715914" w:rsidP="00DF65CF">
      <w:pPr>
        <w:pStyle w:val="PlainIndent"/>
      </w:pPr>
      <w:r w:rsidRPr="00F97A62">
        <w:t xml:space="preserve">This </w:t>
      </w:r>
      <w:r w:rsidR="00574573" w:rsidRPr="00F97A62">
        <w:t xml:space="preserve">is the </w:t>
      </w:r>
      <w:bookmarkStart w:id="3" w:name="BKCheck15B_3"/>
      <w:bookmarkEnd w:id="3"/>
      <w:r w:rsidR="00574573" w:rsidRPr="00F97A62">
        <w:t xml:space="preserve">Statement of Principles concerning </w:t>
      </w:r>
      <w:r w:rsidR="00701B9C">
        <w:rPr>
          <w:i/>
        </w:rPr>
        <w:t>haemorrhoids</w:t>
      </w:r>
      <w:r w:rsidR="00574573" w:rsidRPr="00F97A62">
        <w:t xml:space="preserve"> </w:t>
      </w:r>
      <w:r w:rsidR="00574573">
        <w:rPr>
          <w:i/>
        </w:rPr>
        <w:t xml:space="preserve">(Balance of Probabilities) </w:t>
      </w:r>
      <w:r w:rsidR="00574573" w:rsidRPr="00F97A62">
        <w:t xml:space="preserve">(No. </w:t>
      </w:r>
      <w:r w:rsidR="008A2835">
        <w:t>20</w:t>
      </w:r>
      <w:r w:rsidR="00574573">
        <w:t xml:space="preserve"> </w:t>
      </w:r>
      <w:r w:rsidR="00574573" w:rsidRPr="00F97A62">
        <w:t>of</w:t>
      </w:r>
      <w:r w:rsidR="00574573">
        <w:t xml:space="preserve"> </w:t>
      </w:r>
      <w:r w:rsidR="008A2835">
        <w:t>2026</w:t>
      </w:r>
      <w:r w:rsidR="00574573" w:rsidRPr="00F97A62">
        <w:t>).</w:t>
      </w:r>
    </w:p>
    <w:p w14:paraId="4752A1CD" w14:textId="77777777" w:rsidR="00F67B67" w:rsidRPr="00684C0E" w:rsidRDefault="00F67B67" w:rsidP="00C96667">
      <w:pPr>
        <w:pStyle w:val="LV1"/>
      </w:pPr>
      <w:bookmarkStart w:id="4" w:name="_Toc522787301"/>
      <w:r w:rsidRPr="00684C0E">
        <w:t>Commencement</w:t>
      </w:r>
      <w:bookmarkEnd w:id="4"/>
    </w:p>
    <w:p w14:paraId="48161169" w14:textId="45B588FC"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8A2835">
        <w:rPr>
          <w:b/>
        </w:rPr>
        <w:t>23 March 2026.</w:t>
      </w:r>
    </w:p>
    <w:p w14:paraId="11A6BE1E" w14:textId="77777777" w:rsidR="00F67B67" w:rsidRPr="00684C0E" w:rsidRDefault="00F67B67" w:rsidP="00C96667">
      <w:pPr>
        <w:pStyle w:val="LV1"/>
      </w:pPr>
      <w:bookmarkStart w:id="5" w:name="_Toc522787302"/>
      <w:r w:rsidRPr="00684C0E">
        <w:t>Authority</w:t>
      </w:r>
      <w:bookmarkEnd w:id="5"/>
    </w:p>
    <w:p w14:paraId="44D837A0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>196</w:t>
      </w:r>
      <w:proofErr w:type="gramStart"/>
      <w:r w:rsidRPr="007527C1">
        <w:t>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5DACDD7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6" w:name="_Toc522787303"/>
      <w:r>
        <w:t>Re</w:t>
      </w:r>
      <w:r w:rsidR="00CB7412">
        <w:t>peal</w:t>
      </w:r>
      <w:bookmarkEnd w:id="6"/>
    </w:p>
    <w:p w14:paraId="26178D58" w14:textId="4A9D5ECF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701B9C">
        <w:t>haemorrhoids</w:t>
      </w:r>
      <w:r w:rsidR="002D4541">
        <w:t xml:space="preserve"> </w:t>
      </w:r>
      <w:r w:rsidR="00D117D0" w:rsidRPr="00D117D0">
        <w:rPr>
          <w:iCs/>
        </w:rPr>
        <w:t>(Balance of Probabilities)</w:t>
      </w:r>
      <w:r w:rsidR="00D117D0">
        <w:t xml:space="preserve"> (</w:t>
      </w:r>
      <w:r w:rsidR="002D4541">
        <w:t xml:space="preserve">No. </w:t>
      </w:r>
      <w:r w:rsidR="00017509">
        <w:t>4</w:t>
      </w:r>
      <w:r w:rsidR="002D4541">
        <w:t xml:space="preserve"> of 20</w:t>
      </w:r>
      <w:r w:rsidR="00017509">
        <w:t>17</w:t>
      </w:r>
      <w:r w:rsidR="00D117D0">
        <w:t>)</w:t>
      </w:r>
      <w:r>
        <w:t xml:space="preserve"> </w:t>
      </w:r>
      <w:r w:rsidRPr="00786DAE">
        <w:t>(Federal Re</w:t>
      </w:r>
      <w:r w:rsidR="00F27BB2">
        <w:t>giste</w:t>
      </w:r>
      <w:r w:rsidR="002D4541">
        <w:t xml:space="preserve">r of Legislation No. </w:t>
      </w:r>
      <w:r w:rsidR="00017509" w:rsidRPr="00017509">
        <w:t>F2017L00005</w:t>
      </w:r>
      <w:r w:rsidRPr="00786DAE">
        <w:t xml:space="preserve">) </w:t>
      </w:r>
      <w:r w:rsidR="00F27BB2">
        <w:t>made under subsection</w:t>
      </w:r>
      <w:r w:rsidRPr="00DA3996">
        <w:t xml:space="preserve"> 196</w:t>
      </w:r>
      <w:proofErr w:type="gramStart"/>
      <w:r w:rsidRPr="00DA3996">
        <w:t>B(</w:t>
      </w:r>
      <w:proofErr w:type="gramEnd"/>
      <w:r>
        <w:t>3</w:t>
      </w:r>
      <w:r w:rsidR="00F27BB2">
        <w:t>)</w:t>
      </w:r>
      <w:r w:rsidRPr="00DA3996">
        <w:t xml:space="preserve"> of the VEA </w:t>
      </w:r>
      <w:r>
        <w:t>i</w:t>
      </w:r>
      <w:r w:rsidRPr="007527C1">
        <w:t>s</w:t>
      </w:r>
      <w:r>
        <w:t xml:space="preserve"> repealed.</w:t>
      </w:r>
    </w:p>
    <w:p w14:paraId="70963372" w14:textId="77777777" w:rsidR="007C7DEE" w:rsidRPr="00684C0E" w:rsidRDefault="007C7DEE" w:rsidP="00C96667">
      <w:pPr>
        <w:pStyle w:val="LV1"/>
      </w:pPr>
      <w:bookmarkStart w:id="7" w:name="_Toc522787304"/>
      <w:r w:rsidRPr="00684C0E">
        <w:t>Application</w:t>
      </w:r>
      <w:bookmarkEnd w:id="7"/>
    </w:p>
    <w:p w14:paraId="4D408B62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403008E4" w14:textId="77777777" w:rsidR="007C7DEE" w:rsidRPr="00684C0E" w:rsidRDefault="007C7DEE" w:rsidP="00C96667">
      <w:pPr>
        <w:pStyle w:val="LV1"/>
      </w:pPr>
      <w:bookmarkStart w:id="8" w:name="_Ref410129949"/>
      <w:bookmarkStart w:id="9" w:name="_Toc522787305"/>
      <w:r w:rsidRPr="00684C0E">
        <w:t>Definitions</w:t>
      </w:r>
      <w:bookmarkEnd w:id="8"/>
      <w:bookmarkEnd w:id="9"/>
    </w:p>
    <w:p w14:paraId="0DD1E7F3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8BC15F1" w14:textId="77777777" w:rsidR="007C7DEE" w:rsidRPr="00684C0E" w:rsidRDefault="007C7DEE" w:rsidP="00C96667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0"/>
      <w:bookmarkEnd w:id="11"/>
      <w:bookmarkEnd w:id="12"/>
      <w:bookmarkEnd w:id="13"/>
    </w:p>
    <w:p w14:paraId="72A28F05" w14:textId="345569F4" w:rsidR="007C7DEE" w:rsidRPr="00D5620B" w:rsidRDefault="007C7DEE" w:rsidP="006F28A5">
      <w:pPr>
        <w:pStyle w:val="LV2"/>
      </w:pPr>
      <w:bookmarkStart w:id="14" w:name="_Ref403053584"/>
      <w:r w:rsidRPr="00D5620B">
        <w:t xml:space="preserve">This Statement of Principles is </w:t>
      </w:r>
      <w:r w:rsidRPr="002F77A1">
        <w:t xml:space="preserve">about </w:t>
      </w:r>
      <w:r w:rsidR="00701B9C">
        <w:t>haemorrhoids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701B9C">
        <w:t>haemorrhoids</w:t>
      </w:r>
      <w:r w:rsidRPr="00D5620B">
        <w:t>.</w:t>
      </w:r>
      <w:bookmarkEnd w:id="14"/>
    </w:p>
    <w:p w14:paraId="6155B62A" w14:textId="67CB4AAD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701B9C">
        <w:rPr>
          <w:b/>
        </w:rPr>
        <w:t>haemorrhoids</w:t>
      </w:r>
    </w:p>
    <w:p w14:paraId="303A5322" w14:textId="4B05B2E5" w:rsidR="000D4972" w:rsidRPr="00237BAF" w:rsidRDefault="000D4972" w:rsidP="006F28A5">
      <w:pPr>
        <w:pStyle w:val="LV2"/>
      </w:pPr>
      <w:bookmarkStart w:id="15" w:name="_Ref409598124"/>
      <w:bookmarkStart w:id="16" w:name="_Ref402529683"/>
      <w:r w:rsidRPr="00237BAF">
        <w:t>For the purposes of this Statement of Principles,</w:t>
      </w:r>
      <w:r w:rsidRPr="002F77A1">
        <w:t xml:space="preserve"> </w:t>
      </w:r>
      <w:r w:rsidR="00701B9C">
        <w:t>haemorrhoids</w:t>
      </w:r>
      <w:r w:rsidRPr="00237BAF">
        <w:t>:</w:t>
      </w:r>
      <w:bookmarkEnd w:id="15"/>
    </w:p>
    <w:bookmarkEnd w:id="16"/>
    <w:p w14:paraId="1D9C4122" w14:textId="2BD1B381" w:rsidR="006F28A5" w:rsidRDefault="008C7752" w:rsidP="006F28A5">
      <w:pPr>
        <w:pStyle w:val="LV3"/>
      </w:pPr>
      <w:r>
        <w:t xml:space="preserve">means </w:t>
      </w:r>
      <w:r w:rsidR="006F28A5">
        <w:t>inflammation, bleeding, thrombosis, prolapse or symptomatic enlargement of the haemorrhoidal cushions; and</w:t>
      </w:r>
    </w:p>
    <w:p w14:paraId="48940C14" w14:textId="0E7B7F4F" w:rsidR="00260C74" w:rsidRDefault="006F28A5" w:rsidP="006F28A5">
      <w:pPr>
        <w:pStyle w:val="LV3"/>
      </w:pPr>
      <w:r>
        <w:t>excludes anorectal varices.</w:t>
      </w:r>
    </w:p>
    <w:p w14:paraId="72A0351A" w14:textId="4B948E62" w:rsidR="008C7752" w:rsidRDefault="006F28A5" w:rsidP="006F28A5">
      <w:pPr>
        <w:pStyle w:val="NOTE"/>
      </w:pPr>
      <w:r w:rsidRPr="006F28A5">
        <w:t xml:space="preserve">Note: </w:t>
      </w:r>
      <w:r w:rsidR="008A2835">
        <w:t>c</w:t>
      </w:r>
      <w:r w:rsidRPr="006F28A5">
        <w:t>linical worsening of haemorrhoids may include an increase in the grade of the haemorrhoids, bleeding and/or the need for surgical intervention.</w:t>
      </w:r>
    </w:p>
    <w:p w14:paraId="07221E7C" w14:textId="6F8F9D8E" w:rsidR="008F572A" w:rsidRPr="00237BAF" w:rsidRDefault="000D4972" w:rsidP="006F28A5">
      <w:pPr>
        <w:pStyle w:val="LV2"/>
      </w:pPr>
      <w:r w:rsidRPr="00237BAF">
        <w:t xml:space="preserve">While </w:t>
      </w:r>
      <w:r w:rsidR="00701B9C">
        <w:t>haemorrhoids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6F28A5" w:rsidRPr="006F28A5">
        <w:t>code K64, O22.4 or O87.2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701B9C">
        <w:t>haemorrhoids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42F82E39" w14:textId="77777777" w:rsidR="000F76FA" w:rsidRPr="0053697E" w:rsidRDefault="00825BFB" w:rsidP="006F28A5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 xml:space="preserve">The </w:t>
      </w:r>
      <w:r w:rsidRPr="00743C76">
        <w:rPr>
          <w:i/>
        </w:rPr>
        <w:lastRenderedPageBreak/>
        <w:t>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46121CDE" w14:textId="757684FE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701B9C">
        <w:rPr>
          <w:b/>
        </w:rPr>
        <w:t>haemorrhoids</w:t>
      </w:r>
    </w:p>
    <w:p w14:paraId="3FEA5A86" w14:textId="022A8630" w:rsidR="008F572A" w:rsidRPr="00237BAF" w:rsidRDefault="008F572A" w:rsidP="006F28A5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701B9C">
        <w:t>haemorrhoids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701B9C">
        <w:t>haemorrhoids</w:t>
      </w:r>
      <w:r w:rsidRPr="00D5620B">
        <w:t>.</w:t>
      </w:r>
    </w:p>
    <w:p w14:paraId="1C9F9369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30E6D69F" w14:textId="77777777" w:rsidR="007C7DEE" w:rsidRPr="00A20CA1" w:rsidRDefault="007C7DEE" w:rsidP="00181048">
      <w:pPr>
        <w:pStyle w:val="LV1"/>
        <w:keepNext/>
      </w:pPr>
      <w:bookmarkStart w:id="17" w:name="_Toc522787307"/>
      <w:r w:rsidRPr="00A20CA1">
        <w:t>Basis for determining the factors</w:t>
      </w:r>
      <w:bookmarkEnd w:id="17"/>
    </w:p>
    <w:p w14:paraId="22C46370" w14:textId="5E8155C2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701B9C">
        <w:t>haemorrhoids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701B9C">
        <w:t>haemorrhoids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632772B6" w14:textId="77777777"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7B68A4B4" w14:textId="77777777" w:rsidR="007C7DEE" w:rsidRPr="00301C54" w:rsidRDefault="007C7DEE" w:rsidP="00C96667">
      <w:pPr>
        <w:pStyle w:val="LV1"/>
      </w:pPr>
      <w:bookmarkStart w:id="18" w:name="_Ref411946955"/>
      <w:bookmarkStart w:id="19" w:name="_Ref411946997"/>
      <w:bookmarkStart w:id="20" w:name="_Ref412032503"/>
      <w:bookmarkStart w:id="21" w:name="_Toc522787308"/>
      <w:r w:rsidRPr="00301C54">
        <w:t xml:space="preserve">Factors that must </w:t>
      </w:r>
      <w:r w:rsidR="00D32F71">
        <w:t>exist</w:t>
      </w:r>
      <w:bookmarkEnd w:id="18"/>
      <w:bookmarkEnd w:id="19"/>
      <w:bookmarkEnd w:id="20"/>
      <w:bookmarkEnd w:id="21"/>
    </w:p>
    <w:p w14:paraId="78837F81" w14:textId="77574D4F" w:rsidR="007C7DEE" w:rsidRPr="00AA6D8B" w:rsidRDefault="002716E4" w:rsidP="00DF65CF">
      <w:pPr>
        <w:pStyle w:val="PlainIndent"/>
      </w:pPr>
      <w:bookmarkStart w:id="22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701B9C">
        <w:t>haemorrhoids</w:t>
      </w:r>
      <w:r w:rsidR="007A3989">
        <w:t xml:space="preserve"> </w:t>
      </w:r>
      <w:r w:rsidR="007C7DEE" w:rsidRPr="00AA6D8B">
        <w:t xml:space="preserve">or death from </w:t>
      </w:r>
      <w:r w:rsidR="00701B9C">
        <w:t>haemorrhoids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2"/>
    </w:p>
    <w:p w14:paraId="152CE729" w14:textId="77777777" w:rsidR="006F28A5" w:rsidRPr="008D1B8B" w:rsidRDefault="006F28A5" w:rsidP="006F28A5">
      <w:pPr>
        <w:pStyle w:val="LV2"/>
      </w:pPr>
      <w:bookmarkStart w:id="23" w:name="_Ref402530260"/>
      <w:bookmarkStart w:id="24" w:name="_Ref409598844"/>
      <w:r w:rsidRPr="009942A1">
        <w:t xml:space="preserve">being pregnant within the </w:t>
      </w:r>
      <w:r>
        <w:t>6</w:t>
      </w:r>
      <w:r w:rsidRPr="009942A1">
        <w:t xml:space="preserve"> weeks before clinical onset</w:t>
      </w:r>
      <w:r>
        <w:t xml:space="preserve"> or clinical </w:t>
      </w:r>
      <w:proofErr w:type="gramStart"/>
      <w:r>
        <w:t>worsening;</w:t>
      </w:r>
      <w:proofErr w:type="gramEnd"/>
    </w:p>
    <w:p w14:paraId="4AA8AE7A" w14:textId="77777777" w:rsidR="003A1263" w:rsidRDefault="006F28A5" w:rsidP="003A1263">
      <w:pPr>
        <w:pStyle w:val="LV2"/>
      </w:pPr>
      <w:r w:rsidRPr="0099327B">
        <w:rPr>
          <w:lang w:val="en-US"/>
        </w:rPr>
        <w:t xml:space="preserve">straining at stool due to constipation or </w:t>
      </w:r>
      <w:proofErr w:type="spellStart"/>
      <w:r w:rsidRPr="0099327B">
        <w:rPr>
          <w:lang w:val="en-US"/>
        </w:rPr>
        <w:t>diarrhoea</w:t>
      </w:r>
      <w:proofErr w:type="spellEnd"/>
      <w:r w:rsidRPr="0099327B">
        <w:rPr>
          <w:lang w:val="en-US"/>
        </w:rPr>
        <w:t xml:space="preserve">, within the </w:t>
      </w:r>
      <w:r>
        <w:rPr>
          <w:lang w:val="en-US"/>
        </w:rPr>
        <w:t>2</w:t>
      </w:r>
      <w:r w:rsidRPr="0099327B">
        <w:rPr>
          <w:lang w:val="en-US"/>
        </w:rPr>
        <w:t xml:space="preserve"> weeks before clinical onset</w:t>
      </w:r>
      <w:r>
        <w:rPr>
          <w:lang w:val="en-US"/>
        </w:rPr>
        <w:t xml:space="preserve"> or clinical </w:t>
      </w:r>
      <w:proofErr w:type="gramStart"/>
      <w:r>
        <w:rPr>
          <w:lang w:val="en-US"/>
        </w:rPr>
        <w:t>worsening;</w:t>
      </w:r>
      <w:proofErr w:type="gramEnd"/>
    </w:p>
    <w:p w14:paraId="7D33E168" w14:textId="46CA3F0E" w:rsidR="006F28A5" w:rsidRDefault="006F28A5" w:rsidP="003A1263">
      <w:pPr>
        <w:pStyle w:val="LV2"/>
      </w:pPr>
      <w:r w:rsidRPr="000B35F4">
        <w:t>having a spinal cord injury at the time of the clinical onset</w:t>
      </w:r>
      <w:r w:rsidR="00844C9E">
        <w:t xml:space="preserve"> or clinical </w:t>
      </w:r>
      <w:proofErr w:type="gramStart"/>
      <w:r>
        <w:t>worsening</w:t>
      </w:r>
      <w:r w:rsidRPr="000B35F4">
        <w:t>;</w:t>
      </w:r>
      <w:proofErr w:type="gramEnd"/>
    </w:p>
    <w:p w14:paraId="4A5B6052" w14:textId="77777777" w:rsidR="006F28A5" w:rsidRDefault="006F28A5" w:rsidP="006F28A5">
      <w:pPr>
        <w:pStyle w:val="NOTE"/>
      </w:pPr>
      <w:r>
        <w:t xml:space="preserve">Note: </w:t>
      </w:r>
      <w:r>
        <w:rPr>
          <w:b/>
          <w:i/>
        </w:rPr>
        <w:t>spinal cord injury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14:paraId="67BF6A47" w14:textId="3074EF80" w:rsidR="00AC7363" w:rsidRDefault="006F28A5" w:rsidP="006F28A5">
      <w:pPr>
        <w:pStyle w:val="LV2"/>
      </w:pPr>
      <w:r>
        <w:t xml:space="preserve">chewing </w:t>
      </w:r>
      <w:r w:rsidRPr="00A46EE8">
        <w:t xml:space="preserve">khat </w:t>
      </w:r>
      <w:r w:rsidRPr="00D562E2">
        <w:t xml:space="preserve">at least weekly, for </w:t>
      </w:r>
      <w:r>
        <w:t xml:space="preserve">at least the 3 months </w:t>
      </w:r>
      <w:r w:rsidRPr="00A46EE8">
        <w:t>before clinical onset</w:t>
      </w:r>
      <w:r>
        <w:t xml:space="preserve"> or clinical </w:t>
      </w:r>
      <w:proofErr w:type="gramStart"/>
      <w:r>
        <w:t>worsening;</w:t>
      </w:r>
      <w:proofErr w:type="gramEnd"/>
    </w:p>
    <w:p w14:paraId="1323E39F" w14:textId="77777777" w:rsidR="006F28A5" w:rsidRDefault="006F28A5" w:rsidP="006F28A5">
      <w:pPr>
        <w:pStyle w:val="LV2"/>
      </w:pPr>
      <w:r w:rsidRPr="00FD3322">
        <w:t>an inability to consume an average daily intake of</w:t>
      </w:r>
      <w:r>
        <w:t xml:space="preserve"> 20 grams of fibre in food for </w:t>
      </w:r>
      <w:r w:rsidRPr="00FD3322">
        <w:t>at least</w:t>
      </w:r>
      <w:r>
        <w:t xml:space="preserve"> the </w:t>
      </w:r>
      <w:r w:rsidRPr="005665D2">
        <w:t>3 months</w:t>
      </w:r>
      <w:r>
        <w:t xml:space="preserve"> </w:t>
      </w:r>
      <w:r w:rsidRPr="00FD3322">
        <w:t xml:space="preserve">before </w:t>
      </w:r>
      <w:r w:rsidRPr="00122442">
        <w:t xml:space="preserve">clinical </w:t>
      </w:r>
      <w:proofErr w:type="gramStart"/>
      <w:r w:rsidRPr="00122442">
        <w:t>onset;</w:t>
      </w:r>
      <w:proofErr w:type="gramEnd"/>
    </w:p>
    <w:p w14:paraId="4FD51EFC" w14:textId="77777777" w:rsidR="00122442" w:rsidRDefault="00122442" w:rsidP="00122442">
      <w:pPr>
        <w:pStyle w:val="NOTE"/>
      </w:pPr>
      <w:bookmarkStart w:id="25" w:name="_Hlk209183036"/>
      <w:r>
        <w:t xml:space="preserve">Note: </w:t>
      </w:r>
      <w:r>
        <w:rPr>
          <w:b/>
          <w:i/>
        </w:rPr>
        <w:t>fibre in food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</w:p>
    <w:bookmarkEnd w:id="25"/>
    <w:p w14:paraId="62E014F0" w14:textId="77777777" w:rsidR="006F28A5" w:rsidRDefault="006F28A5" w:rsidP="006F28A5">
      <w:pPr>
        <w:pStyle w:val="LV2"/>
      </w:pPr>
      <w:r w:rsidRPr="00FD3322">
        <w:t>an inability to consume an average daily intake of</w:t>
      </w:r>
      <w:r>
        <w:t xml:space="preserve"> 20 grams of fibre in food for at least the </w:t>
      </w:r>
      <w:r w:rsidRPr="005665D2">
        <w:t>4 weeks</w:t>
      </w:r>
      <w:r>
        <w:t xml:space="preserve"> </w:t>
      </w:r>
      <w:r w:rsidRPr="00122442">
        <w:t xml:space="preserve">before clinical </w:t>
      </w:r>
      <w:proofErr w:type="gramStart"/>
      <w:r w:rsidRPr="00122442">
        <w:t>worsening;</w:t>
      </w:r>
      <w:proofErr w:type="gramEnd"/>
    </w:p>
    <w:p w14:paraId="5C1258F3" w14:textId="77777777" w:rsidR="00B54D06" w:rsidRDefault="00B54D06" w:rsidP="00B54D06">
      <w:pPr>
        <w:pStyle w:val="NOTE"/>
      </w:pPr>
      <w:r>
        <w:t xml:space="preserve">Note: </w:t>
      </w:r>
      <w:r>
        <w:rPr>
          <w:b/>
          <w:i/>
        </w:rPr>
        <w:t>fibre in food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</w:p>
    <w:p w14:paraId="68C2EA61" w14:textId="25A48180" w:rsidR="006F28A5" w:rsidRPr="006F28A5" w:rsidRDefault="006F28A5" w:rsidP="006F28A5">
      <w:pPr>
        <w:pStyle w:val="LV2"/>
      </w:pPr>
      <w:r w:rsidRPr="006F28A5">
        <w:lastRenderedPageBreak/>
        <w:t xml:space="preserve">taking anticoagulants, antiplatelet agents, or nonsteroidal anti-inflammatory drugs within the 30 days before </w:t>
      </w:r>
      <w:r w:rsidRPr="006F28A5">
        <w:rPr>
          <w:lang w:val="en-US"/>
        </w:rPr>
        <w:t>hemorrhoidal bleeding</w:t>
      </w:r>
      <w:r w:rsidR="00083867">
        <w:rPr>
          <w:lang w:val="en-US"/>
        </w:rPr>
        <w:t xml:space="preserve"> for clinical </w:t>
      </w:r>
      <w:proofErr w:type="gramStart"/>
      <w:r w:rsidR="00083867">
        <w:rPr>
          <w:lang w:val="en-US"/>
        </w:rPr>
        <w:t>worsening</w:t>
      </w:r>
      <w:r w:rsidRPr="006F28A5">
        <w:rPr>
          <w:lang w:val="en-US"/>
        </w:rPr>
        <w:t>;</w:t>
      </w:r>
      <w:proofErr w:type="gramEnd"/>
    </w:p>
    <w:p w14:paraId="2504573D" w14:textId="537AD229" w:rsidR="006F28A5" w:rsidRDefault="006F28A5" w:rsidP="006F28A5">
      <w:pPr>
        <w:pStyle w:val="NOTE"/>
      </w:pPr>
      <w:r w:rsidRPr="006F28A5">
        <w:t>Note</w:t>
      </w:r>
      <w:r w:rsidRPr="006F28A5">
        <w:rPr>
          <w:b/>
          <w:bCs/>
          <w:i/>
          <w:iCs/>
        </w:rPr>
        <w:t xml:space="preserve">: </w:t>
      </w:r>
      <w:r w:rsidRPr="00ED666B">
        <w:rPr>
          <w:b/>
          <w:bCs/>
          <w:i/>
          <w:iCs/>
        </w:rPr>
        <w:t>anticoagulants</w:t>
      </w:r>
      <w:r w:rsidRPr="006F28A5">
        <w:rPr>
          <w:b/>
          <w:bCs/>
          <w:i/>
          <w:iCs/>
        </w:rPr>
        <w:t>, antiplatelet agents</w:t>
      </w:r>
      <w:r w:rsidRPr="006F28A5">
        <w:t xml:space="preserve"> are defined in the Schedule 1 </w:t>
      </w:r>
      <w:r>
        <w:t>–</w:t>
      </w:r>
      <w:r w:rsidRPr="006F28A5">
        <w:t xml:space="preserve"> Dictionary</w:t>
      </w:r>
      <w:r>
        <w:t>.</w:t>
      </w:r>
    </w:p>
    <w:p w14:paraId="4427A084" w14:textId="2C268F35" w:rsidR="007C7DEE" w:rsidRPr="008D1B8B" w:rsidRDefault="007C7DEE" w:rsidP="006F28A5">
      <w:pPr>
        <w:pStyle w:val="LV2"/>
      </w:pPr>
      <w:r w:rsidRPr="008D1B8B">
        <w:t>inability to obtain appropriate clinical management for</w:t>
      </w:r>
      <w:bookmarkEnd w:id="23"/>
      <w:r w:rsidR="007A3989">
        <w:t xml:space="preserve"> </w:t>
      </w:r>
      <w:r w:rsidR="00701B9C">
        <w:t>haemorrhoids</w:t>
      </w:r>
      <w:r w:rsidR="001C6A0D">
        <w:t xml:space="preserve"> before clinical worsening</w:t>
      </w:r>
      <w:r w:rsidR="00D5620B" w:rsidRPr="008D1B8B">
        <w:t>.</w:t>
      </w:r>
      <w:bookmarkEnd w:id="24"/>
    </w:p>
    <w:p w14:paraId="3F45AFE2" w14:textId="77777777" w:rsidR="000C21A3" w:rsidRPr="00684C0E" w:rsidRDefault="00D32F71" w:rsidP="00C96667">
      <w:pPr>
        <w:pStyle w:val="LV1"/>
      </w:pPr>
      <w:bookmarkStart w:id="26" w:name="_Toc522787309"/>
      <w:bookmarkStart w:id="27" w:name="_Ref402530057"/>
      <w:r>
        <w:t>Relationship to s</w:t>
      </w:r>
      <w:r w:rsidR="000C21A3" w:rsidRPr="00684C0E">
        <w:t>ervice</w:t>
      </w:r>
      <w:bookmarkEnd w:id="26"/>
    </w:p>
    <w:p w14:paraId="6F795953" w14:textId="77777777" w:rsidR="00F03C06" w:rsidRPr="00187DE1" w:rsidRDefault="00F03C06" w:rsidP="006F28A5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7"/>
    <w:p w14:paraId="1D64B865" w14:textId="3660DB7A" w:rsidR="00CF2367" w:rsidRPr="00187DE1" w:rsidRDefault="00F03C06" w:rsidP="006F28A5">
      <w:pPr>
        <w:pStyle w:val="LV2"/>
      </w:pPr>
      <w:r w:rsidRPr="00187DE1">
        <w:t xml:space="preserve">The </w:t>
      </w:r>
      <w:r w:rsidR="005407B8">
        <w:t xml:space="preserve">clinical worsening aspect of </w:t>
      </w:r>
      <w:r w:rsidR="002A04B0" w:rsidRPr="00187DE1">
        <w:t>factor</w:t>
      </w:r>
      <w:r w:rsidR="002A04B0">
        <w:t>s</w:t>
      </w:r>
      <w:r w:rsidR="002A04B0" w:rsidRPr="00187DE1">
        <w:t xml:space="preserve"> set out in </w:t>
      </w:r>
      <w:r w:rsidR="002A04B0">
        <w:t xml:space="preserve">section 9 </w:t>
      </w:r>
      <w:r w:rsidR="002A04B0" w:rsidRPr="00187DE1">
        <w:t>appl</w:t>
      </w:r>
      <w:r w:rsidR="002A04B0">
        <w:t>y</w:t>
      </w:r>
      <w:r w:rsidR="002A04B0" w:rsidRPr="00187DE1">
        <w:t xml:space="preserve"> only to material contribution to, or</w:t>
      </w:r>
      <w:r w:rsidRPr="00187DE1">
        <w:t xml:space="preserve"> aggravation of, </w:t>
      </w:r>
      <w:r w:rsidR="00701B9C">
        <w:t>haemorrhoids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701B9C">
        <w:t>haemorrhoids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14:paraId="3C02BC41" w14:textId="77777777" w:rsidR="00774897" w:rsidRPr="00301C54" w:rsidRDefault="00774897" w:rsidP="00C96667">
      <w:pPr>
        <w:pStyle w:val="LV1"/>
      </w:pPr>
      <w:bookmarkStart w:id="28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8"/>
    </w:p>
    <w:p w14:paraId="4FFCE0FB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334FCF15" w14:textId="77777777" w:rsidR="00F03C06" w:rsidRPr="00E64EE4" w:rsidRDefault="00F03C06" w:rsidP="006F28A5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17C82090" w14:textId="77777777" w:rsidR="00733269" w:rsidRPr="00E64EE4" w:rsidRDefault="00F03C06" w:rsidP="006F28A5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</w:t>
      </w:r>
      <w:proofErr w:type="gramStart"/>
      <w:r w:rsidRPr="00E64EE4">
        <w:t>B(</w:t>
      </w:r>
      <w:proofErr w:type="gramEnd"/>
      <w:r w:rsidRPr="00E64EE4">
        <w:t xml:space="preserve">3)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7395F62C" w14:textId="77777777"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5B11E939" w14:textId="77777777" w:rsidR="00782F4E" w:rsidRPr="00E64EE4" w:rsidRDefault="00782F4E" w:rsidP="00DF65CF">
      <w:pPr>
        <w:pStyle w:val="PlainIndent"/>
      </w:pPr>
    </w:p>
    <w:p w14:paraId="592D17A2" w14:textId="77777777"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Default="00F03C06" w:rsidP="00DF65CF">
      <w:pPr>
        <w:pStyle w:val="PlainIndent"/>
      </w:pPr>
    </w:p>
    <w:p w14:paraId="71672B3D" w14:textId="77777777" w:rsidR="00CF2367" w:rsidRPr="00FA33FB" w:rsidRDefault="00CF2367" w:rsidP="002A3436">
      <w:pPr>
        <w:pStyle w:val="SHHeader"/>
      </w:pPr>
      <w:bookmarkStart w:id="29" w:name="opcAmSched"/>
      <w:bookmarkStart w:id="30" w:name="opcCurrentFind"/>
      <w:bookmarkStart w:id="31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9"/>
      <w:bookmarkEnd w:id="30"/>
      <w:bookmarkEnd w:id="31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DF2B175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028E975F" w14:textId="77777777" w:rsidR="00BD3334" w:rsidRDefault="00702C42" w:rsidP="00516768">
      <w:pPr>
        <w:pStyle w:val="SH1"/>
      </w:pPr>
      <w:bookmarkStart w:id="32" w:name="_Toc405472918"/>
      <w:bookmarkStart w:id="33" w:name="_Toc522787312"/>
      <w:r w:rsidRPr="00D97BB3">
        <w:t>Definitions</w:t>
      </w:r>
      <w:bookmarkEnd w:id="32"/>
      <w:bookmarkEnd w:id="33"/>
    </w:p>
    <w:p w14:paraId="3351BE07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12949742" w14:textId="77777777" w:rsidR="006F28A5" w:rsidRPr="006F28A5" w:rsidRDefault="006F28A5" w:rsidP="006F28A5">
      <w:pPr>
        <w:pStyle w:val="SH3"/>
        <w:ind w:left="851" w:hanging="851"/>
      </w:pPr>
      <w:bookmarkStart w:id="34" w:name="_Ref402530810"/>
      <w:r w:rsidRPr="006F28A5">
        <w:rPr>
          <w:b/>
          <w:i/>
        </w:rPr>
        <w:t xml:space="preserve">anticoagulants </w:t>
      </w:r>
      <w:proofErr w:type="gramStart"/>
      <w:r w:rsidRPr="006F28A5">
        <w:t>means</w:t>
      </w:r>
      <w:proofErr w:type="gramEnd"/>
      <w:r w:rsidRPr="006F28A5">
        <w:t xml:space="preserve"> pharmacological agents which suppress, delay or attenuate blood coagulation, including heparin, warfarin, dicumarol, dabigatran, apixaban, and rivaroxaban.</w:t>
      </w:r>
    </w:p>
    <w:p w14:paraId="2542E695" w14:textId="66540509" w:rsidR="006F28A5" w:rsidRPr="006F28A5" w:rsidRDefault="006F28A5" w:rsidP="006F28A5">
      <w:pPr>
        <w:pStyle w:val="SH3"/>
        <w:ind w:left="851" w:hanging="851"/>
      </w:pPr>
      <w:r w:rsidRPr="006F28A5">
        <w:rPr>
          <w:b/>
          <w:i/>
        </w:rPr>
        <w:t>antiplatelet agents</w:t>
      </w:r>
      <w:r w:rsidRPr="006F28A5">
        <w:t xml:space="preserve"> </w:t>
      </w:r>
      <w:proofErr w:type="gramStart"/>
      <w:r w:rsidRPr="006F28A5">
        <w:t>means</w:t>
      </w:r>
      <w:proofErr w:type="gramEnd"/>
      <w:r w:rsidRPr="006F28A5">
        <w:t xml:space="preserve"> pharmacological agents that block platelet adhesion or aggregation, including aspirin, clopidogrel, dipyridamole, monoclonal antibodies and peptides.</w:t>
      </w:r>
    </w:p>
    <w:p w14:paraId="519C70DB" w14:textId="707C7457" w:rsidR="006F28A5" w:rsidRDefault="006F28A5" w:rsidP="00984EE9">
      <w:pPr>
        <w:pStyle w:val="SH3"/>
        <w:ind w:left="851" w:hanging="851"/>
      </w:pPr>
      <w:r w:rsidRPr="001C696F">
        <w:rPr>
          <w:b/>
          <w:i/>
        </w:rPr>
        <w:t>fibre in food</w:t>
      </w:r>
      <w:r w:rsidRPr="001C696F">
        <w:t xml:space="preserve"> means complex carbohydrates of plant origin</w:t>
      </w:r>
      <w:r>
        <w:t xml:space="preserve"> </w:t>
      </w:r>
      <w:r w:rsidRPr="001C696F">
        <w:t>consumed as vegetables, fruits or cereals which resist</w:t>
      </w:r>
      <w:r>
        <w:t xml:space="preserve"> </w:t>
      </w:r>
      <w:r w:rsidRPr="001C696F">
        <w:t xml:space="preserve">digestion by gastrointestinal enzymes in the gastrointestinal </w:t>
      </w:r>
      <w:proofErr w:type="gramStart"/>
      <w:r w:rsidRPr="001C696F">
        <w:t>tract, and</w:t>
      </w:r>
      <w:proofErr w:type="gramEnd"/>
      <w:r w:rsidRPr="001C696F">
        <w:t xml:space="preserve"> include plant cell walls and non-starch polysaccharides from sources other than cell walls, including cellulose and </w:t>
      </w:r>
      <w:proofErr w:type="spellStart"/>
      <w:r w:rsidRPr="001C696F">
        <w:t>pectins</w:t>
      </w:r>
      <w:proofErr w:type="spellEnd"/>
      <w:r w:rsidRPr="001C696F">
        <w:t>.</w:t>
      </w:r>
    </w:p>
    <w:p w14:paraId="3F99638B" w14:textId="589F8727" w:rsidR="005665D2" w:rsidRDefault="005665D2" w:rsidP="005665D2">
      <w:pPr>
        <w:pStyle w:val="SH3"/>
        <w:ind w:left="851"/>
      </w:pPr>
      <w:r>
        <w:rPr>
          <w:b/>
          <w:i/>
        </w:rPr>
        <w:t>haemorrhoids</w:t>
      </w:r>
      <w:r w:rsidRPr="00513D05">
        <w:t>—see subsection</w:t>
      </w:r>
      <w:r>
        <w:t xml:space="preserve"> 7(2).</w:t>
      </w:r>
    </w:p>
    <w:p w14:paraId="61F3D3F5" w14:textId="0FAF42A5"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4"/>
    <w:p w14:paraId="62173E6F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14:paraId="30C31FC3" w14:textId="77777777" w:rsidR="00885EAB" w:rsidRPr="00365E25" w:rsidRDefault="00C77046" w:rsidP="00984EE9">
      <w:pPr>
        <w:pStyle w:val="SH4"/>
        <w:ind w:left="1418"/>
      </w:pPr>
      <w:bookmarkStart w:id="35" w:name="_Ref402529607"/>
      <w:r>
        <w:t xml:space="preserve">eligible war service (other than operational </w:t>
      </w:r>
      <w:r w:rsidR="00885EAB" w:rsidRPr="00365E25">
        <w:t>service</w:t>
      </w:r>
      <w:r>
        <w:t xml:space="preserve">) under the </w:t>
      </w:r>
      <w:proofErr w:type="gramStart"/>
      <w:r>
        <w:t>VEA;</w:t>
      </w:r>
      <w:proofErr w:type="gramEnd"/>
    </w:p>
    <w:p w14:paraId="48A643D9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2D85A4AA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7B0AD683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74424548" w14:textId="5EC8FF2F" w:rsidR="006F28A5" w:rsidRPr="00513D05" w:rsidRDefault="006F28A5" w:rsidP="000D4972">
      <w:pPr>
        <w:pStyle w:val="SH3"/>
        <w:ind w:left="851"/>
      </w:pPr>
      <w:proofErr w:type="gramStart"/>
      <w:r w:rsidRPr="00841AB4">
        <w:rPr>
          <w:b/>
          <w:bCs/>
          <w:i/>
          <w:iCs/>
          <w:lang w:val="en-US"/>
        </w:rPr>
        <w:t>spinal</w:t>
      </w:r>
      <w:proofErr w:type="gramEnd"/>
      <w:r w:rsidRPr="00841AB4">
        <w:rPr>
          <w:b/>
          <w:bCs/>
          <w:i/>
          <w:iCs/>
          <w:lang w:val="en-US"/>
        </w:rPr>
        <w:t xml:space="preserve"> cord injury</w:t>
      </w:r>
      <w:r w:rsidRPr="00841AB4">
        <w:rPr>
          <w:i/>
          <w:iCs/>
          <w:lang w:val="en-US"/>
        </w:rPr>
        <w:t xml:space="preserve"> </w:t>
      </w:r>
      <w:r w:rsidRPr="00841AB4">
        <w:rPr>
          <w:lang w:val="en-US"/>
        </w:rPr>
        <w:t>means a partial or complete spinal cord injury causing motor and/or sensory deficits below the level of the lesion</w:t>
      </w:r>
      <w:r w:rsidR="00B54D06">
        <w:rPr>
          <w:lang w:val="en-US"/>
        </w:rPr>
        <w:t>.</w:t>
      </w:r>
    </w:p>
    <w:p w14:paraId="0FD10A16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5"/>
      <w:r w:rsidR="00513D05" w:rsidRPr="009C404D">
        <w:t xml:space="preserve"> </w:t>
      </w:r>
      <w:r w:rsidR="00885EAB" w:rsidRPr="009C404D">
        <w:t>the following:</w:t>
      </w:r>
    </w:p>
    <w:p w14:paraId="617C9B19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456F543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170BC364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395381B6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53A3E74D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51ED5A0D" w14:textId="77777777"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42C7F932" w:rsidR="00681215" w:rsidRDefault="005407B8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proofErr w:type="spellStart"/>
          <w:r>
            <w:rPr>
              <w:bCs/>
              <w:i/>
              <w:sz w:val="18"/>
              <w:szCs w:val="18"/>
              <w:lang w:val="en-US"/>
            </w:rPr>
            <w:t>h</w:t>
          </w:r>
          <w:r w:rsidR="00701B9C">
            <w:rPr>
              <w:bCs/>
              <w:i/>
              <w:sz w:val="18"/>
              <w:szCs w:val="18"/>
              <w:lang w:val="en-US"/>
            </w:rPr>
            <w:t>aemorrhoids</w:t>
          </w:r>
          <w:proofErr w:type="spellEnd"/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8A2835">
            <w:rPr>
              <w:i/>
              <w:sz w:val="18"/>
              <w:szCs w:val="18"/>
            </w:rPr>
            <w:t>20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</w:t>
          </w:r>
          <w:r w:rsidR="008A2835">
            <w:rPr>
              <w:i/>
              <w:sz w:val="18"/>
              <w:szCs w:val="18"/>
            </w:rPr>
            <w:t>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4D661626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06C9974" w14:textId="2AE84F65" w:rsidR="00681215" w:rsidRDefault="006F28A5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proofErr w:type="spellStart"/>
          <w:r>
            <w:rPr>
              <w:bCs/>
              <w:i/>
              <w:sz w:val="18"/>
              <w:szCs w:val="18"/>
              <w:lang w:val="en-US"/>
            </w:rPr>
            <w:t>h</w:t>
          </w:r>
          <w:r w:rsidR="00701B9C">
            <w:rPr>
              <w:bCs/>
              <w:i/>
              <w:sz w:val="18"/>
              <w:szCs w:val="18"/>
              <w:lang w:val="en-US"/>
            </w:rPr>
            <w:t>aemorrhoids</w:t>
          </w:r>
          <w:proofErr w:type="spellEnd"/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8A2835">
            <w:rPr>
              <w:i/>
              <w:sz w:val="18"/>
              <w:szCs w:val="18"/>
            </w:rPr>
            <w:t>20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</w:t>
          </w:r>
          <w:r w:rsidR="008A2835">
            <w:rPr>
              <w:i/>
              <w:sz w:val="18"/>
              <w:szCs w:val="18"/>
            </w:rPr>
            <w:t>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B85290EA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34EF5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7"/>
  </w:num>
  <w:num w:numId="22" w16cid:durableId="861939741">
    <w:abstractNumId w:val="12"/>
  </w:num>
  <w:num w:numId="23" w16cid:durableId="1924755300">
    <w:abstractNumId w:val="16"/>
  </w:num>
  <w:num w:numId="24" w16cid:durableId="379594336">
    <w:abstractNumId w:val="18"/>
  </w:num>
  <w:num w:numId="25" w16cid:durableId="185098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17509"/>
    <w:rsid w:val="00024911"/>
    <w:rsid w:val="00032E05"/>
    <w:rsid w:val="000340DC"/>
    <w:rsid w:val="000437C1"/>
    <w:rsid w:val="00045191"/>
    <w:rsid w:val="00046E67"/>
    <w:rsid w:val="0005177B"/>
    <w:rsid w:val="00051B75"/>
    <w:rsid w:val="0005365D"/>
    <w:rsid w:val="00054930"/>
    <w:rsid w:val="000614BF"/>
    <w:rsid w:val="00061E3E"/>
    <w:rsid w:val="00080915"/>
    <w:rsid w:val="00081B7C"/>
    <w:rsid w:val="00083867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22442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444B"/>
    <w:rsid w:val="002773D7"/>
    <w:rsid w:val="00281308"/>
    <w:rsid w:val="00281DF7"/>
    <w:rsid w:val="00284719"/>
    <w:rsid w:val="00297ECB"/>
    <w:rsid w:val="002A04B0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F4B"/>
    <w:rsid w:val="002E5382"/>
    <w:rsid w:val="002E7080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263"/>
    <w:rsid w:val="003A189F"/>
    <w:rsid w:val="003A2C91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26781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C6AE8"/>
    <w:rsid w:val="004C6D55"/>
    <w:rsid w:val="004C786F"/>
    <w:rsid w:val="004D10CF"/>
    <w:rsid w:val="004D4BCA"/>
    <w:rsid w:val="004E063A"/>
    <w:rsid w:val="004E4A0E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07B8"/>
    <w:rsid w:val="00545116"/>
    <w:rsid w:val="005574D1"/>
    <w:rsid w:val="005665D2"/>
    <w:rsid w:val="00571FBB"/>
    <w:rsid w:val="00574573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04EA1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2E92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8A5"/>
    <w:rsid w:val="006F2D64"/>
    <w:rsid w:val="006F318F"/>
    <w:rsid w:val="006F4226"/>
    <w:rsid w:val="006F513D"/>
    <w:rsid w:val="0070017E"/>
    <w:rsid w:val="007005C0"/>
    <w:rsid w:val="00700B2C"/>
    <w:rsid w:val="00701B9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5EB0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44C9E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97816"/>
    <w:rsid w:val="008A2835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61860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0A79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2B8A"/>
    <w:rsid w:val="00B54D06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117D0"/>
    <w:rsid w:val="00D13441"/>
    <w:rsid w:val="00D150E7"/>
    <w:rsid w:val="00D32F65"/>
    <w:rsid w:val="00D32F71"/>
    <w:rsid w:val="00D3607D"/>
    <w:rsid w:val="00D36AE4"/>
    <w:rsid w:val="00D377E3"/>
    <w:rsid w:val="00D401F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63F0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3D39"/>
    <w:rsid w:val="00DC4F88"/>
    <w:rsid w:val="00DD0396"/>
    <w:rsid w:val="00DD2B43"/>
    <w:rsid w:val="00DD31AB"/>
    <w:rsid w:val="00DE59B7"/>
    <w:rsid w:val="00DE624E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D666B"/>
    <w:rsid w:val="00EF2E3A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2B81C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6F28A5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  <w:style w:type="paragraph" w:styleId="Revision">
    <w:name w:val="Revision"/>
    <w:hidden/>
    <w:uiPriority w:val="99"/>
    <w:semiHidden/>
    <w:rsid w:val="00B54D0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1153</Words>
  <Characters>6577</Characters>
  <Application>Microsoft Office Word</Application>
  <DocSecurity>0</DocSecurity>
  <PresentationFormat/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2025-09-23T03:38:00Z</dcterms:created>
  <dcterms:modified xsi:type="dcterms:W3CDTF">2026-02-12T23:58:00Z</dcterms:modified>
  <cp:category/>
  <cp:contentStatus/>
  <dc:language/>
  <cp:version/>
</cp:coreProperties>
</file>