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16622A60" w:rsidR="00054930" w:rsidRDefault="00C904BB" w:rsidP="006647B7">
      <w:pPr>
        <w:pStyle w:val="Plainheader"/>
      </w:pPr>
      <w:r>
        <w:t>MALIGNANT NEOPLASM OF THE BRAIN</w:t>
      </w:r>
      <w:r w:rsidR="00997416">
        <w:br/>
        <w:t>(</w:t>
      </w:r>
      <w:r w:rsidR="005E589B">
        <w:t>Reasonable Hypothesis</w:t>
      </w:r>
      <w:r w:rsidR="00997416">
        <w:t xml:space="preserve">) </w:t>
      </w:r>
    </w:p>
    <w:p w14:paraId="7253A03F" w14:textId="18B45A36" w:rsidR="00715914" w:rsidRPr="00024911" w:rsidRDefault="00E55F66" w:rsidP="006647B7">
      <w:pPr>
        <w:pStyle w:val="Plainheader"/>
      </w:pPr>
      <w:r w:rsidRPr="00024911">
        <w:t xml:space="preserve">(No. </w:t>
      </w:r>
      <w:r w:rsidR="00BD54EB">
        <w:t>17</w:t>
      </w:r>
      <w:r w:rsidRPr="00024911">
        <w:t xml:space="preserve"> of</w:t>
      </w:r>
      <w:r w:rsidR="00085567">
        <w:t xml:space="preserve"> </w:t>
      </w:r>
      <w:bookmarkStart w:id="0" w:name="year"/>
      <w:r w:rsidR="009B4DFF">
        <w:t>202</w:t>
      </w:r>
      <w:bookmarkEnd w:id="0"/>
      <w:r w:rsidR="00BD54EB">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3A828505"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BD54EB">
        <w:rPr>
          <w:b w:val="0"/>
        </w:rPr>
        <w:t>20 February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78D030FA" w14:textId="77777777" w:rsidR="00A137F8" w:rsidRDefault="00715914" w:rsidP="003734C6">
      <w:pPr>
        <w:pStyle w:val="Header"/>
        <w:tabs>
          <w:tab w:val="clear" w:pos="4150"/>
          <w:tab w:val="clear" w:pos="8307"/>
        </w:tabs>
        <w:rPr>
          <w:rStyle w:val="CharChapText"/>
        </w:rPr>
      </w:pPr>
      <w:r w:rsidRPr="00FA33FB">
        <w:rPr>
          <w:rStyle w:val="CharChapNo"/>
        </w:rPr>
        <w:lastRenderedPageBreak/>
        <w:t xml:space="preserve"> </w:t>
      </w:r>
      <w:r w:rsidRPr="00FA33FB">
        <w:rPr>
          <w:rStyle w:val="CharChapText"/>
        </w:rPr>
        <w:t xml:space="preserve"> </w:t>
      </w:r>
      <w:r w:rsidR="003734C6">
        <w:rPr>
          <w:rStyle w:val="CharChapText"/>
        </w:rPr>
        <w:br w:type="page"/>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59BEB9D1" w14:textId="264370D6"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DC6E29">
        <w:rPr>
          <w:noProof/>
        </w:rPr>
        <w:t>4</w:t>
      </w:r>
      <w:r w:rsidR="005962C4">
        <w:rPr>
          <w:noProof/>
        </w:rPr>
        <w:fldChar w:fldCharType="end"/>
      </w:r>
    </w:p>
    <w:p w14:paraId="04EB7C91" w14:textId="08F3E093"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DC6E29">
        <w:rPr>
          <w:noProof/>
        </w:rPr>
        <w:t>4</w:t>
      </w:r>
      <w:r>
        <w:rPr>
          <w:noProof/>
        </w:rPr>
        <w:fldChar w:fldCharType="end"/>
      </w:r>
    </w:p>
    <w:p w14:paraId="591680E5" w14:textId="50E72B0F"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DC6E29">
        <w:rPr>
          <w:noProof/>
        </w:rPr>
        <w:t>4</w:t>
      </w:r>
      <w:r>
        <w:rPr>
          <w:noProof/>
        </w:rPr>
        <w:fldChar w:fldCharType="end"/>
      </w:r>
    </w:p>
    <w:p w14:paraId="4F5BB033" w14:textId="7275A175"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DC6E29">
        <w:rPr>
          <w:noProof/>
        </w:rPr>
        <w:t>4</w:t>
      </w:r>
      <w:r>
        <w:rPr>
          <w:noProof/>
        </w:rPr>
        <w:fldChar w:fldCharType="end"/>
      </w:r>
    </w:p>
    <w:p w14:paraId="0B837AA8" w14:textId="512973C6"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DC6E29">
        <w:rPr>
          <w:noProof/>
        </w:rPr>
        <w:t>4</w:t>
      </w:r>
      <w:r>
        <w:rPr>
          <w:noProof/>
        </w:rPr>
        <w:fldChar w:fldCharType="end"/>
      </w:r>
    </w:p>
    <w:p w14:paraId="4E05489C" w14:textId="6D78E8F2"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DC6E29">
        <w:rPr>
          <w:noProof/>
        </w:rPr>
        <w:t>4</w:t>
      </w:r>
      <w:r>
        <w:rPr>
          <w:noProof/>
        </w:rPr>
        <w:fldChar w:fldCharType="end"/>
      </w:r>
    </w:p>
    <w:p w14:paraId="3BBF70BF" w14:textId="1A7915C1"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DC6E29">
        <w:rPr>
          <w:noProof/>
        </w:rPr>
        <w:t>4</w:t>
      </w:r>
      <w:r>
        <w:rPr>
          <w:noProof/>
        </w:rPr>
        <w:fldChar w:fldCharType="end"/>
      </w:r>
    </w:p>
    <w:p w14:paraId="3A5534B1" w14:textId="02F829CB"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DC6E29">
        <w:rPr>
          <w:noProof/>
        </w:rPr>
        <w:t>5</w:t>
      </w:r>
      <w:r>
        <w:rPr>
          <w:noProof/>
        </w:rPr>
        <w:fldChar w:fldCharType="end"/>
      </w:r>
    </w:p>
    <w:p w14:paraId="71D333F4" w14:textId="0354266D"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DC6E29">
        <w:rPr>
          <w:noProof/>
        </w:rPr>
        <w:t>5</w:t>
      </w:r>
      <w:r>
        <w:rPr>
          <w:noProof/>
        </w:rPr>
        <w:fldChar w:fldCharType="end"/>
      </w:r>
    </w:p>
    <w:p w14:paraId="4E7D06AF" w14:textId="5CE314A4"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DC6E29">
        <w:rPr>
          <w:noProof/>
        </w:rPr>
        <w:t>6</w:t>
      </w:r>
      <w:r>
        <w:rPr>
          <w:noProof/>
        </w:rPr>
        <w:fldChar w:fldCharType="end"/>
      </w:r>
    </w:p>
    <w:p w14:paraId="2D7648E8" w14:textId="07CF5214"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DC6E29">
        <w:rPr>
          <w:noProof/>
        </w:rPr>
        <w:t>6</w:t>
      </w:r>
      <w:r>
        <w:rPr>
          <w:noProof/>
        </w:rPr>
        <w:fldChar w:fldCharType="end"/>
      </w:r>
    </w:p>
    <w:p w14:paraId="2DD7C440" w14:textId="24804C5A"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DC6E29">
        <w:rPr>
          <w:noProof/>
        </w:rPr>
        <w:t>7</w:t>
      </w:r>
      <w:r>
        <w:rPr>
          <w:noProof/>
        </w:rPr>
        <w:fldChar w:fldCharType="end"/>
      </w:r>
    </w:p>
    <w:p w14:paraId="4990882B" w14:textId="6DD32B88"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DC6E29">
        <w:rPr>
          <w:noProof/>
        </w:rPr>
        <w:t>7</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E353DF">
      <w:pPr>
        <w:pStyle w:val="LV1"/>
        <w:jc w:val="both"/>
      </w:pPr>
      <w:bookmarkStart w:id="2" w:name="_Toc512513134"/>
      <w:r>
        <w:lastRenderedPageBreak/>
        <w:t>Name</w:t>
      </w:r>
      <w:bookmarkEnd w:id="2"/>
    </w:p>
    <w:p w14:paraId="13F2CD7D" w14:textId="2C6F863C" w:rsidR="00237471" w:rsidRPr="00F97A62" w:rsidRDefault="00715914" w:rsidP="00E353DF">
      <w:pPr>
        <w:pStyle w:val="PlainIndent"/>
        <w:jc w:val="both"/>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C904BB">
        <w:rPr>
          <w:i/>
        </w:rPr>
        <w:t>malignant neoplasm of the brain</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BD54EB">
        <w:t>17</w:t>
      </w:r>
      <w:r w:rsidR="00085567">
        <w:t xml:space="preserve"> </w:t>
      </w:r>
      <w:r w:rsidR="00E55F66" w:rsidRPr="00F97A62">
        <w:t>of</w:t>
      </w:r>
      <w:r w:rsidR="00085567">
        <w:t xml:space="preserve"> </w:t>
      </w:r>
      <w:r w:rsidR="00C904BB">
        <w:t>202</w:t>
      </w:r>
      <w:r w:rsidR="00BD54EB">
        <w:t>6</w:t>
      </w:r>
      <w:r w:rsidR="00E55F66" w:rsidRPr="00F97A62">
        <w:t>)</w:t>
      </w:r>
      <w:r w:rsidRPr="00F97A62">
        <w:t>.</w:t>
      </w:r>
    </w:p>
    <w:p w14:paraId="64C1FBBD" w14:textId="77777777" w:rsidR="00F67B67" w:rsidRPr="00684C0E" w:rsidRDefault="00F67B67" w:rsidP="00E353DF">
      <w:pPr>
        <w:pStyle w:val="LV1"/>
        <w:jc w:val="both"/>
      </w:pPr>
      <w:bookmarkStart w:id="4" w:name="_Toc512513135"/>
      <w:r w:rsidRPr="00684C0E">
        <w:t>Commencement</w:t>
      </w:r>
      <w:bookmarkEnd w:id="4"/>
    </w:p>
    <w:p w14:paraId="00E37EDF" w14:textId="41452254" w:rsidR="00F67B67" w:rsidRPr="007527C1" w:rsidRDefault="007527C1" w:rsidP="00E353DF">
      <w:pPr>
        <w:pStyle w:val="PlainIndent"/>
        <w:jc w:val="both"/>
      </w:pPr>
      <w:r w:rsidRPr="007527C1">
        <w:tab/>
      </w:r>
      <w:r w:rsidR="00F67B67" w:rsidRPr="007527C1">
        <w:t xml:space="preserve">This instrument commences on </w:t>
      </w:r>
      <w:r w:rsidR="00BD54EB">
        <w:rPr>
          <w:b/>
        </w:rPr>
        <w:t>23 March 2026.</w:t>
      </w:r>
    </w:p>
    <w:p w14:paraId="3286D222" w14:textId="77777777" w:rsidR="00F67B67" w:rsidRPr="00684C0E" w:rsidRDefault="00F67B67" w:rsidP="00E353DF">
      <w:pPr>
        <w:pStyle w:val="LV1"/>
        <w:jc w:val="both"/>
      </w:pPr>
      <w:bookmarkStart w:id="5" w:name="_Toc512513136"/>
      <w:r w:rsidRPr="00684C0E">
        <w:t>Authority</w:t>
      </w:r>
      <w:bookmarkEnd w:id="5"/>
    </w:p>
    <w:p w14:paraId="793820C4" w14:textId="77777777" w:rsidR="00F67B67" w:rsidRDefault="00F67B67" w:rsidP="00E353DF">
      <w:pPr>
        <w:pStyle w:val="PlainIndent"/>
        <w:jc w:val="both"/>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E353DF">
      <w:pPr>
        <w:pStyle w:val="LV1"/>
        <w:jc w:val="both"/>
      </w:pPr>
      <w:bookmarkStart w:id="6" w:name="_Toc512513137"/>
      <w:r>
        <w:t>Re</w:t>
      </w:r>
      <w:r w:rsidR="005962C4">
        <w:t>peal</w:t>
      </w:r>
      <w:bookmarkEnd w:id="6"/>
    </w:p>
    <w:p w14:paraId="3E08D48D" w14:textId="690B3F1D" w:rsidR="00DA3996" w:rsidRPr="007527C1" w:rsidRDefault="00DA3996" w:rsidP="00E353DF">
      <w:pPr>
        <w:pStyle w:val="PlainIndent"/>
        <w:jc w:val="both"/>
      </w:pPr>
      <w:r>
        <w:t>The</w:t>
      </w:r>
      <w:r w:rsidRPr="007527C1">
        <w:t xml:space="preserve"> </w:t>
      </w:r>
      <w:r w:rsidRPr="00DA3996">
        <w:t xml:space="preserve">Statement of Principles concerning </w:t>
      </w:r>
      <w:r w:rsidR="00B76F06">
        <w:rPr>
          <w:lang w:val="en-US"/>
        </w:rPr>
        <w:t>m</w:t>
      </w:r>
      <w:r w:rsidR="00B76F06" w:rsidRPr="00B76F06">
        <w:rPr>
          <w:lang w:val="en-US"/>
        </w:rPr>
        <w:t>alignant neoplasm of the brain</w:t>
      </w:r>
      <w:proofErr w:type="gramStart"/>
      <w:r w:rsidR="00B76F06" w:rsidRPr="00B76F06">
        <w:rPr>
          <w:lang w:val="en-US"/>
        </w:rPr>
        <w:t xml:space="preserve">  </w:t>
      </w:r>
      <w:r w:rsidR="000B7B90" w:rsidRPr="00B76F06">
        <w:t xml:space="preserve"> </w:t>
      </w:r>
      <w:r w:rsidR="000774E6" w:rsidRPr="000774E6">
        <w:rPr>
          <w:iCs/>
        </w:rPr>
        <w:t>(</w:t>
      </w:r>
      <w:proofErr w:type="gramEnd"/>
      <w:r w:rsidR="000774E6" w:rsidRPr="000774E6">
        <w:rPr>
          <w:iCs/>
        </w:rPr>
        <w:t>Reasonable Hypothesis) (</w:t>
      </w:r>
      <w:r w:rsidR="000774E6">
        <w:t xml:space="preserve">No. </w:t>
      </w:r>
      <w:r w:rsidR="008C2404">
        <w:t>85</w:t>
      </w:r>
      <w:r w:rsidR="000774E6">
        <w:t xml:space="preserve"> of 20</w:t>
      </w:r>
      <w:r w:rsidR="008C2404">
        <w:t>16</w:t>
      </w:r>
      <w:r w:rsidR="000774E6">
        <w:t>)</w:t>
      </w:r>
      <w:r w:rsidR="005962C4">
        <w:t xml:space="preserve"> </w:t>
      </w:r>
      <w:r w:rsidR="005962C4" w:rsidRPr="00786DAE">
        <w:t>(Federal Re</w:t>
      </w:r>
      <w:r w:rsidR="000B7B90">
        <w:t xml:space="preserve">gister of Legislation No. </w:t>
      </w:r>
      <w:r w:rsidR="008C2404" w:rsidRPr="008C2404">
        <w:t>F2016L01692</w:t>
      </w:r>
      <w:r w:rsidR="005962C4" w:rsidRPr="00786DAE">
        <w:t xml:space="preserve">) </w:t>
      </w:r>
      <w:r w:rsidR="005962C4" w:rsidRPr="00DA3996">
        <w:t>made under subsection 196</w:t>
      </w:r>
      <w:proofErr w:type="gramStart"/>
      <w:r w:rsidR="005962C4" w:rsidRPr="00DA3996">
        <w:t>B(</w:t>
      </w:r>
      <w:proofErr w:type="gramEnd"/>
      <w:r w:rsidR="005962C4" w:rsidRPr="00DA3996">
        <w:t xml:space="preserve">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E353DF">
      <w:pPr>
        <w:pStyle w:val="LV1"/>
        <w:jc w:val="both"/>
      </w:pPr>
      <w:bookmarkStart w:id="7" w:name="_Toc512513138"/>
      <w:r w:rsidRPr="00684C0E">
        <w:t>Application</w:t>
      </w:r>
      <w:bookmarkEnd w:id="7"/>
    </w:p>
    <w:p w14:paraId="65896C97" w14:textId="77777777" w:rsidR="007C7DEE" w:rsidRPr="007527C1" w:rsidRDefault="007C7DEE" w:rsidP="00E353DF">
      <w:pPr>
        <w:pStyle w:val="PlainIndent"/>
        <w:jc w:val="both"/>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E353DF">
      <w:pPr>
        <w:pStyle w:val="LV1"/>
        <w:jc w:val="both"/>
      </w:pPr>
      <w:bookmarkStart w:id="8" w:name="_Ref410129949"/>
      <w:bookmarkStart w:id="9" w:name="_Toc512513139"/>
      <w:r w:rsidRPr="00684C0E">
        <w:t>Definitions</w:t>
      </w:r>
      <w:bookmarkEnd w:id="8"/>
      <w:bookmarkEnd w:id="9"/>
    </w:p>
    <w:p w14:paraId="7CF69A43" w14:textId="77777777" w:rsidR="00237471" w:rsidRPr="00D5620B" w:rsidRDefault="007142FB" w:rsidP="00E353DF">
      <w:pPr>
        <w:pStyle w:val="PlainIndent"/>
        <w:jc w:val="both"/>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E353DF">
      <w:pPr>
        <w:pStyle w:val="LV1"/>
        <w:jc w:val="both"/>
      </w:pPr>
      <w:bookmarkStart w:id="10" w:name="_Ref409687573"/>
      <w:bookmarkStart w:id="11" w:name="_Ref409687579"/>
      <w:bookmarkStart w:id="12" w:name="_Ref409687725"/>
      <w:bookmarkStart w:id="13" w:name="_Toc512513140"/>
      <w:r w:rsidRPr="00684C0E">
        <w:t>Kind of injury, disease or death</w:t>
      </w:r>
      <w:r w:rsidR="00215860" w:rsidRPr="00684C0E">
        <w:t xml:space="preserve"> to which this Statement of Principles relates</w:t>
      </w:r>
      <w:bookmarkEnd w:id="10"/>
      <w:bookmarkEnd w:id="11"/>
      <w:bookmarkEnd w:id="12"/>
      <w:bookmarkEnd w:id="13"/>
    </w:p>
    <w:p w14:paraId="72D9E065" w14:textId="05D7B851" w:rsidR="007C7DEE" w:rsidRPr="00D5620B" w:rsidRDefault="007C7DEE" w:rsidP="00E353DF">
      <w:pPr>
        <w:pStyle w:val="LV2"/>
      </w:pPr>
      <w:bookmarkStart w:id="14" w:name="_Ref403053584"/>
      <w:r w:rsidRPr="00B76F06">
        <w:t xml:space="preserve">This Statement of Principles is about </w:t>
      </w:r>
      <w:r w:rsidR="00B76F06" w:rsidRPr="00B76F06">
        <w:rPr>
          <w:lang w:val="en-US"/>
        </w:rPr>
        <w:t xml:space="preserve">malignant neoplasm of the brain  </w:t>
      </w:r>
      <w:r w:rsidR="00D5620B" w:rsidRPr="00B76F06">
        <w:t xml:space="preserve"> </w:t>
      </w:r>
      <w:r w:rsidRPr="00B76F06">
        <w:t>and death from</w:t>
      </w:r>
      <w:r w:rsidR="002F77A1" w:rsidRPr="00B76F06">
        <w:t xml:space="preserve"> </w:t>
      </w:r>
      <w:r w:rsidR="00B76F06" w:rsidRPr="00B76F06">
        <w:rPr>
          <w:lang w:val="en-US"/>
        </w:rPr>
        <w:t>malignant neoplasm of the brain</w:t>
      </w:r>
      <w:r w:rsidRPr="00D5620B">
        <w:t>.</w:t>
      </w:r>
      <w:bookmarkEnd w:id="14"/>
    </w:p>
    <w:p w14:paraId="2B8269CB" w14:textId="30DE64D7" w:rsidR="00215860" w:rsidRPr="005D42D9" w:rsidRDefault="00215860" w:rsidP="00E353DF">
      <w:pPr>
        <w:pStyle w:val="LVtext"/>
        <w:jc w:val="both"/>
        <w:rPr>
          <w:b/>
        </w:rPr>
      </w:pPr>
      <w:r w:rsidRPr="00C670B0">
        <w:t>Meaning of</w:t>
      </w:r>
      <w:r w:rsidR="00D60FC8" w:rsidRPr="00C670B0">
        <w:t xml:space="preserve"> </w:t>
      </w:r>
      <w:r w:rsidR="00B76F06" w:rsidRPr="005D42D9">
        <w:rPr>
          <w:b/>
          <w:lang w:val="en-US"/>
        </w:rPr>
        <w:t>malignant neoplasm of the brain</w:t>
      </w:r>
    </w:p>
    <w:p w14:paraId="45216830" w14:textId="5529AB06" w:rsidR="002716E4" w:rsidRPr="00237BAF" w:rsidRDefault="007C7DEE" w:rsidP="00E353DF">
      <w:pPr>
        <w:pStyle w:val="LV2"/>
      </w:pPr>
      <w:bookmarkStart w:id="15" w:name="_Ref409598124"/>
      <w:bookmarkStart w:id="16" w:name="_Ref402529683"/>
      <w:r w:rsidRPr="00237BAF">
        <w:t>For the purposes of this Statement of Principles,</w:t>
      </w:r>
      <w:r w:rsidR="002F77A1" w:rsidRPr="002F77A1">
        <w:t xml:space="preserve"> </w:t>
      </w:r>
      <w:r w:rsidR="00B76F06" w:rsidRPr="00B76F06">
        <w:rPr>
          <w:bCs/>
          <w:lang w:val="en-US"/>
        </w:rPr>
        <w:t>malignant neoplasm of the brain</w:t>
      </w:r>
      <w:r w:rsidR="00847DB7">
        <w:t xml:space="preserve"> means</w:t>
      </w:r>
      <w:r w:rsidR="002716E4" w:rsidRPr="00237BAF">
        <w:t>:</w:t>
      </w:r>
      <w:bookmarkEnd w:id="15"/>
    </w:p>
    <w:bookmarkEnd w:id="16"/>
    <w:p w14:paraId="37C0C293" w14:textId="77777777" w:rsidR="008C2404" w:rsidRPr="00B93841" w:rsidRDefault="008C2404" w:rsidP="00E353DF">
      <w:pPr>
        <w:pStyle w:val="LV3"/>
        <w:jc w:val="both"/>
        <w:rPr>
          <w:b/>
          <w:bCs/>
          <w:i/>
          <w:iCs/>
        </w:rPr>
      </w:pPr>
      <w:r w:rsidRPr="00B93841">
        <w:t>a primary malignant neoplasm arising from the cells of the brain; and</w:t>
      </w:r>
    </w:p>
    <w:p w14:paraId="78F559D1" w14:textId="7497CFBC" w:rsidR="008C2404" w:rsidRPr="00B93841" w:rsidRDefault="008C2404" w:rsidP="00E353DF">
      <w:pPr>
        <w:pStyle w:val="LV3"/>
        <w:jc w:val="both"/>
        <w:rPr>
          <w:b/>
          <w:bCs/>
          <w:i/>
          <w:iCs/>
        </w:rPr>
      </w:pPr>
      <w:r w:rsidRPr="00B93841">
        <w:t xml:space="preserve">includes malignant neuroepithelial tumour and germ cell tumour; and </w:t>
      </w:r>
    </w:p>
    <w:p w14:paraId="77838DA6" w14:textId="5F92386B" w:rsidR="008C2404" w:rsidRPr="00B93841" w:rsidRDefault="008C2404" w:rsidP="00E353DF">
      <w:pPr>
        <w:pStyle w:val="LV3"/>
        <w:jc w:val="both"/>
        <w:rPr>
          <w:b/>
          <w:bCs/>
          <w:i/>
          <w:iCs/>
        </w:rPr>
      </w:pPr>
      <w:r w:rsidRPr="00CB1F77">
        <w:t xml:space="preserve">excludes nerve sheath tumour, soft tissue sarcoma, any central nervous system lymphoma (Hodgkin's lymphoma or non-Hodgkin's lymphoma), carcinoid tumour, neoplasm of the pituitary gland, cerebral meningioma, acoustic neuroma, choroid plexus papilloma, craniopharyngioma, </w:t>
      </w:r>
      <w:proofErr w:type="spellStart"/>
      <w:r w:rsidRPr="00CB1F77">
        <w:t>dysembryoplastic</w:t>
      </w:r>
      <w:proofErr w:type="spellEnd"/>
      <w:r w:rsidRPr="00CB1F77">
        <w:t xml:space="preserve"> neuroepithelial tumour, gangliocytoma, hemangioblastoma, </w:t>
      </w:r>
      <w:r w:rsidRPr="00CB1F77">
        <w:lastRenderedPageBreak/>
        <w:t>hemangiopericytoma, meningioma, neurofibroma, pituitary adenoma, schwannoma, soft tissue sarcoma of the brain.</w:t>
      </w:r>
      <w:r w:rsidRPr="00B93841">
        <w:t xml:space="preserve"> </w:t>
      </w:r>
    </w:p>
    <w:p w14:paraId="2DA6D24E" w14:textId="299ADE82" w:rsidR="00253D7C" w:rsidRPr="008E76DC" w:rsidRDefault="008C2404" w:rsidP="00E353DF">
      <w:pPr>
        <w:pStyle w:val="NOTE"/>
        <w:jc w:val="both"/>
      </w:pPr>
      <w:r w:rsidRPr="00981BBF">
        <w:t xml:space="preserve">Note: </w:t>
      </w:r>
      <w:r w:rsidRPr="008C2404">
        <w:rPr>
          <w:b/>
          <w:bCs/>
          <w:i/>
          <w:iCs/>
        </w:rPr>
        <w:t>neuroepithelial tumour</w:t>
      </w:r>
      <w:r w:rsidRPr="00981BBF">
        <w:t xml:space="preserve"> is defined in the Schedule 1 </w:t>
      </w:r>
      <w:r>
        <w:t>–</w:t>
      </w:r>
      <w:r w:rsidRPr="00981BBF">
        <w:t xml:space="preserve"> Dictionary</w:t>
      </w:r>
      <w:r>
        <w:t>.</w:t>
      </w:r>
    </w:p>
    <w:p w14:paraId="73DEBE25" w14:textId="1FD26482" w:rsidR="008F572A" w:rsidRPr="00237BAF" w:rsidRDefault="008F572A" w:rsidP="00E353DF">
      <w:pPr>
        <w:pStyle w:val="LV2"/>
      </w:pPr>
      <w:r w:rsidRPr="00237BAF">
        <w:t xml:space="preserve">While </w:t>
      </w:r>
      <w:r w:rsidR="00B76F06" w:rsidRPr="00B76F06">
        <w:rPr>
          <w:bCs/>
          <w:lang w:val="en-US"/>
        </w:rPr>
        <w:t>malignant neoplasm of the brain</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8C2404" w:rsidRPr="008C6D5F">
        <w:t>C71</w:t>
      </w:r>
      <w:r w:rsidR="00885EAB" w:rsidRPr="00EB2BC4">
        <w:t>,</w:t>
      </w:r>
      <w:r w:rsidRPr="00237BAF">
        <w:t xml:space="preserve"> in applying this Statement of Principles the </w:t>
      </w:r>
      <w:r w:rsidR="00FA33FB" w:rsidRPr="00D5620B">
        <w:t xml:space="preserve">meaning </w:t>
      </w:r>
      <w:r w:rsidRPr="00D5620B">
        <w:t xml:space="preserve">of </w:t>
      </w:r>
      <w:r w:rsidR="00B76F06" w:rsidRPr="00B76F06">
        <w:rPr>
          <w:bCs/>
          <w:lang w:val="en-US"/>
        </w:rPr>
        <w:t>malignant neoplasm of the brain</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E353D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7F826DCF" w:rsidR="00FD775E" w:rsidRDefault="00237BAF" w:rsidP="00E353DF">
      <w:pPr>
        <w:pStyle w:val="LVtext"/>
        <w:jc w:val="both"/>
      </w:pPr>
      <w:r w:rsidRPr="003A5C26">
        <w:t>Death from</w:t>
      </w:r>
      <w:r w:rsidR="008F572A" w:rsidRPr="00237BAF">
        <w:t xml:space="preserve"> </w:t>
      </w:r>
      <w:r w:rsidR="00B76F06" w:rsidRPr="005D42D9">
        <w:rPr>
          <w:b/>
          <w:lang w:val="en-US"/>
        </w:rPr>
        <w:t>malignant neoplasm of the brain</w:t>
      </w:r>
    </w:p>
    <w:p w14:paraId="62BD6CDD" w14:textId="1F968EBE" w:rsidR="008F572A" w:rsidRPr="00237BAF" w:rsidRDefault="008F572A" w:rsidP="00E353DF">
      <w:pPr>
        <w:pStyle w:val="LV2"/>
      </w:pPr>
      <w:r w:rsidRPr="00237BAF">
        <w:t xml:space="preserve">For the purposes of this Statement of </w:t>
      </w:r>
      <w:r w:rsidR="00D5620B">
        <w:t xml:space="preserve">Principles, </w:t>
      </w:r>
      <w:r w:rsidR="00B76F06" w:rsidRPr="00B76F06">
        <w:rPr>
          <w:bCs/>
          <w:lang w:val="en-US"/>
        </w:rPr>
        <w:t>malignant neoplasm of the brain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B76F06" w:rsidRPr="00B76F06">
        <w:rPr>
          <w:bCs/>
          <w:lang w:val="en-US"/>
        </w:rPr>
        <w:t>malignant neoplasm of the brain</w:t>
      </w:r>
      <w:r w:rsidRPr="00D5620B">
        <w:t>.</w:t>
      </w:r>
    </w:p>
    <w:p w14:paraId="18064BF4" w14:textId="77777777" w:rsidR="007C7DEE" w:rsidRPr="00046E67" w:rsidRDefault="00046E67" w:rsidP="00E353DF">
      <w:pPr>
        <w:pStyle w:val="Note2"/>
        <w:jc w:val="both"/>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E353DF">
      <w:pPr>
        <w:pStyle w:val="LV1"/>
        <w:jc w:val="both"/>
      </w:pPr>
      <w:bookmarkStart w:id="17" w:name="_Toc512513141"/>
      <w:r w:rsidRPr="00A20CA1">
        <w:t>Basis for determining the factors</w:t>
      </w:r>
      <w:bookmarkEnd w:id="17"/>
    </w:p>
    <w:p w14:paraId="4686A33B" w14:textId="651AD7A4" w:rsidR="007C7DEE" w:rsidRPr="00237BAF" w:rsidRDefault="00F863D4" w:rsidP="00E353DF">
      <w:pPr>
        <w:pStyle w:val="PlainIndent"/>
        <w:jc w:val="both"/>
      </w:pPr>
      <w:r w:rsidRPr="00283A64">
        <w:t>The Repatriation Medical Authority is of the view that there is sound medical</w:t>
      </w:r>
      <w:r w:rsidR="00B27C6B">
        <w:t>-</w:t>
      </w:r>
      <w:r w:rsidRPr="00283A64">
        <w:t>scientific evidence that indicates</w:t>
      </w:r>
      <w:r w:rsidRPr="00D5620B">
        <w:t xml:space="preserve"> that </w:t>
      </w:r>
      <w:r w:rsidR="00B76F06" w:rsidRPr="00B76F06">
        <w:rPr>
          <w:bCs/>
          <w:lang w:val="en-US"/>
        </w:rPr>
        <w:t>malignant neoplasm of the brain</w:t>
      </w:r>
      <w:r>
        <w:t xml:space="preserve"> </w:t>
      </w:r>
      <w:r w:rsidRPr="00D5620B">
        <w:t>and death from</w:t>
      </w:r>
      <w:r>
        <w:t xml:space="preserve"> </w:t>
      </w:r>
      <w:r w:rsidR="00B76F06" w:rsidRPr="00B76F06">
        <w:rPr>
          <w:bCs/>
          <w:lang w:val="en-US"/>
        </w:rPr>
        <w:t>malignant neoplasm of the brain</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E353DF">
      <w:pPr>
        <w:pStyle w:val="ScheduleNote"/>
        <w:jc w:val="both"/>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E353DF">
      <w:pPr>
        <w:pStyle w:val="LV1"/>
        <w:jc w:val="both"/>
      </w:pPr>
      <w:bookmarkStart w:id="18" w:name="_Ref411946955"/>
      <w:bookmarkStart w:id="19" w:name="_Ref411946997"/>
      <w:bookmarkStart w:id="20" w:name="_Ref412032503"/>
      <w:bookmarkStart w:id="21" w:name="_Toc512513142"/>
      <w:r w:rsidRPr="00301C54">
        <w:t xml:space="preserve">Factors that must </w:t>
      </w:r>
      <w:r w:rsidR="00D32F71">
        <w:t>exist</w:t>
      </w:r>
      <w:bookmarkEnd w:id="18"/>
      <w:bookmarkEnd w:id="19"/>
      <w:bookmarkEnd w:id="20"/>
      <w:bookmarkEnd w:id="21"/>
    </w:p>
    <w:p w14:paraId="2628D2E1" w14:textId="2C52B152" w:rsidR="007C7DEE" w:rsidRPr="00AA6D8B" w:rsidRDefault="002716E4" w:rsidP="00E353DF">
      <w:pPr>
        <w:pStyle w:val="PlainIndent"/>
        <w:jc w:val="both"/>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B76F06" w:rsidRPr="00B76F06">
        <w:rPr>
          <w:bCs/>
          <w:lang w:val="en-US"/>
        </w:rPr>
        <w:t>malignant neoplasm of the brain</w:t>
      </w:r>
      <w:r w:rsidR="007A3989">
        <w:t xml:space="preserve"> </w:t>
      </w:r>
      <w:r w:rsidR="007C7DEE" w:rsidRPr="00AA6D8B">
        <w:t xml:space="preserve">or death from </w:t>
      </w:r>
      <w:r w:rsidR="00B76F06" w:rsidRPr="00B76F06">
        <w:rPr>
          <w:bCs/>
          <w:lang w:val="en-US"/>
        </w:rPr>
        <w:t>malignant neoplasm of the brain</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3B06A1B3" w14:textId="03C1337C" w:rsidR="00B8405C" w:rsidRPr="00C17912" w:rsidRDefault="00B8405C" w:rsidP="00E353DF">
      <w:pPr>
        <w:pStyle w:val="LV2"/>
      </w:pPr>
      <w:bookmarkStart w:id="23" w:name="_Ref402530260"/>
      <w:bookmarkStart w:id="24" w:name="_Ref409598844"/>
      <w:r w:rsidRPr="00C17912">
        <w:t xml:space="preserve">having a moderate to severe traumatic brain injury at least </w:t>
      </w:r>
      <w:r>
        <w:t>5</w:t>
      </w:r>
      <w:r w:rsidRPr="00C17912">
        <w:t xml:space="preserve"> years before clinical </w:t>
      </w:r>
      <w:proofErr w:type="gramStart"/>
      <w:r w:rsidRPr="00C17912">
        <w:t>onset</w:t>
      </w:r>
      <w:r w:rsidR="00B76F06">
        <w:t>;</w:t>
      </w:r>
      <w:proofErr w:type="gramEnd"/>
      <w:r>
        <w:t xml:space="preserve"> </w:t>
      </w:r>
    </w:p>
    <w:p w14:paraId="5F7C34E6" w14:textId="2ABF5328" w:rsidR="00B8405C" w:rsidRDefault="00B8405C" w:rsidP="00E353DF">
      <w:pPr>
        <w:pStyle w:val="LV2"/>
      </w:pPr>
      <w:r>
        <w:t xml:space="preserve">having Parkinson's disease before clinical </w:t>
      </w:r>
      <w:proofErr w:type="gramStart"/>
      <w:r>
        <w:t>onset</w:t>
      </w:r>
      <w:r w:rsidR="00053DF3">
        <w:t>;</w:t>
      </w:r>
      <w:proofErr w:type="gramEnd"/>
    </w:p>
    <w:p w14:paraId="7F6093EF" w14:textId="6C6BA6C7" w:rsidR="008C2404" w:rsidRDefault="008C2404" w:rsidP="00E353DF">
      <w:pPr>
        <w:pStyle w:val="LV2"/>
      </w:pPr>
      <w:r>
        <w:t xml:space="preserve">having received a cumulative equivalent dose of at least 0.1 sievert of ionising radiation to the brain at least </w:t>
      </w:r>
      <w:r w:rsidR="00053DF3">
        <w:t>2</w:t>
      </w:r>
      <w:r>
        <w:t xml:space="preserve"> years before clinical </w:t>
      </w:r>
      <w:proofErr w:type="gramStart"/>
      <w:r>
        <w:t>onset;</w:t>
      </w:r>
      <w:proofErr w:type="gramEnd"/>
      <w:r>
        <w:t xml:space="preserve"> </w:t>
      </w:r>
    </w:p>
    <w:p w14:paraId="1F683966" w14:textId="77777777" w:rsidR="00D8357F" w:rsidRPr="009C1078" w:rsidRDefault="00D8357F" w:rsidP="00E353DF">
      <w:pPr>
        <w:pStyle w:val="ScheduleNote"/>
        <w:jc w:val="both"/>
        <w:rPr>
          <w:lang w:val="en-US"/>
        </w:rPr>
      </w:pPr>
      <w:bookmarkStart w:id="25" w:name="_Hlk208828209"/>
      <w:r w:rsidRPr="009C1078">
        <w:t xml:space="preserve">Note: </w:t>
      </w:r>
      <w:r w:rsidRPr="00D8357F">
        <w:rPr>
          <w:b/>
          <w:bCs/>
          <w:i/>
          <w:iCs/>
        </w:rPr>
        <w:t>cumulative equivalent dose</w:t>
      </w:r>
      <w:r w:rsidRPr="009C1078">
        <w:t xml:space="preserve"> is defined in the Schedule 1 - Dictionary</w:t>
      </w:r>
    </w:p>
    <w:bookmarkEnd w:id="25"/>
    <w:p w14:paraId="7911153A" w14:textId="77777777" w:rsidR="00D8357F" w:rsidRDefault="00D8357F" w:rsidP="00E353DF">
      <w:pPr>
        <w:pStyle w:val="LV2"/>
        <w:numPr>
          <w:ilvl w:val="0"/>
          <w:numId w:val="0"/>
        </w:numPr>
        <w:ind w:left="1418"/>
      </w:pPr>
    </w:p>
    <w:p w14:paraId="53D13B77" w14:textId="7ACD96A7" w:rsidR="00053DF3" w:rsidRDefault="00053DF3" w:rsidP="00E353DF">
      <w:pPr>
        <w:pStyle w:val="LV2"/>
      </w:pPr>
      <w:r w:rsidRPr="00053DF3">
        <w:lastRenderedPageBreak/>
        <w:t xml:space="preserve">receiving a cumulative exposure to benzene greater than 500 ppm-years, where that exposure was accumulated over a continuous 5-year period, and where the first exposure occurred at least 5 years before clinical </w:t>
      </w:r>
      <w:proofErr w:type="gramStart"/>
      <w:r w:rsidRPr="00053DF3">
        <w:t>onset</w:t>
      </w:r>
      <w:r>
        <w:t>;</w:t>
      </w:r>
      <w:proofErr w:type="gramEnd"/>
    </w:p>
    <w:p w14:paraId="5DAE1E3A" w14:textId="77777777" w:rsidR="00847DB7" w:rsidRPr="004F232E" w:rsidRDefault="00847DB7" w:rsidP="00847DB7">
      <w:pPr>
        <w:pStyle w:val="NOTE"/>
        <w:rPr>
          <w:b/>
          <w:bCs/>
          <w:lang w:val="en-US"/>
        </w:rPr>
      </w:pPr>
      <w:r w:rsidRPr="00A555D7">
        <w:rPr>
          <w:rStyle w:val="citation-34"/>
          <w:sz w:val="20"/>
        </w:rPr>
        <w:t>Note:</w:t>
      </w:r>
      <w:r>
        <w:rPr>
          <w:rStyle w:val="citation-34"/>
          <w:b/>
          <w:bCs/>
          <w:i/>
          <w:iCs/>
          <w:sz w:val="20"/>
        </w:rPr>
        <w:t xml:space="preserve"> </w:t>
      </w:r>
      <w:r w:rsidRPr="004F232E">
        <w:rPr>
          <w:rStyle w:val="citation-34"/>
          <w:b/>
          <w:bCs/>
          <w:i/>
          <w:iCs/>
          <w:sz w:val="20"/>
        </w:rPr>
        <w:t>ppm-years</w:t>
      </w:r>
      <w:r w:rsidRPr="004F232E">
        <w:rPr>
          <w:rStyle w:val="citation-34"/>
          <w:i/>
          <w:iCs/>
          <w:sz w:val="20"/>
        </w:rPr>
        <w:t xml:space="preserve"> means parts per million multiplied by years of exposure</w:t>
      </w:r>
    </w:p>
    <w:p w14:paraId="2414C162" w14:textId="77777777" w:rsidR="00847DB7" w:rsidRPr="008A7850" w:rsidRDefault="00847DB7" w:rsidP="00847DB7">
      <w:pPr>
        <w:pStyle w:val="Note1"/>
        <w:rPr>
          <w:lang w:val="en-US"/>
        </w:rPr>
      </w:pPr>
      <w:r w:rsidRPr="008A7850">
        <w:rPr>
          <w:lang w:val="en-US"/>
        </w:rPr>
        <w:t>For example, a worker exposed to an average of 2 parts per million (ppm) of benzene over a period of 10 years would have a cumulative exposure of 20 ppm-years. Similarly, a worker exposed to 1 ppm over 20 years would also have a cumulative exposure of 20 ppm-years.</w:t>
      </w:r>
    </w:p>
    <w:p w14:paraId="1F719BEB" w14:textId="394BC993" w:rsidR="007C7DEE" w:rsidRPr="008D1B8B" w:rsidRDefault="007C7DEE" w:rsidP="00E353DF">
      <w:pPr>
        <w:pStyle w:val="LV2"/>
      </w:pPr>
      <w:r w:rsidRPr="008D1B8B">
        <w:t>inability to obtain appropriate clinical management for</w:t>
      </w:r>
      <w:bookmarkEnd w:id="23"/>
      <w:r w:rsidR="007A3989">
        <w:t xml:space="preserve"> </w:t>
      </w:r>
      <w:r w:rsidR="00B76F06" w:rsidRPr="00B76F06">
        <w:rPr>
          <w:bCs/>
          <w:lang w:val="en-US"/>
        </w:rPr>
        <w:t>malignant neoplasm of the brain</w:t>
      </w:r>
      <w:r w:rsidR="009B4DFF">
        <w:t xml:space="preserve"> before clinical worsening</w:t>
      </w:r>
      <w:r w:rsidR="00D5620B" w:rsidRPr="008D1B8B">
        <w:t>.</w:t>
      </w:r>
      <w:bookmarkEnd w:id="24"/>
    </w:p>
    <w:p w14:paraId="64773EDD" w14:textId="77777777" w:rsidR="000C21A3" w:rsidRPr="00684C0E" w:rsidRDefault="00D32F71" w:rsidP="00E353DF">
      <w:pPr>
        <w:pStyle w:val="LV1"/>
        <w:jc w:val="both"/>
      </w:pPr>
      <w:bookmarkStart w:id="26" w:name="_Toc512513143"/>
      <w:bookmarkStart w:id="27" w:name="_Ref402530057"/>
      <w:r>
        <w:t>Relationship to s</w:t>
      </w:r>
      <w:r w:rsidR="000C21A3" w:rsidRPr="00684C0E">
        <w:t>ervice</w:t>
      </w:r>
      <w:bookmarkEnd w:id="26"/>
    </w:p>
    <w:p w14:paraId="4DB3A2D7" w14:textId="77777777" w:rsidR="00F03C06" w:rsidRPr="00187DE1" w:rsidRDefault="00F03C06" w:rsidP="00E353DF">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7"/>
    <w:p w14:paraId="7F7AE3EC" w14:textId="07542799" w:rsidR="00CF2367" w:rsidRPr="00187DE1" w:rsidRDefault="00C904BB" w:rsidP="00E353DF">
      <w:pPr>
        <w:pStyle w:val="LV2"/>
      </w:pPr>
      <w:r w:rsidRPr="00187DE1">
        <w:t xml:space="preserve">The </w:t>
      </w:r>
      <w:r w:rsidRPr="00BF5840">
        <w:t>factor</w:t>
      </w:r>
      <w:r w:rsidR="005D42D9">
        <w:t xml:space="preserve"> </w:t>
      </w:r>
      <w:r w:rsidRPr="00BF5840">
        <w:t>set out in section 9 appl</w:t>
      </w:r>
      <w:r w:rsidR="005D42D9">
        <w:t xml:space="preserve">ies </w:t>
      </w:r>
      <w:r w:rsidR="00F03C06" w:rsidRPr="00187DE1">
        <w:t xml:space="preserve">only to material contribution to, or aggravation of, </w:t>
      </w:r>
      <w:r w:rsidR="00B76F06" w:rsidRPr="00B76F06">
        <w:rPr>
          <w:bCs/>
          <w:lang w:val="en-US"/>
        </w:rPr>
        <w:t>malignant neoplasm of the brain</w:t>
      </w:r>
      <w:r w:rsidR="007A3989">
        <w:t xml:space="preserve"> </w:t>
      </w:r>
      <w:r w:rsidR="00F03C06" w:rsidRPr="00187DE1">
        <w:t>where the person</w:t>
      </w:r>
      <w:r w:rsidR="00950C80">
        <w:t>'</w:t>
      </w:r>
      <w:r w:rsidR="00F03C06" w:rsidRPr="00187DE1">
        <w:t xml:space="preserve">s </w:t>
      </w:r>
      <w:r w:rsidR="00B76F06" w:rsidRPr="00B76F06">
        <w:rPr>
          <w:bCs/>
          <w:lang w:val="en-US"/>
        </w:rPr>
        <w:t>malignant neoplasm of the brain</w:t>
      </w:r>
      <w:r w:rsidR="007A3989">
        <w:t xml:space="preserve"> </w:t>
      </w:r>
      <w:r w:rsidR="00F03C06" w:rsidRPr="00187DE1">
        <w:t>was suffered or contracted before or during (but did not arise out of) the person</w:t>
      </w:r>
      <w:r w:rsidR="00950C80">
        <w:t>'</w:t>
      </w:r>
      <w:r w:rsidR="00F03C06" w:rsidRPr="00187DE1">
        <w:t xml:space="preserve">s relevant service. </w:t>
      </w:r>
    </w:p>
    <w:p w14:paraId="2886E26D" w14:textId="77777777" w:rsidR="00774897" w:rsidRPr="00301C54" w:rsidRDefault="00774897" w:rsidP="00E353DF">
      <w:pPr>
        <w:pStyle w:val="LV1"/>
        <w:jc w:val="both"/>
      </w:pPr>
      <w:bookmarkStart w:id="28" w:name="_Toc512513144"/>
      <w:r w:rsidRPr="00301C54">
        <w:t>Factors referring to an injury or disea</w:t>
      </w:r>
      <w:r w:rsidR="008B2204">
        <w:t>se covered by another Statement</w:t>
      </w:r>
      <w:r w:rsidRPr="00301C54">
        <w:t xml:space="preserve"> of Principles</w:t>
      </w:r>
      <w:bookmarkEnd w:id="28"/>
    </w:p>
    <w:p w14:paraId="59A935A8" w14:textId="77777777" w:rsidR="00F03C06" w:rsidRPr="00E64EE4" w:rsidRDefault="00F03C06" w:rsidP="00E353DF">
      <w:pPr>
        <w:pStyle w:val="PlainIndent"/>
        <w:jc w:val="both"/>
      </w:pPr>
      <w:r w:rsidRPr="00E64EE4">
        <w:t>In this Statement of Principles:</w:t>
      </w:r>
    </w:p>
    <w:p w14:paraId="4B7C4180" w14:textId="77777777" w:rsidR="00F03C06" w:rsidRPr="00E64EE4" w:rsidRDefault="00F03C06" w:rsidP="00E353DF">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E353DF">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xml:space="preserve">) of the </w:t>
      </w:r>
      <w:proofErr w:type="gramStart"/>
      <w:r w:rsidRPr="00E64EE4">
        <w:t>VEA</w:t>
      </w:r>
      <w:r w:rsidR="00B24368" w:rsidRPr="00E64EE4">
        <w:t>;</w:t>
      </w:r>
      <w:proofErr w:type="gramEnd"/>
    </w:p>
    <w:p w14:paraId="38787542" w14:textId="77777777" w:rsidR="00F03C06" w:rsidRDefault="00733269" w:rsidP="00E353DF">
      <w:pPr>
        <w:pStyle w:val="PlainIndent"/>
        <w:jc w:val="both"/>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E353DF">
      <w:pPr>
        <w:pStyle w:val="PlainIndent"/>
        <w:jc w:val="both"/>
      </w:pPr>
    </w:p>
    <w:p w14:paraId="61AE3264" w14:textId="77777777" w:rsidR="00081B7C" w:rsidRPr="00FA33FB" w:rsidRDefault="00081B7C" w:rsidP="00E353DF">
      <w:pPr>
        <w:pStyle w:val="PlainIndent"/>
        <w:jc w:val="both"/>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14:paraId="72D00B68" w14:textId="77777777" w:rsidR="00F03C06" w:rsidRDefault="00F03C06" w:rsidP="00E353DF">
      <w:pPr>
        <w:pStyle w:val="PlainIndent"/>
        <w:jc w:val="both"/>
      </w:pPr>
    </w:p>
    <w:p w14:paraId="32527E48" w14:textId="77777777" w:rsidR="00CF2367" w:rsidRPr="00FA33FB" w:rsidRDefault="00CF2367" w:rsidP="00E353DF">
      <w:pPr>
        <w:pStyle w:val="SHHeader"/>
        <w:jc w:val="both"/>
      </w:pPr>
      <w:bookmarkStart w:id="29" w:name="opcAmSched"/>
      <w:bookmarkStart w:id="30" w:name="opcCurrentFind"/>
      <w:bookmarkStart w:id="31"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14:paraId="21C36068" w14:textId="77777777" w:rsidR="00702C42" w:rsidRPr="003F39C0" w:rsidRDefault="00702C42" w:rsidP="00E353DF">
      <w:pPr>
        <w:pStyle w:val="NOTEScheduleonly"/>
        <w:jc w:val="both"/>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E353DF">
      <w:pPr>
        <w:pStyle w:val="SH1"/>
        <w:jc w:val="both"/>
      </w:pPr>
      <w:bookmarkStart w:id="32" w:name="_Toc405472918"/>
      <w:bookmarkStart w:id="33" w:name="_Toc512513146"/>
      <w:r w:rsidRPr="00D97BB3">
        <w:t>Definitions</w:t>
      </w:r>
      <w:bookmarkEnd w:id="32"/>
      <w:bookmarkEnd w:id="33"/>
    </w:p>
    <w:p w14:paraId="0A901716" w14:textId="77777777" w:rsidR="00702C42" w:rsidRPr="00516768" w:rsidRDefault="00702C42" w:rsidP="00E353DF">
      <w:pPr>
        <w:pStyle w:val="SH2"/>
        <w:jc w:val="both"/>
      </w:pPr>
      <w:r w:rsidRPr="00516768">
        <w:t>In this instrument:</w:t>
      </w:r>
    </w:p>
    <w:p w14:paraId="785F503D" w14:textId="77777777" w:rsidR="008C2404" w:rsidRPr="00D315C6" w:rsidRDefault="007B52F6" w:rsidP="00E353DF">
      <w:pPr>
        <w:pStyle w:val="SH3"/>
        <w:jc w:val="both"/>
      </w:pPr>
      <w:bookmarkStart w:id="34" w:name="_Ref402530810"/>
      <w:r w:rsidRPr="007B52F6">
        <w:tab/>
      </w:r>
      <w:r w:rsidR="008C2404" w:rsidRPr="00D315C6">
        <w:rPr>
          <w:b/>
          <w:i/>
        </w:rPr>
        <w:t>cumulative equivalent dose</w:t>
      </w:r>
      <w:r w:rsidR="008C2404" w:rsidRPr="00D315C6">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008C2404" w:rsidRPr="00D315C6">
        <w:rPr>
          <w:i/>
          <w:iCs/>
        </w:rPr>
        <w:t>Guide to calculation of 'cumulative equivalent dose' for the purpose of applying ionising radiation factors contained in Statements of Principles determined under Part XIA of the Veterans' Entitlements Act 1986 (</w:t>
      </w:r>
      <w:proofErr w:type="spellStart"/>
      <w:r w:rsidR="008C2404" w:rsidRPr="00D315C6">
        <w:rPr>
          <w:i/>
          <w:iCs/>
        </w:rPr>
        <w:t>Cth</w:t>
      </w:r>
      <w:proofErr w:type="spellEnd"/>
      <w:r w:rsidR="008C2404" w:rsidRPr="00D315C6">
        <w:rPr>
          <w:i/>
          <w:iCs/>
        </w:rPr>
        <w:t>),</w:t>
      </w:r>
      <w:r w:rsidR="008C2404" w:rsidRPr="00D315C6">
        <w:t xml:space="preserve"> Australian Radiation Protection and Nuclear Safety Agency, as in force on 2 August 2017.</w:t>
      </w:r>
    </w:p>
    <w:p w14:paraId="4CA8A26D" w14:textId="2387BCA4" w:rsidR="008C2404" w:rsidRPr="00D315C6" w:rsidRDefault="008C2404" w:rsidP="00E353DF">
      <w:pPr>
        <w:pStyle w:val="ScheduleNote"/>
        <w:ind w:left="1441" w:hanging="590"/>
        <w:jc w:val="both"/>
      </w:pPr>
      <w:r w:rsidRPr="00D315C6">
        <w:t xml:space="preserve">Note 1: </w:t>
      </w:r>
      <w:r w:rsidR="00BD54EB">
        <w:t>e</w:t>
      </w:r>
      <w:r w:rsidRPr="00D315C6">
        <w:t xml:space="preserve">xamples of circumstances that might lead to exposure to ionising radiation include being present during or </w:t>
      </w:r>
      <w:proofErr w:type="gramStart"/>
      <w:r w:rsidRPr="00D315C6">
        <w:t>subsequent to</w:t>
      </w:r>
      <w:proofErr w:type="gramEnd"/>
      <w:r w:rsidRPr="00D315C6">
        <w:t xml:space="preserve"> the testing or use of nuclear weapons, undergoing diagnostic or therapeutic medical procedures involving ionising radiation, and being a member of an aircrew, leading to increased levels of exposure to cosmic radiation. </w:t>
      </w:r>
    </w:p>
    <w:p w14:paraId="7C6C2036" w14:textId="60F52113" w:rsidR="008C2404" w:rsidRDefault="008C2404" w:rsidP="00E353DF">
      <w:pPr>
        <w:pStyle w:val="ScheduleNote"/>
        <w:ind w:left="1441" w:hanging="590"/>
        <w:jc w:val="both"/>
      </w:pPr>
      <w:r w:rsidRPr="00D315C6">
        <w:t xml:space="preserve">Note 2: </w:t>
      </w:r>
      <w:r w:rsidR="00BD54EB">
        <w:t>f</w:t>
      </w:r>
      <w:r w:rsidRPr="00D315C6">
        <w:t>or the purpose of dose reconstruction, dose is calculated as an average over the mass of a specific tissue or organ. If a tissue is exposed to multiple sources of ionising radiation, the various dose estimates for each type of radiation must be combined.</w:t>
      </w:r>
    </w:p>
    <w:p w14:paraId="2CCBBD3D" w14:textId="28B2437C" w:rsidR="002C3076" w:rsidRPr="002C3076" w:rsidRDefault="002C3076" w:rsidP="002C3076">
      <w:pPr>
        <w:pStyle w:val="SH3"/>
        <w:jc w:val="both"/>
        <w:rPr>
          <w:b/>
        </w:rPr>
      </w:pPr>
      <w:r w:rsidRPr="002C3076">
        <w:rPr>
          <w:b/>
          <w:i/>
          <w:lang w:val="en-US"/>
        </w:rPr>
        <w:t>malignant neoplasm of the brain</w:t>
      </w:r>
      <w:r w:rsidRPr="002C3076">
        <w:rPr>
          <w:b/>
        </w:rPr>
        <w:t>—</w:t>
      </w:r>
      <w:r w:rsidRPr="002C3076">
        <w:rPr>
          <w:bCs/>
        </w:rPr>
        <w:t>see subsection 7(2).</w:t>
      </w:r>
    </w:p>
    <w:p w14:paraId="54D26BA0" w14:textId="67DD2A76" w:rsidR="00885EAB" w:rsidRDefault="00885EAB" w:rsidP="00E353DF">
      <w:pPr>
        <w:pStyle w:val="SH3"/>
        <w:jc w:val="both"/>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7839DAD7" w14:textId="77777777" w:rsidR="008C2404" w:rsidRDefault="008C2404" w:rsidP="00E353DF">
      <w:pPr>
        <w:pStyle w:val="SH3"/>
        <w:jc w:val="both"/>
      </w:pPr>
      <w:r w:rsidRPr="008C2404">
        <w:rPr>
          <w:b/>
          <w:bCs/>
          <w:i/>
          <w:iCs/>
        </w:rPr>
        <w:t>neuroepithelial tumour</w:t>
      </w:r>
      <w:r>
        <w:t xml:space="preserve"> means a tumour originating from neuroepithelial tissue and includes any of the following:</w:t>
      </w:r>
    </w:p>
    <w:p w14:paraId="48BFB645" w14:textId="57262BE0" w:rsidR="008C2404" w:rsidRDefault="008C2404" w:rsidP="00E353DF">
      <w:pPr>
        <w:pStyle w:val="SH4"/>
        <w:jc w:val="both"/>
      </w:pPr>
      <w:r>
        <w:t xml:space="preserve">choroid plexus </w:t>
      </w:r>
      <w:proofErr w:type="gramStart"/>
      <w:r>
        <w:t>tumours;</w:t>
      </w:r>
      <w:proofErr w:type="gramEnd"/>
    </w:p>
    <w:p w14:paraId="556C2E48" w14:textId="14D29D57" w:rsidR="008C2404" w:rsidRDefault="008C2404" w:rsidP="00E06365">
      <w:pPr>
        <w:pStyle w:val="SH4"/>
        <w:jc w:val="both"/>
      </w:pPr>
      <w:r>
        <w:t xml:space="preserve">diffuse astrocytic and </w:t>
      </w:r>
      <w:proofErr w:type="spellStart"/>
      <w:r>
        <w:t>oligodendroglial</w:t>
      </w:r>
      <w:proofErr w:type="spellEnd"/>
      <w:r>
        <w:t xml:space="preserve"> tumours (including astrocytoma, glioblastoma multiforme</w:t>
      </w:r>
      <w:proofErr w:type="gramStart"/>
      <w:r>
        <w:t>);</w:t>
      </w:r>
      <w:proofErr w:type="gramEnd"/>
    </w:p>
    <w:p w14:paraId="32385700" w14:textId="79F52A4A" w:rsidR="008C2404" w:rsidRDefault="008C2404" w:rsidP="00E353DF">
      <w:pPr>
        <w:pStyle w:val="SH4"/>
        <w:jc w:val="both"/>
      </w:pPr>
      <w:r>
        <w:t xml:space="preserve">embryonal </w:t>
      </w:r>
      <w:proofErr w:type="gramStart"/>
      <w:r>
        <w:t>tumours;</w:t>
      </w:r>
      <w:proofErr w:type="gramEnd"/>
    </w:p>
    <w:p w14:paraId="366E627C" w14:textId="1F787AA1" w:rsidR="008C2404" w:rsidRDefault="008C2404" w:rsidP="00E353DF">
      <w:pPr>
        <w:pStyle w:val="SH4"/>
        <w:jc w:val="both"/>
      </w:pPr>
      <w:r>
        <w:t xml:space="preserve">ependymal </w:t>
      </w:r>
      <w:proofErr w:type="gramStart"/>
      <w:r>
        <w:t>tumours;</w:t>
      </w:r>
      <w:proofErr w:type="gramEnd"/>
    </w:p>
    <w:p w14:paraId="43C4ED76" w14:textId="5E63C163" w:rsidR="008C2404" w:rsidRDefault="008C2404" w:rsidP="00E353DF">
      <w:pPr>
        <w:pStyle w:val="SH4"/>
        <w:jc w:val="both"/>
      </w:pPr>
      <w:r>
        <w:t xml:space="preserve">neuronal and mixed neuronal-glial </w:t>
      </w:r>
      <w:proofErr w:type="gramStart"/>
      <w:r>
        <w:t>tumours;</w:t>
      </w:r>
      <w:proofErr w:type="gramEnd"/>
    </w:p>
    <w:p w14:paraId="74D6AD78" w14:textId="5D461354" w:rsidR="008C2404" w:rsidRDefault="008C2404" w:rsidP="00E353DF">
      <w:pPr>
        <w:pStyle w:val="SH4"/>
        <w:jc w:val="both"/>
      </w:pPr>
      <w:r>
        <w:t xml:space="preserve">other astrocytic </w:t>
      </w:r>
      <w:proofErr w:type="gramStart"/>
      <w:r>
        <w:t>tumours;</w:t>
      </w:r>
      <w:proofErr w:type="gramEnd"/>
    </w:p>
    <w:p w14:paraId="6AC9BA1F" w14:textId="4EF6D7CA" w:rsidR="008C2404" w:rsidRDefault="008C2404" w:rsidP="00E353DF">
      <w:pPr>
        <w:pStyle w:val="SH4"/>
        <w:jc w:val="both"/>
      </w:pPr>
      <w:r>
        <w:t>other gliomas; or</w:t>
      </w:r>
    </w:p>
    <w:p w14:paraId="57F615E5" w14:textId="59F982C4" w:rsidR="008C2404" w:rsidRDefault="008C2404" w:rsidP="00E353DF">
      <w:pPr>
        <w:pStyle w:val="SH4"/>
        <w:jc w:val="both"/>
      </w:pPr>
      <w:r>
        <w:t>tumours of the pineal region.</w:t>
      </w:r>
    </w:p>
    <w:p w14:paraId="2777C1A7" w14:textId="77777777" w:rsidR="0090262E" w:rsidRPr="0090262E" w:rsidRDefault="0090262E" w:rsidP="00E353DF">
      <w:pPr>
        <w:pStyle w:val="SH3"/>
        <w:jc w:val="both"/>
      </w:pPr>
      <w:bookmarkStart w:id="35" w:name="_Ref402529607"/>
      <w:bookmarkEnd w:id="34"/>
      <w:r w:rsidRPr="00E424C8">
        <w:rPr>
          <w:b/>
          <w:i/>
        </w:rPr>
        <w:t>relevant service</w:t>
      </w:r>
      <w:r w:rsidRPr="0090262E">
        <w:t xml:space="preserve"> means:</w:t>
      </w:r>
    </w:p>
    <w:p w14:paraId="384CE60E" w14:textId="77777777" w:rsidR="0090262E" w:rsidRPr="0090262E" w:rsidRDefault="0090262E" w:rsidP="00E353DF">
      <w:pPr>
        <w:pStyle w:val="SH4"/>
        <w:ind w:left="1418"/>
        <w:jc w:val="both"/>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E353DF">
      <w:pPr>
        <w:pStyle w:val="SH4"/>
        <w:ind w:left="1418"/>
        <w:jc w:val="both"/>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E353DF">
      <w:pPr>
        <w:pStyle w:val="SH4"/>
        <w:ind w:left="1418"/>
        <w:jc w:val="both"/>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E353DF">
      <w:pPr>
        <w:pStyle w:val="SH4"/>
        <w:ind w:left="1418"/>
        <w:jc w:val="both"/>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E353DF">
      <w:pPr>
        <w:pStyle w:val="SH4"/>
        <w:ind w:left="1418"/>
        <w:jc w:val="both"/>
      </w:pPr>
      <w:r w:rsidRPr="0090262E">
        <w:t>warlike service under the MRCA; or</w:t>
      </w:r>
    </w:p>
    <w:p w14:paraId="522250A4" w14:textId="77777777" w:rsidR="00885EAB" w:rsidRPr="0090262E" w:rsidRDefault="0090262E" w:rsidP="00E353DF">
      <w:pPr>
        <w:pStyle w:val="SH4"/>
        <w:ind w:left="1418"/>
        <w:jc w:val="both"/>
      </w:pPr>
      <w:r w:rsidRPr="0090262E">
        <w:t>non-warlike service under the MRCA.</w:t>
      </w:r>
    </w:p>
    <w:p w14:paraId="097C7999" w14:textId="77777777" w:rsidR="00A36B1A" w:rsidRPr="00A36B1A" w:rsidRDefault="00A36B1A" w:rsidP="00E353DF">
      <w:pPr>
        <w:pStyle w:val="ScheduleNote"/>
        <w:jc w:val="both"/>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E353DF">
      <w:pPr>
        <w:pStyle w:val="SH3"/>
        <w:jc w:val="both"/>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14:paraId="02944C5A" w14:textId="77777777" w:rsidR="00885EAB" w:rsidRPr="00513D05" w:rsidRDefault="00513D05" w:rsidP="00E353DF">
      <w:pPr>
        <w:pStyle w:val="SH4"/>
        <w:ind w:left="1418"/>
        <w:jc w:val="both"/>
      </w:pPr>
      <w:r>
        <w:lastRenderedPageBreak/>
        <w:tab/>
      </w:r>
      <w:proofErr w:type="gramStart"/>
      <w:r w:rsidR="00885EAB" w:rsidRPr="00513D05">
        <w:t>pneumonia;</w:t>
      </w:r>
      <w:proofErr w:type="gramEnd"/>
    </w:p>
    <w:p w14:paraId="0E41D83D" w14:textId="77777777" w:rsidR="00885EAB" w:rsidRPr="00513D05" w:rsidRDefault="00885EAB" w:rsidP="00E353DF">
      <w:pPr>
        <w:pStyle w:val="SH4"/>
        <w:ind w:left="1418"/>
        <w:jc w:val="both"/>
      </w:pPr>
      <w:r w:rsidRPr="00513D05">
        <w:tab/>
        <w:t xml:space="preserve">respiratory </w:t>
      </w:r>
      <w:proofErr w:type="gramStart"/>
      <w:r w:rsidRPr="00513D05">
        <w:t>failure;</w:t>
      </w:r>
      <w:proofErr w:type="gramEnd"/>
    </w:p>
    <w:p w14:paraId="0F1150D7" w14:textId="77777777" w:rsidR="00885EAB" w:rsidRPr="00513D05" w:rsidRDefault="00885EAB" w:rsidP="00E353DF">
      <w:pPr>
        <w:pStyle w:val="SH4"/>
        <w:ind w:left="1418"/>
        <w:jc w:val="both"/>
      </w:pPr>
      <w:r w:rsidRPr="00513D05">
        <w:tab/>
        <w:t xml:space="preserve">cardiac </w:t>
      </w:r>
      <w:proofErr w:type="gramStart"/>
      <w:r w:rsidRPr="00513D05">
        <w:t>arrest;</w:t>
      </w:r>
      <w:proofErr w:type="gramEnd"/>
    </w:p>
    <w:p w14:paraId="265706D3" w14:textId="77777777" w:rsidR="00885EAB" w:rsidRPr="00513D05" w:rsidRDefault="00885EAB" w:rsidP="00E353DF">
      <w:pPr>
        <w:pStyle w:val="SH4"/>
        <w:ind w:left="1418"/>
        <w:jc w:val="both"/>
      </w:pPr>
      <w:r w:rsidRPr="00513D05">
        <w:tab/>
        <w:t>circulatory failure;</w:t>
      </w:r>
      <w:r w:rsidR="002376A0">
        <w:t xml:space="preserve"> or</w:t>
      </w:r>
    </w:p>
    <w:p w14:paraId="73AD8166" w14:textId="77777777" w:rsidR="00BD3334" w:rsidRPr="00BD3334" w:rsidRDefault="00885EAB" w:rsidP="00E353DF">
      <w:pPr>
        <w:pStyle w:val="SH4"/>
        <w:ind w:left="1418"/>
        <w:jc w:val="both"/>
      </w:pPr>
      <w:r w:rsidRPr="00513D05">
        <w:tab/>
        <w:t>cessation of brain function.</w:t>
      </w:r>
    </w:p>
    <w:p w14:paraId="624A2176" w14:textId="77777777" w:rsidR="00225CBD" w:rsidRPr="0019084F" w:rsidRDefault="00885EAB" w:rsidP="00E353DF">
      <w:pPr>
        <w:pStyle w:val="SH3"/>
        <w:jc w:val="both"/>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E353DF">
      <w:pPr>
        <w:jc w:val="both"/>
      </w:pPr>
    </w:p>
    <w:p w14:paraId="03F1B791" w14:textId="77777777" w:rsidR="00CF2367" w:rsidRPr="00FA33FB" w:rsidRDefault="00CF2367" w:rsidP="00E353DF">
      <w:pPr>
        <w:jc w:val="both"/>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14:paraId="6B1BE7CD" w14:textId="77777777" w:rsidR="00FD775E" w:rsidRDefault="00FD775E" w:rsidP="00E353DF">
      <w:pPr>
        <w:jc w:val="both"/>
        <w:rPr>
          <w:b/>
          <w:i/>
        </w:rPr>
      </w:pPr>
    </w:p>
    <w:sectPr w:rsid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0C33" w14:textId="77777777" w:rsidR="006F3BB6" w:rsidRDefault="006F3BB6" w:rsidP="00715914">
      <w:pPr>
        <w:spacing w:line="240" w:lineRule="auto"/>
      </w:pPr>
      <w:r>
        <w:separator/>
      </w:r>
    </w:p>
  </w:endnote>
  <w:endnote w:type="continuationSeparator" w:id="0">
    <w:p w14:paraId="2428792D" w14:textId="77777777" w:rsidR="006F3BB6" w:rsidRDefault="006F3BB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3816C260" w:rsidR="004A2007" w:rsidRDefault="00B76F06" w:rsidP="004A2007">
          <w:pPr>
            <w:spacing w:line="0" w:lineRule="atLeast"/>
            <w:jc w:val="center"/>
            <w:rPr>
              <w:i/>
              <w:sz w:val="18"/>
              <w:szCs w:val="18"/>
            </w:rPr>
          </w:pPr>
          <w:r w:rsidRPr="00B76F06">
            <w:rPr>
              <w:bCs/>
              <w:sz w:val="18"/>
              <w:szCs w:val="18"/>
              <w:lang w:val="en-US"/>
            </w:rPr>
            <w:t>malignant neoplasm of the brain</w:t>
          </w:r>
          <w:r w:rsidR="004A2007">
            <w:rPr>
              <w:i/>
              <w:sz w:val="18"/>
              <w:szCs w:val="18"/>
            </w:rPr>
            <w:t xml:space="preserve"> (Reasonable Hypothesis) </w:t>
          </w:r>
          <w:r w:rsidR="004A2007" w:rsidRPr="007C5CE0">
            <w:rPr>
              <w:i/>
              <w:sz w:val="18"/>
            </w:rPr>
            <w:t xml:space="preserve">(No. </w:t>
          </w:r>
          <w:r w:rsidR="00BD54EB">
            <w:rPr>
              <w:i/>
              <w:sz w:val="18"/>
              <w:szCs w:val="18"/>
            </w:rPr>
            <w:t>17</w:t>
          </w:r>
          <w:r w:rsidR="004A2007" w:rsidRPr="007C5CE0">
            <w:rPr>
              <w:i/>
              <w:sz w:val="18"/>
              <w:szCs w:val="18"/>
            </w:rPr>
            <w:t xml:space="preserve"> of </w:t>
          </w:r>
          <w:r w:rsidRPr="00B76F06">
            <w:rPr>
              <w:i/>
              <w:sz w:val="18"/>
              <w:szCs w:val="18"/>
            </w:rPr>
            <w:t>202</w:t>
          </w:r>
          <w:r w:rsidR="00BD54EB">
            <w:rPr>
              <w:i/>
              <w:sz w:val="18"/>
              <w:szCs w:val="18"/>
            </w:rPr>
            <w:t>6</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52F3C7B3" w:rsidR="004A2007" w:rsidRDefault="00B76F06" w:rsidP="004A2007">
          <w:pPr>
            <w:spacing w:line="0" w:lineRule="atLeast"/>
            <w:jc w:val="center"/>
            <w:rPr>
              <w:i/>
              <w:sz w:val="18"/>
              <w:szCs w:val="18"/>
            </w:rPr>
          </w:pPr>
          <w:r w:rsidRPr="00B76F06">
            <w:rPr>
              <w:bCs/>
              <w:sz w:val="18"/>
              <w:szCs w:val="18"/>
              <w:lang w:val="en-US"/>
            </w:rPr>
            <w:t>malignant neoplasm of the brain</w:t>
          </w:r>
          <w:r w:rsidR="004A2007">
            <w:rPr>
              <w:i/>
              <w:sz w:val="18"/>
              <w:szCs w:val="18"/>
            </w:rPr>
            <w:t xml:space="preserve"> (Reasonable Hypothesis) </w:t>
          </w:r>
          <w:r w:rsidR="004A2007" w:rsidRPr="007C5CE0">
            <w:rPr>
              <w:i/>
              <w:sz w:val="18"/>
            </w:rPr>
            <w:t xml:space="preserve">(No. </w:t>
          </w:r>
          <w:r w:rsidR="00BD54EB">
            <w:rPr>
              <w:i/>
              <w:sz w:val="18"/>
              <w:szCs w:val="18"/>
            </w:rPr>
            <w:t xml:space="preserve">17 </w:t>
          </w:r>
          <w:r w:rsidR="004A2007" w:rsidRPr="007C5CE0">
            <w:rPr>
              <w:i/>
              <w:sz w:val="18"/>
              <w:szCs w:val="18"/>
            </w:rPr>
            <w:t xml:space="preserve">of </w:t>
          </w:r>
          <w:r w:rsidR="00C904BB">
            <w:rPr>
              <w:i/>
              <w:sz w:val="18"/>
              <w:szCs w:val="18"/>
            </w:rPr>
            <w:t>202</w:t>
          </w:r>
          <w:r w:rsidR="00BD54EB">
            <w:rPr>
              <w:i/>
              <w:sz w:val="18"/>
              <w:szCs w:val="18"/>
            </w:rPr>
            <w:t>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51EC2" w14:textId="77777777" w:rsidR="006F3BB6" w:rsidRDefault="006F3BB6" w:rsidP="00715914">
      <w:pPr>
        <w:spacing w:line="240" w:lineRule="auto"/>
      </w:pPr>
      <w:r>
        <w:separator/>
      </w:r>
    </w:p>
  </w:footnote>
  <w:footnote w:type="continuationSeparator" w:id="0">
    <w:p w14:paraId="264A1C21" w14:textId="77777777" w:rsidR="006F3BB6" w:rsidRDefault="006F3BB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39BB0D99" w:rsidR="004A2007" w:rsidRDefault="004A2007" w:rsidP="00ED20B7">
    <w:pPr>
      <w:jc w:val="center"/>
      <w:rPr>
        <w:b/>
        <w:sz w:val="32"/>
        <w:szCs w:val="32"/>
      </w:rPr>
    </w:pPr>
  </w:p>
  <w:p w14:paraId="66A67AB2" w14:textId="77777777" w:rsidR="00BD54EB" w:rsidRPr="00ED20B7" w:rsidRDefault="00BD54EB"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3227D7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B72905"/>
    <w:multiLevelType w:val="hybridMultilevel"/>
    <w:tmpl w:val="B1FA7BA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51782837"/>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16"/>
  </w:num>
  <w:num w:numId="2" w16cid:durableId="2038045613">
    <w:abstractNumId w:val="14"/>
  </w:num>
  <w:num w:numId="3" w16cid:durableId="36515333">
    <w:abstractNumId w:val="11"/>
  </w:num>
  <w:num w:numId="4" w16cid:durableId="1575965130">
    <w:abstractNumId w:val="10"/>
  </w:num>
  <w:num w:numId="5" w16cid:durableId="1765152458">
    <w:abstractNumId w:val="15"/>
  </w:num>
  <w:num w:numId="6" w16cid:durableId="1911230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374888034">
    <w:abstractNumId w:val="13"/>
  </w:num>
  <w:num w:numId="23" w16cid:durableId="104637516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3DF3"/>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B74B4"/>
    <w:rsid w:val="002C3076"/>
    <w:rsid w:val="002C7539"/>
    <w:rsid w:val="002D043A"/>
    <w:rsid w:val="002D2AA2"/>
    <w:rsid w:val="002D6224"/>
    <w:rsid w:val="002D74C5"/>
    <w:rsid w:val="002E35CD"/>
    <w:rsid w:val="002E3F4B"/>
    <w:rsid w:val="002F5948"/>
    <w:rsid w:val="002F60E9"/>
    <w:rsid w:val="002F77A1"/>
    <w:rsid w:val="00301C54"/>
    <w:rsid w:val="00304166"/>
    <w:rsid w:val="00304F8B"/>
    <w:rsid w:val="0032243F"/>
    <w:rsid w:val="0033221D"/>
    <w:rsid w:val="003354D2"/>
    <w:rsid w:val="00335BC6"/>
    <w:rsid w:val="003415D3"/>
    <w:rsid w:val="00344701"/>
    <w:rsid w:val="00352B0F"/>
    <w:rsid w:val="00356690"/>
    <w:rsid w:val="0035726F"/>
    <w:rsid w:val="00360459"/>
    <w:rsid w:val="00365E25"/>
    <w:rsid w:val="00372791"/>
    <w:rsid w:val="003734C6"/>
    <w:rsid w:val="00375BB3"/>
    <w:rsid w:val="00375CCC"/>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47C4A"/>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D42D9"/>
    <w:rsid w:val="005E589B"/>
    <w:rsid w:val="005E7FC2"/>
    <w:rsid w:val="00600219"/>
    <w:rsid w:val="006013B7"/>
    <w:rsid w:val="00603D01"/>
    <w:rsid w:val="00603DC4"/>
    <w:rsid w:val="0060681C"/>
    <w:rsid w:val="00615B89"/>
    <w:rsid w:val="00616FF5"/>
    <w:rsid w:val="00617C4E"/>
    <w:rsid w:val="00620076"/>
    <w:rsid w:val="006314DD"/>
    <w:rsid w:val="00644031"/>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3BB6"/>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B6B0B"/>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47DB7"/>
    <w:rsid w:val="00850A63"/>
    <w:rsid w:val="0085384C"/>
    <w:rsid w:val="00856A31"/>
    <w:rsid w:val="00860BB7"/>
    <w:rsid w:val="0086644D"/>
    <w:rsid w:val="00867ABD"/>
    <w:rsid w:val="00867B37"/>
    <w:rsid w:val="00870F62"/>
    <w:rsid w:val="00873081"/>
    <w:rsid w:val="008754D0"/>
    <w:rsid w:val="00877AE3"/>
    <w:rsid w:val="008855C9"/>
    <w:rsid w:val="00885EAB"/>
    <w:rsid w:val="00886456"/>
    <w:rsid w:val="008A46E1"/>
    <w:rsid w:val="008A4F43"/>
    <w:rsid w:val="008B170B"/>
    <w:rsid w:val="008B2204"/>
    <w:rsid w:val="008B2706"/>
    <w:rsid w:val="008B697C"/>
    <w:rsid w:val="008C2404"/>
    <w:rsid w:val="008C618D"/>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3CAD"/>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55D7"/>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5552"/>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738C2"/>
    <w:rsid w:val="00B76F06"/>
    <w:rsid w:val="00B80199"/>
    <w:rsid w:val="00B83204"/>
    <w:rsid w:val="00B833B0"/>
    <w:rsid w:val="00B8405C"/>
    <w:rsid w:val="00B846A0"/>
    <w:rsid w:val="00B90372"/>
    <w:rsid w:val="00B90B8D"/>
    <w:rsid w:val="00B92A80"/>
    <w:rsid w:val="00B933A7"/>
    <w:rsid w:val="00BA220B"/>
    <w:rsid w:val="00BA3A57"/>
    <w:rsid w:val="00BA5A45"/>
    <w:rsid w:val="00BA691F"/>
    <w:rsid w:val="00BB4E1A"/>
    <w:rsid w:val="00BB78C9"/>
    <w:rsid w:val="00BC015E"/>
    <w:rsid w:val="00BC76AC"/>
    <w:rsid w:val="00BD0241"/>
    <w:rsid w:val="00BD0ECB"/>
    <w:rsid w:val="00BD3334"/>
    <w:rsid w:val="00BD54EB"/>
    <w:rsid w:val="00BD5C93"/>
    <w:rsid w:val="00BE2155"/>
    <w:rsid w:val="00BE2213"/>
    <w:rsid w:val="00BE6EDA"/>
    <w:rsid w:val="00BE719A"/>
    <w:rsid w:val="00BE720A"/>
    <w:rsid w:val="00BF0D73"/>
    <w:rsid w:val="00BF2465"/>
    <w:rsid w:val="00BF43B4"/>
    <w:rsid w:val="00BF525F"/>
    <w:rsid w:val="00C01863"/>
    <w:rsid w:val="00C059BD"/>
    <w:rsid w:val="00C11D03"/>
    <w:rsid w:val="00C14123"/>
    <w:rsid w:val="00C2236F"/>
    <w:rsid w:val="00C25E7F"/>
    <w:rsid w:val="00C2746F"/>
    <w:rsid w:val="00C324A0"/>
    <w:rsid w:val="00C3300F"/>
    <w:rsid w:val="00C349C5"/>
    <w:rsid w:val="00C3520D"/>
    <w:rsid w:val="00C42BF8"/>
    <w:rsid w:val="00C50043"/>
    <w:rsid w:val="00C5731E"/>
    <w:rsid w:val="00C60BC0"/>
    <w:rsid w:val="00C670B0"/>
    <w:rsid w:val="00C738B9"/>
    <w:rsid w:val="00C7573B"/>
    <w:rsid w:val="00C77046"/>
    <w:rsid w:val="00C87B9C"/>
    <w:rsid w:val="00C904BB"/>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8357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C6E29"/>
    <w:rsid w:val="00DD2B43"/>
    <w:rsid w:val="00DD31AB"/>
    <w:rsid w:val="00DD3B7D"/>
    <w:rsid w:val="00DE587E"/>
    <w:rsid w:val="00DE59B7"/>
    <w:rsid w:val="00DF24DC"/>
    <w:rsid w:val="00DF5291"/>
    <w:rsid w:val="00DF6D11"/>
    <w:rsid w:val="00E05704"/>
    <w:rsid w:val="00E11E44"/>
    <w:rsid w:val="00E144B4"/>
    <w:rsid w:val="00E22949"/>
    <w:rsid w:val="00E3270E"/>
    <w:rsid w:val="00E338EF"/>
    <w:rsid w:val="00E353D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36E2"/>
    <w:rsid w:val="00EA7100"/>
    <w:rsid w:val="00EA7F9F"/>
    <w:rsid w:val="00EB1274"/>
    <w:rsid w:val="00EB2BC4"/>
    <w:rsid w:val="00EC7405"/>
    <w:rsid w:val="00ED20B7"/>
    <w:rsid w:val="00ED21FE"/>
    <w:rsid w:val="00ED2BB6"/>
    <w:rsid w:val="00ED34E1"/>
    <w:rsid w:val="00ED3B8D"/>
    <w:rsid w:val="00ED46FF"/>
    <w:rsid w:val="00ED4913"/>
    <w:rsid w:val="00EF2E3A"/>
    <w:rsid w:val="00F02BA0"/>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053DF3"/>
    <w:pPr>
      <w:numPr>
        <w:ilvl w:val="1"/>
        <w:numId w:val="19"/>
      </w:numPr>
      <w:ind w:left="1418"/>
      <w:jc w:val="both"/>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character" w:customStyle="1" w:styleId="citation-34">
    <w:name w:val="citation-34"/>
    <w:basedOn w:val="DefaultParagraphFont"/>
    <w:rsid w:val="008C2404"/>
  </w:style>
  <w:style w:type="paragraph" w:styleId="NormalWeb">
    <w:name w:val="Normal (Web)"/>
    <w:basedOn w:val="Normal"/>
    <w:uiPriority w:val="99"/>
    <w:unhideWhenUsed/>
    <w:rsid w:val="00B8405C"/>
    <w:pPr>
      <w:spacing w:before="100" w:beforeAutospacing="1" w:after="100" w:afterAutospacing="1" w:line="240" w:lineRule="auto"/>
      <w:jc w:val="both"/>
    </w:pPr>
    <w:rPr>
      <w:rFonts w:eastAsia="Times New Roman"/>
      <w:sz w:val="24"/>
      <w:szCs w:val="24"/>
      <w:lang w:eastAsia="en-AU"/>
    </w:rPr>
  </w:style>
  <w:style w:type="character" w:styleId="CommentReference">
    <w:name w:val="annotation reference"/>
    <w:basedOn w:val="DefaultParagraphFont"/>
    <w:uiPriority w:val="99"/>
    <w:semiHidden/>
    <w:unhideWhenUsed/>
    <w:rsid w:val="00B8405C"/>
    <w:rPr>
      <w:sz w:val="16"/>
      <w:szCs w:val="16"/>
    </w:rPr>
  </w:style>
  <w:style w:type="paragraph" w:styleId="CommentText">
    <w:name w:val="annotation text"/>
    <w:basedOn w:val="Normal"/>
    <w:link w:val="CommentTextChar"/>
    <w:uiPriority w:val="99"/>
    <w:unhideWhenUsed/>
    <w:rsid w:val="00B8405C"/>
    <w:pPr>
      <w:spacing w:line="240" w:lineRule="auto"/>
    </w:pPr>
    <w:rPr>
      <w:sz w:val="20"/>
    </w:rPr>
  </w:style>
  <w:style w:type="character" w:customStyle="1" w:styleId="CommentTextChar">
    <w:name w:val="Comment Text Char"/>
    <w:basedOn w:val="DefaultParagraphFont"/>
    <w:link w:val="CommentText"/>
    <w:uiPriority w:val="99"/>
    <w:rsid w:val="00B8405C"/>
    <w:rPr>
      <w:lang w:eastAsia="en-US"/>
    </w:rPr>
  </w:style>
  <w:style w:type="paragraph" w:styleId="CommentSubject">
    <w:name w:val="annotation subject"/>
    <w:basedOn w:val="CommentText"/>
    <w:next w:val="CommentText"/>
    <w:link w:val="CommentSubjectChar"/>
    <w:uiPriority w:val="99"/>
    <w:semiHidden/>
    <w:unhideWhenUsed/>
    <w:rsid w:val="00B8405C"/>
    <w:rPr>
      <w:b/>
      <w:bCs/>
    </w:rPr>
  </w:style>
  <w:style w:type="character" w:customStyle="1" w:styleId="CommentSubjectChar">
    <w:name w:val="Comment Subject Char"/>
    <w:basedOn w:val="CommentTextChar"/>
    <w:link w:val="CommentSubject"/>
    <w:uiPriority w:val="99"/>
    <w:semiHidden/>
    <w:rsid w:val="00B8405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02A13-DCB3-494A-B65A-765BAE32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1362</Words>
  <Characters>7770</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2025-09-15T01:43:00Z</dcterms:created>
  <dcterms:modified xsi:type="dcterms:W3CDTF">2026-02-12T23:31:00Z</dcterms:modified>
  <cp:category/>
  <cp:contentStatus/>
  <dc:language/>
  <cp:version/>
</cp:coreProperties>
</file>