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35AB88A3"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7A6FE67E" w:rsidR="00054930" w:rsidRDefault="00DA322E" w:rsidP="006647B7">
      <w:pPr>
        <w:pStyle w:val="Plainheader"/>
      </w:pPr>
      <w:bookmarkStart w:id="0" w:name="SoP_Name_Title"/>
      <w:r>
        <w:t>CATARACT</w:t>
      </w:r>
      <w:bookmarkEnd w:id="0"/>
      <w:r w:rsidR="00997416">
        <w:br/>
        <w:t>(</w:t>
      </w:r>
      <w:r w:rsidR="005E589B">
        <w:t>Reasonable Hypothesis</w:t>
      </w:r>
      <w:r w:rsidR="00997416">
        <w:t xml:space="preserve">) </w:t>
      </w:r>
    </w:p>
    <w:p w14:paraId="7253A03F" w14:textId="005A5394" w:rsidR="00715914" w:rsidRPr="00024911" w:rsidRDefault="00E55F66" w:rsidP="006647B7">
      <w:pPr>
        <w:pStyle w:val="Plainheader"/>
      </w:pPr>
      <w:r w:rsidRPr="00024911">
        <w:t xml:space="preserve">(No. </w:t>
      </w:r>
      <w:r w:rsidR="00F45229">
        <w:t>15</w:t>
      </w:r>
      <w:r w:rsidR="00F45229" w:rsidRPr="00024911">
        <w:t xml:space="preserve"> </w:t>
      </w:r>
      <w:r w:rsidRPr="00024911">
        <w:t>of</w:t>
      </w:r>
      <w:r w:rsidR="00085567">
        <w:t xml:space="preserve"> </w:t>
      </w:r>
      <w:r w:rsidR="00F45229">
        <w:t>2026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59763E12"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F45229">
        <w:rPr>
          <w:b w:val="0"/>
        </w:rPr>
        <w:t>20 February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67F0022A" w14:textId="77777777" w:rsidR="00037A92" w:rsidRDefault="00715914" w:rsidP="00037A92">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r w:rsidR="00037A92" w:rsidRPr="00FA33FB">
        <w:rPr>
          <w:rStyle w:val="CharChapNo"/>
        </w:rPr>
        <w:t xml:space="preserve"> </w:t>
      </w:r>
      <w:r w:rsidR="00037A92" w:rsidRPr="00FA33FB">
        <w:rPr>
          <w:rStyle w:val="CharChapText"/>
        </w:rPr>
        <w:t xml:space="preserve"> </w:t>
      </w:r>
      <w:r w:rsidR="00037A92">
        <w:rPr>
          <w:rStyle w:val="CharChapText"/>
        </w:rPr>
        <w:br w:type="page"/>
      </w:r>
    </w:p>
    <w:p w14:paraId="78D030FA" w14:textId="7D8FEE14" w:rsidR="00A137F8" w:rsidRDefault="00A137F8" w:rsidP="003734C6">
      <w:pPr>
        <w:pStyle w:val="Header"/>
        <w:tabs>
          <w:tab w:val="clear" w:pos="4150"/>
          <w:tab w:val="clear" w:pos="8307"/>
        </w:tabs>
        <w:rPr>
          <w:rStyle w:val="CharChapText"/>
        </w:rPr>
      </w:pP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59BEB9D1" w14:textId="121AC98C"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0967A2">
        <w:rPr>
          <w:noProof/>
        </w:rPr>
        <w:t>4</w:t>
      </w:r>
      <w:r w:rsidR="005962C4">
        <w:rPr>
          <w:noProof/>
        </w:rPr>
        <w:fldChar w:fldCharType="end"/>
      </w:r>
    </w:p>
    <w:p w14:paraId="04EB7C91" w14:textId="6C1DAA53"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0967A2">
        <w:rPr>
          <w:noProof/>
        </w:rPr>
        <w:t>4</w:t>
      </w:r>
      <w:r>
        <w:rPr>
          <w:noProof/>
        </w:rPr>
        <w:fldChar w:fldCharType="end"/>
      </w:r>
    </w:p>
    <w:p w14:paraId="591680E5" w14:textId="563287EE"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0967A2">
        <w:rPr>
          <w:noProof/>
        </w:rPr>
        <w:t>4</w:t>
      </w:r>
      <w:r>
        <w:rPr>
          <w:noProof/>
        </w:rPr>
        <w:fldChar w:fldCharType="end"/>
      </w:r>
    </w:p>
    <w:p w14:paraId="4F5BB033" w14:textId="658D18C9"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0967A2">
        <w:rPr>
          <w:noProof/>
        </w:rPr>
        <w:t>4</w:t>
      </w:r>
      <w:r>
        <w:rPr>
          <w:noProof/>
        </w:rPr>
        <w:fldChar w:fldCharType="end"/>
      </w:r>
    </w:p>
    <w:p w14:paraId="0B837AA8" w14:textId="2DE8023E"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0967A2">
        <w:rPr>
          <w:noProof/>
        </w:rPr>
        <w:t>4</w:t>
      </w:r>
      <w:r>
        <w:rPr>
          <w:noProof/>
        </w:rPr>
        <w:fldChar w:fldCharType="end"/>
      </w:r>
    </w:p>
    <w:p w14:paraId="4E05489C" w14:textId="0E38666D"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0967A2">
        <w:rPr>
          <w:noProof/>
        </w:rPr>
        <w:t>4</w:t>
      </w:r>
      <w:r>
        <w:rPr>
          <w:noProof/>
        </w:rPr>
        <w:fldChar w:fldCharType="end"/>
      </w:r>
    </w:p>
    <w:p w14:paraId="3BBF70BF" w14:textId="2C45BD0A"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0967A2">
        <w:rPr>
          <w:noProof/>
        </w:rPr>
        <w:t>4</w:t>
      </w:r>
      <w:r>
        <w:rPr>
          <w:noProof/>
        </w:rPr>
        <w:fldChar w:fldCharType="end"/>
      </w:r>
    </w:p>
    <w:p w14:paraId="3A5534B1" w14:textId="5240345A"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0967A2">
        <w:rPr>
          <w:noProof/>
        </w:rPr>
        <w:t>5</w:t>
      </w:r>
      <w:r>
        <w:rPr>
          <w:noProof/>
        </w:rPr>
        <w:fldChar w:fldCharType="end"/>
      </w:r>
    </w:p>
    <w:p w14:paraId="71D333F4" w14:textId="2690856C"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0967A2">
        <w:rPr>
          <w:noProof/>
        </w:rPr>
        <w:t>5</w:t>
      </w:r>
      <w:r>
        <w:rPr>
          <w:noProof/>
        </w:rPr>
        <w:fldChar w:fldCharType="end"/>
      </w:r>
    </w:p>
    <w:p w14:paraId="4E7D06AF" w14:textId="753183E3"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0967A2">
        <w:rPr>
          <w:noProof/>
        </w:rPr>
        <w:t>7</w:t>
      </w:r>
      <w:r>
        <w:rPr>
          <w:noProof/>
        </w:rPr>
        <w:fldChar w:fldCharType="end"/>
      </w:r>
    </w:p>
    <w:p w14:paraId="2D7648E8" w14:textId="425E9868"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0967A2">
        <w:rPr>
          <w:noProof/>
        </w:rPr>
        <w:t>7</w:t>
      </w:r>
      <w:r>
        <w:rPr>
          <w:noProof/>
        </w:rPr>
        <w:fldChar w:fldCharType="end"/>
      </w:r>
    </w:p>
    <w:p w14:paraId="2DD7C440" w14:textId="05D542EE"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0967A2">
        <w:rPr>
          <w:noProof/>
        </w:rPr>
        <w:t>9</w:t>
      </w:r>
      <w:r>
        <w:rPr>
          <w:noProof/>
        </w:rPr>
        <w:fldChar w:fldCharType="end"/>
      </w:r>
    </w:p>
    <w:p w14:paraId="4990882B" w14:textId="6FBDECB5"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0967A2">
        <w:rPr>
          <w:noProof/>
        </w:rPr>
        <w:t>9</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512513134"/>
      <w:r>
        <w:lastRenderedPageBreak/>
        <w:t>Name</w:t>
      </w:r>
      <w:bookmarkEnd w:id="2"/>
    </w:p>
    <w:p w14:paraId="13F2CD7D" w14:textId="40F5A72B"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bookmarkStart w:id="4" w:name="SoP_Name"/>
      <w:r w:rsidR="00DA322E">
        <w:rPr>
          <w:i/>
        </w:rPr>
        <w:t>cataract</w:t>
      </w:r>
      <w:bookmarkEnd w:id="4"/>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B3F7E">
        <w:t xml:space="preserve">15 </w:t>
      </w:r>
      <w:r w:rsidR="00E55F66" w:rsidRPr="00F97A62">
        <w:t>of</w:t>
      </w:r>
      <w:r w:rsidR="00085567">
        <w:t xml:space="preserve"> </w:t>
      </w:r>
      <w:r w:rsidR="00BB3F7E">
        <w:t>2026</w:t>
      </w:r>
      <w:r w:rsidR="00E55F66" w:rsidRPr="00F97A62">
        <w:t>)</w:t>
      </w:r>
      <w:r w:rsidRPr="00F97A62">
        <w:t>.</w:t>
      </w:r>
    </w:p>
    <w:p w14:paraId="64C1FBBD" w14:textId="77777777" w:rsidR="00F67B67" w:rsidRPr="00684C0E" w:rsidRDefault="00F67B67" w:rsidP="00253D7C">
      <w:pPr>
        <w:pStyle w:val="LV1"/>
      </w:pPr>
      <w:bookmarkStart w:id="5" w:name="_Toc512513135"/>
      <w:r w:rsidRPr="00684C0E">
        <w:t>Commencement</w:t>
      </w:r>
      <w:bookmarkEnd w:id="5"/>
    </w:p>
    <w:p w14:paraId="00E37EDF" w14:textId="60723C3C" w:rsidR="00F67B67" w:rsidRPr="007527C1" w:rsidRDefault="007527C1" w:rsidP="00253D7C">
      <w:pPr>
        <w:pStyle w:val="PlainIndent"/>
      </w:pPr>
      <w:r w:rsidRPr="007527C1">
        <w:tab/>
      </w:r>
      <w:r w:rsidR="00F67B67" w:rsidRPr="007527C1">
        <w:t xml:space="preserve">This instrument commences on </w:t>
      </w:r>
      <w:r w:rsidR="00BB3F7E">
        <w:rPr>
          <w:b/>
        </w:rPr>
        <w:t>23 March 2026.</w:t>
      </w:r>
    </w:p>
    <w:p w14:paraId="3286D222" w14:textId="77777777" w:rsidR="00F67B67" w:rsidRPr="00684C0E" w:rsidRDefault="00F67B67" w:rsidP="00253D7C">
      <w:pPr>
        <w:pStyle w:val="LV1"/>
      </w:pPr>
      <w:bookmarkStart w:id="6" w:name="_Toc512513136"/>
      <w:r w:rsidRPr="00684C0E">
        <w:t>Authority</w:t>
      </w:r>
      <w:bookmarkEnd w:id="6"/>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7" w:name="_Toc512513137"/>
      <w:r>
        <w:t>Re</w:t>
      </w:r>
      <w:r w:rsidR="005962C4">
        <w:t>peal</w:t>
      </w:r>
      <w:bookmarkEnd w:id="7"/>
    </w:p>
    <w:p w14:paraId="3E08D48D" w14:textId="170C9771" w:rsidR="00DA3996" w:rsidRPr="007527C1" w:rsidRDefault="00DA3996" w:rsidP="00253D7C">
      <w:pPr>
        <w:pStyle w:val="PlainIndent"/>
      </w:pPr>
      <w:r>
        <w:t>The</w:t>
      </w:r>
      <w:r w:rsidRPr="007527C1">
        <w:t xml:space="preserve"> </w:t>
      </w:r>
      <w:r w:rsidRPr="00DA3996">
        <w:t xml:space="preserve">Statement of Principles concerning </w:t>
      </w:r>
      <w:r w:rsidR="00DA322E">
        <w:t xml:space="preserve">acquired </w:t>
      </w:r>
      <w:r w:rsidR="00DA322E" w:rsidRPr="00DA322E">
        <w:t>cataract</w:t>
      </w:r>
      <w:r w:rsidR="000B7B90">
        <w:t xml:space="preserve"> </w:t>
      </w:r>
      <w:r w:rsidR="000774E6" w:rsidRPr="000774E6">
        <w:rPr>
          <w:iCs/>
        </w:rPr>
        <w:t>(Reasonable Hypothesis) (</w:t>
      </w:r>
      <w:r w:rsidR="000774E6">
        <w:t xml:space="preserve">No. </w:t>
      </w:r>
      <w:r w:rsidR="00DA322E">
        <w:t>87</w:t>
      </w:r>
      <w:r w:rsidR="000774E6">
        <w:t xml:space="preserve"> of 20</w:t>
      </w:r>
      <w:r w:rsidR="00DA322E">
        <w:t>16</w:t>
      </w:r>
      <w:r w:rsidR="000774E6">
        <w:t>)</w:t>
      </w:r>
      <w:r w:rsidR="005962C4">
        <w:t xml:space="preserve"> </w:t>
      </w:r>
      <w:r w:rsidR="005962C4" w:rsidRPr="00786DAE">
        <w:t>(Federal Re</w:t>
      </w:r>
      <w:r w:rsidR="000B7B90">
        <w:t>gister of Legislation No. F20</w:t>
      </w:r>
      <w:r w:rsidR="00DA322E">
        <w:t>16</w:t>
      </w:r>
      <w:r w:rsidR="000B7B90">
        <w:t>L0</w:t>
      </w:r>
      <w:r w:rsidR="00DA322E">
        <w:t>1694</w:t>
      </w:r>
      <w:r w:rsidR="005962C4" w:rsidRPr="00786DAE">
        <w:t xml:space="preserve">) </w:t>
      </w:r>
      <w:r w:rsidR="005962C4" w:rsidRPr="00DA3996">
        <w:t xml:space="preserve">made under subsections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8" w:name="_Toc512513138"/>
      <w:r w:rsidRPr="00684C0E">
        <w:t>Application</w:t>
      </w:r>
      <w:bookmarkEnd w:id="8"/>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9" w:name="_Ref410129949"/>
      <w:bookmarkStart w:id="10" w:name="_Toc512513139"/>
      <w:r w:rsidRPr="00684C0E">
        <w:t>Definitions</w:t>
      </w:r>
      <w:bookmarkEnd w:id="9"/>
      <w:bookmarkEnd w:id="10"/>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1" w:name="_Ref409687573"/>
      <w:bookmarkStart w:id="12" w:name="_Ref409687579"/>
      <w:bookmarkStart w:id="13" w:name="_Ref409687725"/>
      <w:bookmarkStart w:id="14" w:name="_Toc512513140"/>
      <w:r w:rsidRPr="00684C0E">
        <w:t>Kind of injury, disease or death</w:t>
      </w:r>
      <w:r w:rsidR="00215860" w:rsidRPr="00684C0E">
        <w:t xml:space="preserve"> to which this Statement of Principles relates</w:t>
      </w:r>
      <w:bookmarkEnd w:id="11"/>
      <w:bookmarkEnd w:id="12"/>
      <w:bookmarkEnd w:id="13"/>
      <w:bookmarkEnd w:id="14"/>
    </w:p>
    <w:p w14:paraId="72D9E065" w14:textId="43AB62E5" w:rsidR="007C7DEE" w:rsidRPr="00D5620B" w:rsidRDefault="007C7DEE" w:rsidP="00253D7C">
      <w:pPr>
        <w:pStyle w:val="LV2"/>
      </w:pPr>
      <w:bookmarkStart w:id="15" w:name="_Ref403053584"/>
      <w:r w:rsidRPr="00D5620B">
        <w:t xml:space="preserve">This Statement of Principles is </w:t>
      </w:r>
      <w:r w:rsidRPr="002F77A1">
        <w:t xml:space="preserve">about </w:t>
      </w:r>
      <w:r w:rsidR="00624064" w:rsidRPr="00624064">
        <w:t>cataract</w:t>
      </w:r>
      <w:r w:rsidR="00D5620B" w:rsidRPr="002F77A1">
        <w:t xml:space="preserve"> </w:t>
      </w:r>
      <w:r w:rsidRPr="002F77A1">
        <w:t>and death</w:t>
      </w:r>
      <w:r w:rsidRPr="00D5620B">
        <w:t xml:space="preserve"> from</w:t>
      </w:r>
      <w:r w:rsidR="002F77A1">
        <w:t xml:space="preserve"> </w:t>
      </w:r>
      <w:r w:rsidR="00624064" w:rsidRPr="00624064">
        <w:t>cataract</w:t>
      </w:r>
      <w:r w:rsidRPr="00D5620B">
        <w:t>.</w:t>
      </w:r>
      <w:bookmarkEnd w:id="15"/>
    </w:p>
    <w:p w14:paraId="2B8269CB" w14:textId="043D80D8" w:rsidR="00215860" w:rsidRPr="00C670B0" w:rsidRDefault="00215860" w:rsidP="00C670B0">
      <w:pPr>
        <w:pStyle w:val="LVtext"/>
      </w:pPr>
      <w:r w:rsidRPr="00C670B0">
        <w:t>Meaning of</w:t>
      </w:r>
      <w:r w:rsidR="00D60FC8" w:rsidRPr="00C670B0">
        <w:t xml:space="preserve"> </w:t>
      </w:r>
      <w:r w:rsidR="00624064" w:rsidRPr="00624064">
        <w:rPr>
          <w:b/>
        </w:rPr>
        <w:t>cataract</w:t>
      </w:r>
    </w:p>
    <w:p w14:paraId="45216830" w14:textId="183508CB" w:rsidR="002716E4" w:rsidRPr="00237BAF" w:rsidRDefault="007C7DEE" w:rsidP="00253D7C">
      <w:pPr>
        <w:pStyle w:val="LV2"/>
      </w:pPr>
      <w:bookmarkStart w:id="16" w:name="_Ref409598124"/>
      <w:bookmarkStart w:id="17" w:name="_Ref402529683"/>
      <w:r w:rsidRPr="00237BAF">
        <w:t>For the purposes of this Statement of Principles,</w:t>
      </w:r>
      <w:r w:rsidR="002F77A1" w:rsidRPr="002F77A1">
        <w:t xml:space="preserve"> </w:t>
      </w:r>
      <w:r w:rsidR="00624064" w:rsidRPr="00624064">
        <w:t>cataract</w:t>
      </w:r>
      <w:r w:rsidR="002716E4" w:rsidRPr="00237BAF">
        <w:t>:</w:t>
      </w:r>
      <w:bookmarkEnd w:id="16"/>
    </w:p>
    <w:bookmarkEnd w:id="17"/>
    <w:p w14:paraId="6AA0A2FA" w14:textId="77777777" w:rsidR="00DA322E" w:rsidRDefault="00DA322E" w:rsidP="00DA322E">
      <w:pPr>
        <w:pStyle w:val="LV3"/>
      </w:pPr>
      <w:r>
        <w:t xml:space="preserve">means partial or complete opacification of the lens or lens capsule of the eye, which causes visual impairment; and </w:t>
      </w:r>
    </w:p>
    <w:p w14:paraId="2F994A6E" w14:textId="77777777" w:rsidR="00DA322E" w:rsidRDefault="00DA322E" w:rsidP="00DA322E">
      <w:pPr>
        <w:pStyle w:val="LV3"/>
      </w:pPr>
      <w:r>
        <w:t>excludes congenital or infantile cataract and lens malformation.</w:t>
      </w:r>
    </w:p>
    <w:p w14:paraId="73DEBE25" w14:textId="0292BDC4" w:rsidR="008F572A" w:rsidRPr="00237BAF" w:rsidRDefault="008F572A" w:rsidP="00253D7C">
      <w:pPr>
        <w:pStyle w:val="LV2"/>
      </w:pPr>
      <w:r w:rsidRPr="00237BAF">
        <w:t xml:space="preserve">While </w:t>
      </w:r>
      <w:r w:rsidR="00624064" w:rsidRPr="00624064">
        <w:t>cataract</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DA322E" w:rsidRPr="00DA322E">
        <w:t>H25, H26.1-H26.9, H28.1 or H28.2</w:t>
      </w:r>
      <w:r w:rsidR="00885EAB" w:rsidRPr="00EB2BC4">
        <w:t>,</w:t>
      </w:r>
      <w:r w:rsidRPr="00237BAF">
        <w:t xml:space="preserve"> in applying this Statement of Principles the </w:t>
      </w:r>
      <w:r w:rsidR="00FA33FB" w:rsidRPr="00D5620B">
        <w:t xml:space="preserve">meaning </w:t>
      </w:r>
      <w:r w:rsidRPr="00D5620B">
        <w:t xml:space="preserve">of </w:t>
      </w:r>
      <w:r w:rsidR="00624064" w:rsidRPr="00624064">
        <w:t>cataract</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5C23C159" w14:textId="114161C8" w:rsidR="00FD775E" w:rsidRDefault="00237BAF" w:rsidP="00C670B0">
      <w:pPr>
        <w:pStyle w:val="LVtext"/>
      </w:pPr>
      <w:r w:rsidRPr="003A5C26">
        <w:t>Death from</w:t>
      </w:r>
      <w:r w:rsidR="008F572A" w:rsidRPr="00237BAF">
        <w:t xml:space="preserve"> </w:t>
      </w:r>
      <w:r w:rsidR="00624064" w:rsidRPr="00624064">
        <w:rPr>
          <w:b/>
        </w:rPr>
        <w:t>cataract</w:t>
      </w:r>
    </w:p>
    <w:p w14:paraId="62BD6CDD" w14:textId="0571B2E9" w:rsidR="008F572A" w:rsidRPr="00237BAF" w:rsidRDefault="008F572A" w:rsidP="00253D7C">
      <w:pPr>
        <w:pStyle w:val="LV2"/>
      </w:pPr>
      <w:r w:rsidRPr="00237BAF">
        <w:t xml:space="preserve">For the purposes of this Statement of </w:t>
      </w:r>
      <w:r w:rsidR="00D5620B">
        <w:t xml:space="preserve">Principles, </w:t>
      </w:r>
      <w:r w:rsidR="00624064" w:rsidRPr="00624064">
        <w:t>cataract</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624064" w:rsidRPr="00624064">
        <w:t>cataract</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8" w:name="_Toc512513141"/>
      <w:r w:rsidRPr="00A20CA1">
        <w:t>Basis for determining the factors</w:t>
      </w:r>
      <w:bookmarkEnd w:id="18"/>
    </w:p>
    <w:p w14:paraId="4686A33B" w14:textId="3245FFD6"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624064" w:rsidRPr="00624064">
        <w:t>cataract</w:t>
      </w:r>
      <w:r>
        <w:t xml:space="preserve"> </w:t>
      </w:r>
      <w:r w:rsidRPr="00D5620B">
        <w:t>and death from</w:t>
      </w:r>
      <w:r>
        <w:t xml:space="preserve"> </w:t>
      </w:r>
      <w:r w:rsidR="00624064" w:rsidRPr="00624064">
        <w:t>cataract</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9" w:name="_Ref411946955"/>
      <w:bookmarkStart w:id="20" w:name="_Ref411946997"/>
      <w:bookmarkStart w:id="21" w:name="_Ref412032503"/>
      <w:bookmarkStart w:id="22" w:name="_Toc512513142"/>
      <w:r w:rsidRPr="00301C54">
        <w:t xml:space="preserve">Factors that must </w:t>
      </w:r>
      <w:r w:rsidR="00D32F71">
        <w:t>exist</w:t>
      </w:r>
      <w:bookmarkEnd w:id="19"/>
      <w:bookmarkEnd w:id="20"/>
      <w:bookmarkEnd w:id="21"/>
      <w:bookmarkEnd w:id="22"/>
    </w:p>
    <w:p w14:paraId="2628D2E1" w14:textId="2D5DD379" w:rsidR="007C7DEE" w:rsidRPr="00AA6D8B" w:rsidRDefault="002716E4" w:rsidP="00253D7C">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624064" w:rsidRPr="00624064">
        <w:t>cataract</w:t>
      </w:r>
      <w:r w:rsidR="007A3989">
        <w:t xml:space="preserve"> </w:t>
      </w:r>
      <w:r w:rsidR="007C7DEE" w:rsidRPr="00AA6D8B">
        <w:t xml:space="preserve">or death from </w:t>
      </w:r>
      <w:r w:rsidR="00624064" w:rsidRPr="00624064">
        <w:t>cataract</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3"/>
    </w:p>
    <w:p w14:paraId="072ED07E" w14:textId="15BFA830" w:rsidR="00253D7C" w:rsidRDefault="00DA322E" w:rsidP="00DD3B7D">
      <w:pPr>
        <w:pStyle w:val="LV2"/>
      </w:pPr>
      <w:bookmarkStart w:id="24" w:name="_Ref402530260"/>
      <w:bookmarkStart w:id="25" w:name="_Ref409598844"/>
      <w:r w:rsidRPr="00DA322E">
        <w:t xml:space="preserve">having </w:t>
      </w:r>
      <w:r w:rsidRPr="000A44D3">
        <w:t>sunlight exposure</w:t>
      </w:r>
      <w:r w:rsidRPr="00DA322E">
        <w:t xml:space="preserve"> to the unprotected eye for a cumulative period of at least 2,250 latitude equivalent hours before clinical onset or clinical worsening;</w:t>
      </w:r>
    </w:p>
    <w:p w14:paraId="53A731EF" w14:textId="4CE532E1" w:rsidR="00DA322E" w:rsidRPr="00046E67" w:rsidRDefault="00DA322E" w:rsidP="00633F87">
      <w:pPr>
        <w:pStyle w:val="NOTE"/>
        <w:ind w:left="1872"/>
      </w:pPr>
      <w:r w:rsidRPr="00DA322E">
        <w:t xml:space="preserve">Note: </w:t>
      </w:r>
      <w:r w:rsidRPr="00DA322E">
        <w:rPr>
          <w:b/>
          <w:bCs/>
          <w:i/>
          <w:iCs/>
        </w:rPr>
        <w:t>latitude equivalent hours</w:t>
      </w:r>
      <w:r w:rsidRPr="00DA322E">
        <w:t xml:space="preserve"> and </w:t>
      </w:r>
      <w:r w:rsidRPr="00DA322E">
        <w:rPr>
          <w:b/>
          <w:bCs/>
          <w:i/>
          <w:iCs/>
        </w:rPr>
        <w:t>unprotected eye</w:t>
      </w:r>
      <w:r w:rsidRPr="00DA322E">
        <w:t xml:space="preserve"> are defined in the Schedule 1 dictionary.</w:t>
      </w:r>
    </w:p>
    <w:p w14:paraId="2A012194" w14:textId="4D9589AB" w:rsidR="00253D7C" w:rsidRDefault="00633F87" w:rsidP="00253D7C">
      <w:pPr>
        <w:pStyle w:val="LV2"/>
      </w:pPr>
      <w:r w:rsidRPr="00633F87">
        <w:t xml:space="preserve">having received a cumulative equivalent dose of at least 0.2 sievert of </w:t>
      </w:r>
      <w:r w:rsidRPr="000A44D3">
        <w:t>ionising radiation</w:t>
      </w:r>
      <w:r w:rsidRPr="00633F87">
        <w:t xml:space="preserve"> to the affected eye before clinical onset or clinical worsening;</w:t>
      </w:r>
    </w:p>
    <w:p w14:paraId="0C46889F" w14:textId="64834E44" w:rsidR="00633F87" w:rsidRPr="008E76DC" w:rsidRDefault="00A95010" w:rsidP="00A95010">
      <w:pPr>
        <w:pStyle w:val="NOTE"/>
        <w:ind w:left="1872"/>
      </w:pPr>
      <w:r w:rsidRPr="00A95010">
        <w:t xml:space="preserve">Note: </w:t>
      </w:r>
      <w:r w:rsidRPr="00A95010">
        <w:rPr>
          <w:b/>
          <w:bCs/>
          <w:i/>
          <w:iCs/>
        </w:rPr>
        <w:t>cumulative equivalent dose</w:t>
      </w:r>
      <w:r w:rsidRPr="00A95010">
        <w:t xml:space="preserve"> is defined in the Schedule 1 - Dictionary.</w:t>
      </w:r>
    </w:p>
    <w:p w14:paraId="205D2253" w14:textId="27D607E2" w:rsidR="00EC7791" w:rsidRPr="00EC7791" w:rsidRDefault="00EC7791" w:rsidP="00EC7791">
      <w:pPr>
        <w:pStyle w:val="LV2"/>
        <w:rPr>
          <w:color w:val="000000" w:themeColor="text1"/>
        </w:rPr>
      </w:pPr>
      <w:r>
        <w:t xml:space="preserve">having </w:t>
      </w:r>
      <w:r w:rsidRPr="000A44D3">
        <w:t>penetrating trauma</w:t>
      </w:r>
      <w:r>
        <w:t xml:space="preserve"> to the affected eye within the 20 </w:t>
      </w:r>
      <w:r w:rsidRPr="00EC7791">
        <w:rPr>
          <w:color w:val="000000" w:themeColor="text1"/>
        </w:rPr>
        <w:t>years before clinical onset or clinical worsening;</w:t>
      </w:r>
    </w:p>
    <w:p w14:paraId="2FFA8712" w14:textId="77777777" w:rsidR="00EC7791" w:rsidRPr="00EC7791" w:rsidRDefault="00EC7791" w:rsidP="00EC7791">
      <w:pPr>
        <w:pStyle w:val="NOTE"/>
        <w:rPr>
          <w:color w:val="000000" w:themeColor="text1"/>
          <w:lang w:val="en-US"/>
        </w:rPr>
      </w:pPr>
      <w:r w:rsidRPr="00EC7791">
        <w:rPr>
          <w:color w:val="000000" w:themeColor="text1"/>
          <w:lang w:val="en-US"/>
        </w:rPr>
        <w:t>Note: Penetrating trauma to the affected eye includes having a foreign body embedded in the affected eye.</w:t>
      </w:r>
    </w:p>
    <w:p w14:paraId="183E3560" w14:textId="7CCF53A3" w:rsidR="00EC7791" w:rsidRPr="00EC7791" w:rsidRDefault="00EC7791" w:rsidP="00EC7791">
      <w:pPr>
        <w:pStyle w:val="LV2"/>
        <w:rPr>
          <w:color w:val="000000" w:themeColor="text1"/>
        </w:rPr>
      </w:pPr>
      <w:r w:rsidRPr="00EC7791">
        <w:rPr>
          <w:color w:val="000000" w:themeColor="text1"/>
          <w:lang w:val="en-US"/>
        </w:rPr>
        <w:t xml:space="preserve">having </w:t>
      </w:r>
      <w:r w:rsidRPr="000A44D3">
        <w:rPr>
          <w:color w:val="000000" w:themeColor="text1"/>
          <w:lang w:val="en-US"/>
        </w:rPr>
        <w:t>blunt trauma</w:t>
      </w:r>
      <w:r w:rsidRPr="00EC7791">
        <w:rPr>
          <w:color w:val="000000" w:themeColor="text1"/>
          <w:lang w:val="en-US"/>
        </w:rPr>
        <w:t xml:space="preserve"> to the affected eye, eye orbit or head, resulting in symptoms and signs lasting at least </w:t>
      </w:r>
      <w:r w:rsidR="00C01E05">
        <w:rPr>
          <w:color w:val="000000" w:themeColor="text1"/>
          <w:lang w:val="en-US"/>
        </w:rPr>
        <w:t xml:space="preserve">3 </w:t>
      </w:r>
      <w:r w:rsidRPr="00EC7791">
        <w:rPr>
          <w:color w:val="000000" w:themeColor="text1"/>
          <w:lang w:val="en-US"/>
        </w:rPr>
        <w:t xml:space="preserve">days, </w:t>
      </w:r>
      <w:r w:rsidRPr="00EC7791">
        <w:rPr>
          <w:color w:val="000000" w:themeColor="text1"/>
        </w:rPr>
        <w:t>within the 20 years before clinical onset or clinical worsening;</w:t>
      </w:r>
    </w:p>
    <w:p w14:paraId="08720043" w14:textId="42BE8AAB" w:rsidR="00253D7C" w:rsidRPr="00EC7791" w:rsidRDefault="00EC7791" w:rsidP="00EC7791">
      <w:pPr>
        <w:pStyle w:val="Note2"/>
        <w:ind w:left="1872" w:hanging="454"/>
      </w:pPr>
      <w:r w:rsidRPr="00EC7791">
        <w:t>Note: Symptoms and signs that are associated with blunt trauma to the eye include, but are not limited to, blurry vision, ocular pain, orbital fracture, blood in the anterior chamber of the eye and decreased visual acuity</w:t>
      </w:r>
      <w:r w:rsidR="004F0549">
        <w:t>.</w:t>
      </w:r>
    </w:p>
    <w:p w14:paraId="1880C77C" w14:textId="5E3407FC" w:rsidR="00DD3B7D" w:rsidRDefault="00EC7791" w:rsidP="00253D7C">
      <w:pPr>
        <w:pStyle w:val="LV2"/>
      </w:pPr>
      <w:r>
        <w:rPr>
          <w:lang w:val="en-US"/>
        </w:rPr>
        <w:t xml:space="preserve">having </w:t>
      </w:r>
      <w:r w:rsidRPr="000A44D3">
        <w:t>intraocular surgery</w:t>
      </w:r>
      <w:r>
        <w:t xml:space="preserve"> to the affected eye </w:t>
      </w:r>
      <w:r w:rsidRPr="00407202">
        <w:t>within the 2 years</w:t>
      </w:r>
      <w:r>
        <w:t xml:space="preserve"> </w:t>
      </w:r>
      <w:r w:rsidRPr="00765792">
        <w:t xml:space="preserve">immediately preceding </w:t>
      </w:r>
      <w:r>
        <w:t>clinical onset or clinical worsening;</w:t>
      </w:r>
    </w:p>
    <w:p w14:paraId="111E32EF" w14:textId="77777777" w:rsidR="00EC7791" w:rsidRDefault="00EC7791" w:rsidP="00EC7791">
      <w:pPr>
        <w:pStyle w:val="LV2"/>
      </w:pPr>
      <w:r>
        <w:lastRenderedPageBreak/>
        <w:t xml:space="preserve">having a severe </w:t>
      </w:r>
      <w:r w:rsidRPr="000A44D3">
        <w:t>thermal or chemical burn</w:t>
      </w:r>
      <w:r>
        <w:t xml:space="preserve"> to the affected eye, involving at least one of the following clinical features:</w:t>
      </w:r>
    </w:p>
    <w:p w14:paraId="4E94B8DD" w14:textId="77777777" w:rsidR="00EC7791" w:rsidRDefault="00EC7791" w:rsidP="00EC7791">
      <w:pPr>
        <w:pStyle w:val="LV3"/>
        <w:numPr>
          <w:ilvl w:val="2"/>
          <w:numId w:val="22"/>
        </w:numPr>
      </w:pPr>
      <w:r>
        <w:t xml:space="preserve">corneal anaesthesia; </w:t>
      </w:r>
    </w:p>
    <w:p w14:paraId="3A84DF69" w14:textId="77777777" w:rsidR="00EC7791" w:rsidRDefault="00EC7791" w:rsidP="00EC7791">
      <w:pPr>
        <w:pStyle w:val="LV3"/>
        <w:numPr>
          <w:ilvl w:val="2"/>
          <w:numId w:val="22"/>
        </w:numPr>
      </w:pPr>
      <w:r>
        <w:t xml:space="preserve">corneal opacification; </w:t>
      </w:r>
    </w:p>
    <w:p w14:paraId="167B92EB" w14:textId="77777777" w:rsidR="00EC7791" w:rsidRDefault="00EC7791" w:rsidP="00EC7791">
      <w:pPr>
        <w:pStyle w:val="LV3"/>
        <w:numPr>
          <w:ilvl w:val="2"/>
          <w:numId w:val="22"/>
        </w:numPr>
      </w:pPr>
      <w:r>
        <w:t>symptoms and signs lasting at least 3 days and requiring medical attention;</w:t>
      </w:r>
    </w:p>
    <w:p w14:paraId="1DBFF7B2" w14:textId="22DAAAA6" w:rsidR="00EC7791" w:rsidRDefault="00EC7791" w:rsidP="00EC7791">
      <w:pPr>
        <w:pStyle w:val="LV3"/>
        <w:numPr>
          <w:ilvl w:val="2"/>
          <w:numId w:val="22"/>
        </w:numPr>
      </w:pPr>
      <w:r>
        <w:t>for chemical burns only, penetration of the chemical into the anterior chamber</w:t>
      </w:r>
      <w:r w:rsidR="004F0549">
        <w:t>;</w:t>
      </w:r>
    </w:p>
    <w:p w14:paraId="688E3596" w14:textId="77777777" w:rsidR="00EC7791" w:rsidRDefault="00EC7791" w:rsidP="00EC7791">
      <w:pPr>
        <w:pStyle w:val="LV2"/>
        <w:numPr>
          <w:ilvl w:val="0"/>
          <w:numId w:val="0"/>
        </w:numPr>
        <w:ind w:left="1418"/>
        <w:rPr>
          <w:lang w:val="en-US"/>
        </w:rPr>
      </w:pPr>
      <w:r>
        <w:rPr>
          <w:lang w:val="en-US"/>
        </w:rPr>
        <w:t xml:space="preserve">within the 6 months </w:t>
      </w:r>
      <w:r w:rsidRPr="00004315">
        <w:rPr>
          <w:lang w:val="en-US"/>
        </w:rPr>
        <w:t xml:space="preserve">immediately preceding </w:t>
      </w:r>
      <w:r w:rsidRPr="00802355">
        <w:rPr>
          <w:lang w:val="en-US"/>
        </w:rPr>
        <w:t>clinical onset</w:t>
      </w:r>
      <w:r>
        <w:rPr>
          <w:lang w:val="en-US"/>
        </w:rPr>
        <w:t xml:space="preserve"> or clinical </w:t>
      </w:r>
      <w:r w:rsidRPr="00802355">
        <w:rPr>
          <w:lang w:val="en-US"/>
        </w:rPr>
        <w:t>worsening</w:t>
      </w:r>
      <w:r>
        <w:rPr>
          <w:lang w:val="en-US"/>
        </w:rPr>
        <w:t>;</w:t>
      </w:r>
    </w:p>
    <w:p w14:paraId="6BA7F155" w14:textId="77777777" w:rsidR="00EC7791" w:rsidRDefault="00EC7791" w:rsidP="00EC7791">
      <w:pPr>
        <w:pStyle w:val="LV2"/>
        <w:rPr>
          <w:lang w:val="en-US"/>
        </w:rPr>
      </w:pPr>
      <w:r>
        <w:t xml:space="preserve">being exposed to an </w:t>
      </w:r>
      <w:r w:rsidRPr="000A44D3">
        <w:t>explosive blast</w:t>
      </w:r>
      <w:r>
        <w:t xml:space="preserve"> </w:t>
      </w:r>
      <w:r w:rsidRPr="003A2B1D">
        <w:t xml:space="preserve">within the </w:t>
      </w:r>
      <w:r>
        <w:t>3 months</w:t>
      </w:r>
      <w:r w:rsidRPr="003A2B1D">
        <w:t xml:space="preserve"> </w:t>
      </w:r>
      <w:r w:rsidRPr="00004315">
        <w:t xml:space="preserve">immediately preceding </w:t>
      </w:r>
      <w:r w:rsidRPr="003A2B1D">
        <w:t>clinical onset or clinical worsening</w:t>
      </w:r>
      <w:r>
        <w:t>;</w:t>
      </w:r>
    </w:p>
    <w:p w14:paraId="16378E87" w14:textId="77777777" w:rsidR="00EC7791" w:rsidRDefault="00EC7791" w:rsidP="00EC7791">
      <w:pPr>
        <w:pStyle w:val="LV2"/>
        <w:rPr>
          <w:lang w:val="en-US"/>
        </w:rPr>
      </w:pPr>
      <w:r w:rsidRPr="00D729AF">
        <w:rPr>
          <w:lang w:val="en-US"/>
        </w:rPr>
        <w:t xml:space="preserve">having an </w:t>
      </w:r>
      <w:r w:rsidRPr="000A44D3">
        <w:rPr>
          <w:lang w:val="en-US"/>
        </w:rPr>
        <w:t>electrical injury</w:t>
      </w:r>
      <w:r w:rsidRPr="00D729AF">
        <w:rPr>
          <w:lang w:val="en-US"/>
        </w:rPr>
        <w:t xml:space="preserve"> within the </w:t>
      </w:r>
      <w:r>
        <w:rPr>
          <w:lang w:val="en-US"/>
        </w:rPr>
        <w:t>5</w:t>
      </w:r>
      <w:r w:rsidRPr="00D729AF">
        <w:rPr>
          <w:lang w:val="en-US"/>
        </w:rPr>
        <w:t xml:space="preserve"> years </w:t>
      </w:r>
      <w:r w:rsidRPr="00765792">
        <w:t>immediately preceding</w:t>
      </w:r>
      <w:r w:rsidRPr="00D729AF">
        <w:rPr>
          <w:lang w:val="en-US"/>
        </w:rPr>
        <w:t xml:space="preserve"> clinical onset</w:t>
      </w:r>
      <w:r>
        <w:rPr>
          <w:lang w:val="en-US"/>
        </w:rPr>
        <w:t xml:space="preserve"> or clinical </w:t>
      </w:r>
      <w:r w:rsidRPr="00D729AF">
        <w:rPr>
          <w:lang w:val="en-US"/>
        </w:rPr>
        <w:t>worsening</w:t>
      </w:r>
      <w:r>
        <w:rPr>
          <w:lang w:val="en-US"/>
        </w:rPr>
        <w:t>;</w:t>
      </w:r>
    </w:p>
    <w:p w14:paraId="6C63880A" w14:textId="38C89159" w:rsidR="00EC7791" w:rsidRDefault="00EC7791" w:rsidP="007252DE">
      <w:pPr>
        <w:pStyle w:val="NOTE"/>
        <w:ind w:left="1872"/>
        <w:rPr>
          <w:lang w:val="en-US"/>
        </w:rPr>
      </w:pPr>
      <w:r>
        <w:rPr>
          <w:lang w:val="en-US"/>
        </w:rPr>
        <w:t xml:space="preserve">Note: </w:t>
      </w:r>
      <w:r w:rsidR="004F0549">
        <w:rPr>
          <w:lang w:val="en-US"/>
        </w:rPr>
        <w:t>e</w:t>
      </w:r>
      <w:r>
        <w:rPr>
          <w:lang w:val="en-US"/>
        </w:rPr>
        <w:t xml:space="preserve">lectrical injury includes, but is not limited to, </w:t>
      </w:r>
      <w:r w:rsidRPr="00E41017">
        <w:rPr>
          <w:lang w:val="en-US"/>
        </w:rPr>
        <w:t>low-voltage electrical injury to the head</w:t>
      </w:r>
      <w:r>
        <w:rPr>
          <w:lang w:val="en-US"/>
        </w:rPr>
        <w:t xml:space="preserve"> or </w:t>
      </w:r>
      <w:r w:rsidRPr="00E41017">
        <w:rPr>
          <w:lang w:val="en-US"/>
        </w:rPr>
        <w:t>neck and high-voltage electrical injury to the body</w:t>
      </w:r>
      <w:r>
        <w:rPr>
          <w:lang w:val="en-US"/>
        </w:rPr>
        <w:t>.</w:t>
      </w:r>
    </w:p>
    <w:p w14:paraId="26F99AAC" w14:textId="77777777" w:rsidR="00EC7791" w:rsidRDefault="00EC7791" w:rsidP="00EC7791">
      <w:pPr>
        <w:pStyle w:val="LV2"/>
      </w:pPr>
      <w:r>
        <w:t xml:space="preserve">having one of the following </w:t>
      </w:r>
      <w:r w:rsidRPr="000A44D3">
        <w:t>inflammatory conditions</w:t>
      </w:r>
      <w:r>
        <w:t xml:space="preserve"> involving the affected eye before clinical onset or clinical worsening:</w:t>
      </w:r>
    </w:p>
    <w:p w14:paraId="1CA26612" w14:textId="77777777" w:rsidR="00EC7791" w:rsidRPr="00EC7791" w:rsidRDefault="00EC7791" w:rsidP="00EC7791">
      <w:pPr>
        <w:pStyle w:val="LV3"/>
        <w:numPr>
          <w:ilvl w:val="2"/>
          <w:numId w:val="22"/>
        </w:numPr>
        <w:rPr>
          <w:lang w:val="en-US"/>
        </w:rPr>
      </w:pPr>
      <w:r>
        <w:t>uveitis;</w:t>
      </w:r>
      <w:r w:rsidRPr="00EC7791">
        <w:t xml:space="preserve"> </w:t>
      </w:r>
    </w:p>
    <w:p w14:paraId="50AF7B2B" w14:textId="7F207E83" w:rsidR="00EC7791" w:rsidRPr="00E523A2" w:rsidRDefault="00EC7791" w:rsidP="00EC7791">
      <w:pPr>
        <w:pStyle w:val="LV3"/>
        <w:numPr>
          <w:ilvl w:val="2"/>
          <w:numId w:val="22"/>
        </w:numPr>
        <w:rPr>
          <w:lang w:val="en-US"/>
        </w:rPr>
      </w:pPr>
      <w:r w:rsidRPr="00EC7791">
        <w:t>scleritis or episcleritis, where there is anterior chamber inflammation;</w:t>
      </w:r>
    </w:p>
    <w:p w14:paraId="552B951E" w14:textId="77777777" w:rsidR="00EC7791" w:rsidRPr="003B422F" w:rsidRDefault="00EC7791" w:rsidP="00EC7791">
      <w:pPr>
        <w:pStyle w:val="LV2"/>
      </w:pPr>
      <w:r w:rsidRPr="002E6900">
        <w:t xml:space="preserve">having a </w:t>
      </w:r>
      <w:r w:rsidRPr="000A44D3">
        <w:t>Body Mass Index (BMI</w:t>
      </w:r>
      <w:r w:rsidRPr="002E6900">
        <w:t xml:space="preserve">) of 25 or greater for at least </w:t>
      </w:r>
      <w:r>
        <w:t>the 5</w:t>
      </w:r>
      <w:r w:rsidRPr="002E6900">
        <w:t xml:space="preserve"> years </w:t>
      </w:r>
      <w:r w:rsidRPr="00765792">
        <w:t>immediately preceding clinical onset</w:t>
      </w:r>
      <w:r>
        <w:t xml:space="preserve"> or clinical worsening</w:t>
      </w:r>
      <w:r w:rsidRPr="002E6900">
        <w:t>;</w:t>
      </w:r>
    </w:p>
    <w:p w14:paraId="38D8F8AF" w14:textId="2A77DE1D" w:rsidR="00704802" w:rsidRPr="002E6900" w:rsidRDefault="00704802" w:rsidP="007252DE">
      <w:pPr>
        <w:pStyle w:val="NOTE"/>
        <w:ind w:left="1872"/>
      </w:pPr>
      <w:r w:rsidRPr="002E6900">
        <w:t xml:space="preserve">Note: Body </w:t>
      </w:r>
      <w:r w:rsidR="004F0549">
        <w:t>M</w:t>
      </w:r>
      <w:r w:rsidRPr="002E6900">
        <w:t xml:space="preserve">ass </w:t>
      </w:r>
      <w:r w:rsidR="004F0549">
        <w:t>I</w:t>
      </w:r>
      <w:r w:rsidRPr="002E6900">
        <w:t>nd</w:t>
      </w:r>
      <w:r>
        <w:t>ex (BMI) is calculated as W/H</w:t>
      </w:r>
      <w:r w:rsidRPr="003B422F">
        <w:rPr>
          <w:vertAlign w:val="superscript"/>
        </w:rPr>
        <w:t xml:space="preserve">2 </w:t>
      </w:r>
      <w:r w:rsidRPr="002E6900">
        <w:t>where:</w:t>
      </w:r>
    </w:p>
    <w:p w14:paraId="5DECF44E" w14:textId="77777777" w:rsidR="00795ABB" w:rsidRDefault="00795ABB" w:rsidP="00795ABB">
      <w:pPr>
        <w:pStyle w:val="NOTE"/>
        <w:numPr>
          <w:ilvl w:val="0"/>
          <w:numId w:val="25"/>
        </w:numPr>
        <w:ind w:left="2228" w:hanging="357"/>
      </w:pPr>
      <w:r>
        <w:t>W is the person's weight in kilograms; and</w:t>
      </w:r>
    </w:p>
    <w:p w14:paraId="66652DF3" w14:textId="77777777" w:rsidR="00795ABB" w:rsidRDefault="00795ABB" w:rsidP="00795ABB">
      <w:pPr>
        <w:pStyle w:val="NOTE"/>
        <w:numPr>
          <w:ilvl w:val="0"/>
          <w:numId w:val="25"/>
        </w:numPr>
        <w:ind w:left="2228" w:hanging="357"/>
      </w:pPr>
      <w:r>
        <w:t>H is the person's height in metres.</w:t>
      </w:r>
    </w:p>
    <w:p w14:paraId="4C87BC11" w14:textId="77777777" w:rsidR="00704802" w:rsidRPr="00704802" w:rsidRDefault="00704802" w:rsidP="00704802">
      <w:pPr>
        <w:pStyle w:val="LV2"/>
        <w:rPr>
          <w:lang w:val="en-US"/>
        </w:rPr>
      </w:pPr>
      <w:r>
        <w:t xml:space="preserve">having </w:t>
      </w:r>
      <w:r w:rsidRPr="000A44D3">
        <w:t>diabetes mellitus</w:t>
      </w:r>
      <w:r>
        <w:t xml:space="preserve"> </w:t>
      </w:r>
      <w:r w:rsidRPr="00380DDD">
        <w:t xml:space="preserve">for at least the 5 years </w:t>
      </w:r>
      <w:r w:rsidRPr="00765792">
        <w:t xml:space="preserve">immediately preceding </w:t>
      </w:r>
      <w:r>
        <w:t>clinical onset or clinical worsening;</w:t>
      </w:r>
    </w:p>
    <w:p w14:paraId="4CB46155" w14:textId="77777777" w:rsidR="00704802" w:rsidRDefault="00704802" w:rsidP="00704802">
      <w:pPr>
        <w:pStyle w:val="LV2"/>
        <w:rPr>
          <w:lang w:val="en-US"/>
        </w:rPr>
      </w:pPr>
      <w:r w:rsidRPr="009F3A3A">
        <w:t xml:space="preserve">having </w:t>
      </w:r>
      <w:r w:rsidRPr="000A44D3">
        <w:t>chronic hypoparathyroidism</w:t>
      </w:r>
      <w:r w:rsidRPr="009F3A3A">
        <w:t xml:space="preserve"> with </w:t>
      </w:r>
      <w:r w:rsidRPr="009F3A3A">
        <w:rPr>
          <w:lang w:val="en-US"/>
        </w:rPr>
        <w:t xml:space="preserve">hypocalcaemia </w:t>
      </w:r>
      <w:r w:rsidRPr="007B0500">
        <w:rPr>
          <w:lang w:val="en-US"/>
        </w:rPr>
        <w:t xml:space="preserve">for at least 3 months </w:t>
      </w:r>
      <w:r w:rsidRPr="007B0500">
        <w:t>before</w:t>
      </w:r>
      <w:r w:rsidRPr="009F3A3A">
        <w:t xml:space="preserve"> clinical onset or clinical worsening of cortical or subcapsular cataract;</w:t>
      </w:r>
    </w:p>
    <w:p w14:paraId="423E732B" w14:textId="77777777" w:rsidR="00704802" w:rsidRDefault="00704802" w:rsidP="00704802">
      <w:pPr>
        <w:pStyle w:val="LV2"/>
        <w:rPr>
          <w:lang w:val="en-US"/>
        </w:rPr>
      </w:pPr>
      <w:r>
        <w:t>being exposed to</w:t>
      </w:r>
      <w:r w:rsidRPr="008C1CF9">
        <w:t xml:space="preserve"> </w:t>
      </w:r>
      <w:r w:rsidRPr="000A44D3">
        <w:t>corticosteroids</w:t>
      </w:r>
      <w:r w:rsidRPr="008C1CF9">
        <w:t xml:space="preserve"> </w:t>
      </w:r>
      <w:r w:rsidRPr="006A5AFC">
        <w:t xml:space="preserve">in any of the following </w:t>
      </w:r>
      <w:r w:rsidRPr="00B67CE2">
        <w:t>circumstances within the 10 years</w:t>
      </w:r>
      <w:r w:rsidRPr="008C1CF9">
        <w:t xml:space="preserve"> before clinical onset</w:t>
      </w:r>
      <w:r>
        <w:t xml:space="preserve"> or clinical worsening:</w:t>
      </w:r>
    </w:p>
    <w:p w14:paraId="70D4FDA1" w14:textId="517F9DD0" w:rsidR="00704802" w:rsidRPr="00E523A2" w:rsidRDefault="00704802" w:rsidP="00704802">
      <w:pPr>
        <w:pStyle w:val="LV3"/>
        <w:numPr>
          <w:ilvl w:val="2"/>
          <w:numId w:val="22"/>
        </w:numPr>
        <w:rPr>
          <w:lang w:val="en-US"/>
        </w:rPr>
      </w:pPr>
      <w:r w:rsidRPr="00E523A2">
        <w:rPr>
          <w:lang w:val="en-US"/>
        </w:rPr>
        <w:t>applying a topical corticosteroid to the cornea of the affected eye equivalent to a cumulative dose of at least 100 drops of 0.1% dexamethasone;</w:t>
      </w:r>
    </w:p>
    <w:p w14:paraId="3612EE7E" w14:textId="77777777" w:rsidR="00704802" w:rsidRDefault="00704802" w:rsidP="00704802">
      <w:pPr>
        <w:pStyle w:val="LV3"/>
        <w:numPr>
          <w:ilvl w:val="2"/>
          <w:numId w:val="4"/>
        </w:numPr>
        <w:rPr>
          <w:lang w:val="en-US"/>
        </w:rPr>
      </w:pPr>
      <w:r>
        <w:rPr>
          <w:lang w:val="en-US"/>
        </w:rPr>
        <w:t xml:space="preserve">having </w:t>
      </w:r>
      <w:r w:rsidRPr="007A6E89">
        <w:rPr>
          <w:lang w:val="en-US"/>
        </w:rPr>
        <w:t>an intravitreal corticosteroid implant</w:t>
      </w:r>
      <w:r>
        <w:rPr>
          <w:lang w:val="en-US"/>
        </w:rPr>
        <w:t xml:space="preserve"> in </w:t>
      </w:r>
      <w:r w:rsidRPr="00FB3062">
        <w:rPr>
          <w:lang w:val="en-US"/>
        </w:rPr>
        <w:t>the affected eye</w:t>
      </w:r>
      <w:r w:rsidRPr="00030A48">
        <w:rPr>
          <w:lang w:val="en-US"/>
        </w:rPr>
        <w:t xml:space="preserve"> for at least</w:t>
      </w:r>
      <w:r>
        <w:rPr>
          <w:lang w:val="en-US"/>
        </w:rPr>
        <w:t xml:space="preserve"> 6 months;</w:t>
      </w:r>
    </w:p>
    <w:p w14:paraId="0F542BEC" w14:textId="2D7736D7" w:rsidR="00704802" w:rsidRPr="00FB3062" w:rsidRDefault="00704802" w:rsidP="00704802">
      <w:pPr>
        <w:pStyle w:val="LV3"/>
        <w:numPr>
          <w:ilvl w:val="2"/>
          <w:numId w:val="4"/>
        </w:numPr>
        <w:rPr>
          <w:lang w:val="en-US"/>
        </w:rPr>
      </w:pPr>
      <w:r w:rsidRPr="00FB3062">
        <w:rPr>
          <w:lang w:val="en-US"/>
        </w:rPr>
        <w:lastRenderedPageBreak/>
        <w:t>taking an oral corticosteroid equivalent to a cumulative dose of at least 450 milligrams of prednisone;</w:t>
      </w:r>
    </w:p>
    <w:p w14:paraId="1439B293" w14:textId="6A49D4D7" w:rsidR="00704802" w:rsidRPr="00974036" w:rsidRDefault="00704802" w:rsidP="00974036">
      <w:pPr>
        <w:pStyle w:val="LV3"/>
        <w:numPr>
          <w:ilvl w:val="2"/>
          <w:numId w:val="4"/>
        </w:numPr>
        <w:rPr>
          <w:lang w:val="en-US"/>
        </w:rPr>
      </w:pPr>
      <w:r w:rsidRPr="00FB3062">
        <w:rPr>
          <w:lang w:val="en-US"/>
        </w:rPr>
        <w:t xml:space="preserve">using an inhalational corticosteroid equivalent to a cumulative dose of at least </w:t>
      </w:r>
      <w:r w:rsidRPr="005515FB">
        <w:rPr>
          <w:lang w:val="en-US"/>
        </w:rPr>
        <w:t>1,000 milligrams</w:t>
      </w:r>
      <w:r w:rsidRPr="00FB3062">
        <w:rPr>
          <w:lang w:val="en-US"/>
        </w:rPr>
        <w:t xml:space="preserve"> of budesonide</w:t>
      </w:r>
      <w:r>
        <w:rPr>
          <w:lang w:val="en-US"/>
        </w:rPr>
        <w:t>;</w:t>
      </w:r>
    </w:p>
    <w:p w14:paraId="1F64ED70" w14:textId="77777777" w:rsidR="00704802" w:rsidRPr="00704802" w:rsidRDefault="00704802" w:rsidP="00704802">
      <w:pPr>
        <w:pStyle w:val="LV2"/>
        <w:rPr>
          <w:color w:val="000000" w:themeColor="text1"/>
        </w:rPr>
      </w:pPr>
      <w:r w:rsidRPr="00704802">
        <w:rPr>
          <w:color w:val="000000" w:themeColor="text1"/>
        </w:rPr>
        <w:t xml:space="preserve">being treated with one of the following </w:t>
      </w:r>
      <w:r w:rsidRPr="000A44D3">
        <w:rPr>
          <w:color w:val="000000" w:themeColor="text1"/>
        </w:rPr>
        <w:t>medications</w:t>
      </w:r>
      <w:r w:rsidRPr="00704802">
        <w:rPr>
          <w:color w:val="000000" w:themeColor="text1"/>
        </w:rPr>
        <w:t xml:space="preserve"> before clinical onset or clinical worsening:</w:t>
      </w:r>
    </w:p>
    <w:p w14:paraId="7DF5B47B" w14:textId="77777777" w:rsidR="00704802" w:rsidRPr="00704802" w:rsidRDefault="00704802" w:rsidP="00704802">
      <w:pPr>
        <w:pStyle w:val="LV3"/>
        <w:numPr>
          <w:ilvl w:val="2"/>
          <w:numId w:val="24"/>
        </w:numPr>
        <w:rPr>
          <w:color w:val="000000" w:themeColor="text1"/>
        </w:rPr>
      </w:pPr>
      <w:r w:rsidRPr="00704802">
        <w:rPr>
          <w:color w:val="000000" w:themeColor="text1"/>
        </w:rPr>
        <w:t>for anterior subcapsular cataract only, receiving a cumulative dose of at least 750 grams of a phenothiazine;</w:t>
      </w:r>
    </w:p>
    <w:p w14:paraId="2D98C56F" w14:textId="56263744" w:rsidR="00704802" w:rsidRPr="00974036" w:rsidRDefault="00704802" w:rsidP="00974036">
      <w:pPr>
        <w:pStyle w:val="LV3"/>
        <w:numPr>
          <w:ilvl w:val="2"/>
          <w:numId w:val="22"/>
        </w:numPr>
        <w:rPr>
          <w:color w:val="000000" w:themeColor="text1"/>
        </w:rPr>
      </w:pPr>
      <w:r w:rsidRPr="00704802">
        <w:rPr>
          <w:color w:val="000000" w:themeColor="text1"/>
        </w:rPr>
        <w:t xml:space="preserve">receiving a cumulative dose of at least 15 grams of tamoxifen; </w:t>
      </w:r>
    </w:p>
    <w:p w14:paraId="161F48DD" w14:textId="08210AAC" w:rsidR="00704802" w:rsidRDefault="00704802" w:rsidP="00704802">
      <w:pPr>
        <w:pStyle w:val="LV2"/>
        <w:rPr>
          <w:lang w:val="en-US"/>
        </w:rPr>
      </w:pPr>
      <w:r>
        <w:t xml:space="preserve">having </w:t>
      </w:r>
      <w:r w:rsidRPr="000A44D3">
        <w:t>smoked</w:t>
      </w:r>
      <w:r>
        <w:t xml:space="preserve"> </w:t>
      </w:r>
      <w:r w:rsidRPr="008551AB">
        <w:t>at least 10</w:t>
      </w:r>
      <w:r>
        <w:t xml:space="preserve"> </w:t>
      </w:r>
      <w:r w:rsidRPr="008551AB">
        <w:t>pack</w:t>
      </w:r>
      <w:r>
        <w:t>-years before clinical onset or clinical worsening;</w:t>
      </w:r>
    </w:p>
    <w:p w14:paraId="493B0F91" w14:textId="77777777" w:rsidR="00704802" w:rsidRDefault="00704802" w:rsidP="00704802">
      <w:pPr>
        <w:pStyle w:val="Note1"/>
        <w:ind w:left="1418"/>
      </w:pPr>
      <w:r>
        <w:t xml:space="preserve">Note: </w:t>
      </w:r>
      <w:r>
        <w:rPr>
          <w:b/>
          <w:i/>
        </w:rPr>
        <w:t>one pack-year</w:t>
      </w:r>
      <w:r>
        <w:t xml:space="preserve"> is defined in the Schedule 1 – Dictionary.</w:t>
      </w:r>
    </w:p>
    <w:p w14:paraId="05816BEB" w14:textId="77777777" w:rsidR="00704802" w:rsidRPr="002E6900" w:rsidRDefault="00704802" w:rsidP="00704802">
      <w:pPr>
        <w:pStyle w:val="LV2"/>
      </w:pPr>
      <w:r w:rsidRPr="008054FE">
        <w:t xml:space="preserve">when aged under 60 years only, having </w:t>
      </w:r>
      <w:r w:rsidRPr="000A44D3">
        <w:t>chronic renal failure</w:t>
      </w:r>
      <w:r w:rsidRPr="008054FE">
        <w:t xml:space="preserve"> at</w:t>
      </w:r>
      <w:r w:rsidRPr="002E6900">
        <w:t xml:space="preserve"> the time of clinical onset or clinical worsening as indicated by:</w:t>
      </w:r>
    </w:p>
    <w:p w14:paraId="5115CA39" w14:textId="77777777" w:rsidR="00704802" w:rsidRPr="002E6900" w:rsidRDefault="00704802" w:rsidP="00704802">
      <w:pPr>
        <w:pStyle w:val="LV3"/>
        <w:numPr>
          <w:ilvl w:val="2"/>
          <w:numId w:val="22"/>
        </w:numPr>
      </w:pPr>
      <w:r w:rsidRPr="002E6900">
        <w:t>a glomerular filtration rate of less than 15 mL/min/1.73 m</w:t>
      </w:r>
      <w:r w:rsidRPr="00E523A2">
        <w:rPr>
          <w:vertAlign w:val="superscript"/>
        </w:rPr>
        <w:t>2</w:t>
      </w:r>
      <w:r w:rsidRPr="002E6900">
        <w:t xml:space="preserve"> for a period of at least 3 months; or</w:t>
      </w:r>
    </w:p>
    <w:p w14:paraId="4BFBBADB" w14:textId="77777777" w:rsidR="00704802" w:rsidRPr="00AC2794" w:rsidRDefault="00704802" w:rsidP="00704802">
      <w:pPr>
        <w:pStyle w:val="LV3"/>
        <w:numPr>
          <w:ilvl w:val="2"/>
          <w:numId w:val="4"/>
        </w:numPr>
      </w:pPr>
      <w:r w:rsidRPr="002E6900">
        <w:t>undergoing chr</w:t>
      </w:r>
      <w:r>
        <w:t>onic dialysis for renal failure.</w:t>
      </w:r>
    </w:p>
    <w:p w14:paraId="61645AE3" w14:textId="624BE3DB" w:rsidR="00704802" w:rsidRPr="00704802" w:rsidRDefault="00704802" w:rsidP="00704802">
      <w:pPr>
        <w:pStyle w:val="LV2"/>
        <w:rPr>
          <w:lang w:val="en-US"/>
        </w:rPr>
      </w:pPr>
      <w:r>
        <w:rPr>
          <w:lang w:val="en-US"/>
        </w:rPr>
        <w:t>i</w:t>
      </w:r>
      <w:r w:rsidRPr="005770BB">
        <w:rPr>
          <w:lang w:val="en-US"/>
        </w:rPr>
        <w:t>nhaling</w:t>
      </w:r>
      <w:r>
        <w:rPr>
          <w:lang w:val="en-US"/>
        </w:rPr>
        <w:t xml:space="preserve"> </w:t>
      </w:r>
      <w:r w:rsidRPr="005770BB">
        <w:rPr>
          <w:lang w:val="en-US"/>
        </w:rPr>
        <w:t>or having cutaneous contact with</w:t>
      </w:r>
      <w:r>
        <w:rPr>
          <w:lang w:val="en-US"/>
        </w:rPr>
        <w:t xml:space="preserve"> </w:t>
      </w:r>
      <w:r w:rsidRPr="005770BB">
        <w:rPr>
          <w:lang w:val="en-US"/>
        </w:rPr>
        <w:t>2,4,6-</w:t>
      </w:r>
      <w:r>
        <w:rPr>
          <w:lang w:val="en-US"/>
        </w:rPr>
        <w:t>t</w:t>
      </w:r>
      <w:r w:rsidRPr="005770BB">
        <w:rPr>
          <w:lang w:val="en-US"/>
        </w:rPr>
        <w:t>rinitrotoluene (</w:t>
      </w:r>
      <w:r w:rsidRPr="000A44D3">
        <w:rPr>
          <w:lang w:val="en-US"/>
        </w:rPr>
        <w:t>TNT</w:t>
      </w:r>
      <w:r w:rsidRPr="005770BB">
        <w:rPr>
          <w:lang w:val="en-US"/>
        </w:rPr>
        <w:t>)</w:t>
      </w:r>
      <w:r>
        <w:rPr>
          <w:lang w:val="en-US"/>
        </w:rPr>
        <w:t xml:space="preserve"> on more days than not, for at least 10 years before clinical onset or clinical worsening;</w:t>
      </w:r>
    </w:p>
    <w:p w14:paraId="1F719BEB" w14:textId="6B447018" w:rsidR="007C7DEE" w:rsidRPr="008D1B8B" w:rsidRDefault="007C7DEE" w:rsidP="00253D7C">
      <w:pPr>
        <w:pStyle w:val="LV2"/>
      </w:pPr>
      <w:r w:rsidRPr="000A44D3">
        <w:t>inability</w:t>
      </w:r>
      <w:r w:rsidRPr="008D1B8B">
        <w:t xml:space="preserve"> to obtain appropriate clinical management for</w:t>
      </w:r>
      <w:bookmarkEnd w:id="24"/>
      <w:r w:rsidR="007A3989">
        <w:t xml:space="preserve"> </w:t>
      </w:r>
      <w:r w:rsidR="00624064" w:rsidRPr="00624064">
        <w:t>cataract</w:t>
      </w:r>
      <w:r w:rsidR="009B4DFF">
        <w:t xml:space="preserve"> before clinical worsening</w:t>
      </w:r>
      <w:r w:rsidR="00D5620B" w:rsidRPr="008D1B8B">
        <w:t>.</w:t>
      </w:r>
      <w:bookmarkEnd w:id="25"/>
    </w:p>
    <w:p w14:paraId="64773EDD" w14:textId="77777777" w:rsidR="000C21A3" w:rsidRPr="00684C0E" w:rsidRDefault="00D32F71" w:rsidP="00253D7C">
      <w:pPr>
        <w:pStyle w:val="LV1"/>
      </w:pPr>
      <w:bookmarkStart w:id="26" w:name="_Toc512513143"/>
      <w:bookmarkStart w:id="27" w:name="_Ref402530057"/>
      <w:r>
        <w:t>Relationship to s</w:t>
      </w:r>
      <w:r w:rsidR="000C21A3" w:rsidRPr="00684C0E">
        <w:t>ervice</w:t>
      </w:r>
      <w:bookmarkEnd w:id="26"/>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7"/>
    <w:p w14:paraId="7F7AE3EC" w14:textId="7F6D5405" w:rsidR="00CF2367" w:rsidRPr="00187DE1" w:rsidRDefault="00F03C06" w:rsidP="00253D7C">
      <w:pPr>
        <w:pStyle w:val="LV2"/>
      </w:pPr>
      <w:r w:rsidRPr="00187DE1">
        <w:t xml:space="preserve">The </w:t>
      </w:r>
      <w:r w:rsidR="00CE1C2D">
        <w:t xml:space="preserve">clinical worsening aspect of </w:t>
      </w:r>
      <w:r w:rsidRPr="00187DE1">
        <w:t>factor</w:t>
      </w:r>
      <w:r w:rsidR="00FF1D47">
        <w:t>s</w:t>
      </w:r>
      <w:r w:rsidRPr="00187DE1">
        <w:t xml:space="preserve"> set out in </w:t>
      </w:r>
      <w:r w:rsidR="009056AF">
        <w:t>section</w:t>
      </w:r>
      <w:r w:rsidR="00FF1D47">
        <w:t xml:space="preserve"> </w:t>
      </w:r>
      <w:r w:rsidR="00DA3996">
        <w:t>9</w:t>
      </w:r>
      <w:r w:rsidR="00FF1D47">
        <w:t xml:space="preserve"> </w:t>
      </w:r>
      <w:r w:rsidRPr="00187DE1">
        <w:t>appl</w:t>
      </w:r>
      <w:r w:rsidR="005B785F">
        <w:t>y</w:t>
      </w:r>
      <w:r w:rsidRPr="00187DE1">
        <w:t xml:space="preserve"> only to material contribution to, or aggravation of, </w:t>
      </w:r>
      <w:r w:rsidR="00624064" w:rsidRPr="00624064">
        <w:t>cataract</w:t>
      </w:r>
      <w:r w:rsidR="007A3989">
        <w:t xml:space="preserve"> </w:t>
      </w:r>
      <w:r w:rsidRPr="00187DE1">
        <w:t>where the person</w:t>
      </w:r>
      <w:r w:rsidR="00950C80">
        <w:t>'</w:t>
      </w:r>
      <w:r w:rsidRPr="00187DE1">
        <w:t xml:space="preserve">s </w:t>
      </w:r>
      <w:r w:rsidR="00624064" w:rsidRPr="00624064">
        <w:t>cataract</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8" w:name="_Toc512513144"/>
      <w:r w:rsidRPr="00301C54">
        <w:t>Factors referring to an injury or disea</w:t>
      </w:r>
      <w:r w:rsidR="008B2204">
        <w:t>se covered by another Statement</w:t>
      </w:r>
      <w:r w:rsidRPr="00301C54">
        <w:t xml:space="preserve"> of Principles</w:t>
      </w:r>
      <w:bookmarkEnd w:id="28"/>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14:paraId="38787542" w14:textId="77777777" w:rsidR="00F03C06" w:rsidRDefault="00733269" w:rsidP="00253D7C">
      <w:pPr>
        <w:pStyle w:val="PlainIndent"/>
      </w:pPr>
      <w:r w:rsidRPr="00E64EE4">
        <w:lastRenderedPageBreak/>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9" w:name="opcAmSched"/>
      <w:bookmarkStart w:id="30" w:name="opcCurrentFind"/>
      <w:bookmarkStart w:id="31"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2" w:name="_Toc405472918"/>
      <w:bookmarkStart w:id="33" w:name="_Toc512513146"/>
      <w:r w:rsidRPr="00D97BB3">
        <w:t>Definitions</w:t>
      </w:r>
      <w:bookmarkEnd w:id="32"/>
      <w:bookmarkEnd w:id="33"/>
    </w:p>
    <w:p w14:paraId="0A901716" w14:textId="77777777" w:rsidR="00702C42" w:rsidRPr="00516768" w:rsidRDefault="00702C42" w:rsidP="00253D7C">
      <w:pPr>
        <w:pStyle w:val="SH2"/>
      </w:pPr>
      <w:r w:rsidRPr="00516768">
        <w:t>In this instrument:</w:t>
      </w:r>
    </w:p>
    <w:p w14:paraId="7697934C" w14:textId="5B935BF8" w:rsidR="00633F87" w:rsidRPr="00513D05" w:rsidRDefault="00624064" w:rsidP="00633F87">
      <w:pPr>
        <w:pStyle w:val="SH3"/>
      </w:pPr>
      <w:bookmarkStart w:id="34" w:name="_Ref402530810"/>
      <w:r w:rsidRPr="00624064">
        <w:rPr>
          <w:b/>
          <w:i/>
        </w:rPr>
        <w:t>cataract</w:t>
      </w:r>
      <w:r w:rsidR="00633F87" w:rsidRPr="00513D05">
        <w:t>—see subsection</w:t>
      </w:r>
      <w:r w:rsidR="00633F87">
        <w:t xml:space="preserve"> 7(2).</w:t>
      </w:r>
    </w:p>
    <w:p w14:paraId="0FEC9208" w14:textId="77777777" w:rsidR="00A95010" w:rsidRDefault="00A95010" w:rsidP="00A95010">
      <w:pPr>
        <w:pStyle w:val="SH3"/>
      </w:pPr>
      <w:r w:rsidRPr="000A44D3">
        <w:rPr>
          <w:b/>
          <w:bCs/>
          <w:i/>
          <w:iCs/>
        </w:rPr>
        <w:t>cumulative equivalent</w:t>
      </w:r>
      <w:r w:rsidRPr="00A95010">
        <w:rPr>
          <w:b/>
          <w:bCs/>
          <w:i/>
          <w:iCs/>
        </w:rPr>
        <w:t xml:space="preserve"> dose</w:t>
      </w:r>
      <w:r w:rsidRPr="00A95010">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A95010">
        <w:rPr>
          <w:i/>
          <w:iCs/>
        </w:rPr>
        <w:t>Guide to calculation of 'cumulative equivalent dose' for the purpose of applying ionising radiation factors contained in Statements of Principles determined under Part XIA of the Veterans' Entitlements Act 1986 (Cth),</w:t>
      </w:r>
      <w:r w:rsidRPr="00A95010">
        <w:t xml:space="preserve"> Australian Radiation Protection and Nuclear Safety Agency, as in force on 2 August 2017.</w:t>
      </w:r>
    </w:p>
    <w:p w14:paraId="28BD3AC8" w14:textId="77777777" w:rsidR="00A95010" w:rsidRDefault="00A95010" w:rsidP="00A95010">
      <w:pPr>
        <w:pStyle w:val="ScheduleNote"/>
        <w:ind w:left="1441" w:hanging="590"/>
      </w:pPr>
      <w:r>
        <w:t xml:space="preserve">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 </w:t>
      </w:r>
    </w:p>
    <w:p w14:paraId="45D5C1CC" w14:textId="7E84DB93" w:rsidR="00A95010" w:rsidRPr="00A95010" w:rsidRDefault="00A95010" w:rsidP="00A95010">
      <w:pPr>
        <w:pStyle w:val="ScheduleNote"/>
        <w:ind w:left="1441" w:hanging="590"/>
      </w:pPr>
      <w:r>
        <w:t>Note 2: For the purpose of dose reconstruction, dose is calculated as an average over the mass of a specific tissue or organ. If a tissue is exposed to multiple sources of ionising radiation, the various dose estimates for each type of radiation must be combined.</w:t>
      </w:r>
    </w:p>
    <w:p w14:paraId="4BB99A68" w14:textId="77777777" w:rsidR="0013381A" w:rsidRDefault="007B52F6" w:rsidP="0013381A">
      <w:pPr>
        <w:pStyle w:val="SH3"/>
      </w:pPr>
      <w:r w:rsidRPr="007B52F6">
        <w:tab/>
      </w:r>
      <w:r w:rsidR="0013381A" w:rsidRPr="000A44D3">
        <w:rPr>
          <w:b/>
          <w:bCs/>
          <w:i/>
          <w:iCs/>
        </w:rPr>
        <w:t>latitude equivalent hours</w:t>
      </w:r>
      <w:r w:rsidR="0013381A">
        <w:t xml:space="preserve"> means hours of sunlight exposure multiplied by the appropriate latitude weighting factor as follows:</w:t>
      </w:r>
    </w:p>
    <w:p w14:paraId="2A655808" w14:textId="77777777" w:rsidR="0013381A" w:rsidRPr="00633F87" w:rsidRDefault="0013381A" w:rsidP="007252DE">
      <w:pPr>
        <w:pStyle w:val="SH4"/>
      </w:pPr>
      <w:r w:rsidRPr="00633F87">
        <w:t>For tropical latitudes (23.5° South to 23.5° North) multiply by 1.0;</w:t>
      </w:r>
    </w:p>
    <w:p w14:paraId="0CEEF2FE" w14:textId="77777777" w:rsidR="0013381A" w:rsidRPr="00633F87" w:rsidRDefault="0013381A" w:rsidP="007252DE">
      <w:pPr>
        <w:pStyle w:val="SH4"/>
      </w:pPr>
      <w:r w:rsidRPr="00633F87">
        <w:t>For subtropical latitudes (23.6° - 35°) multiply by 0.75;</w:t>
      </w:r>
    </w:p>
    <w:p w14:paraId="45ECA3B5" w14:textId="77777777" w:rsidR="0013381A" w:rsidRPr="00633F87" w:rsidRDefault="0013381A" w:rsidP="007252DE">
      <w:pPr>
        <w:pStyle w:val="SH4"/>
      </w:pPr>
      <w:r w:rsidRPr="00633F87">
        <w:t>For warm temperate latitudes (35.1° - 45°) multiply by 0.5;</w:t>
      </w:r>
    </w:p>
    <w:p w14:paraId="225141C1" w14:textId="77777777" w:rsidR="0013381A" w:rsidRPr="00633F87" w:rsidRDefault="0013381A" w:rsidP="007252DE">
      <w:pPr>
        <w:pStyle w:val="SH4"/>
      </w:pPr>
      <w:r w:rsidRPr="00633F87">
        <w:t>For cool temperate latitudes (45.1° - 65°) multiply by 0.25.</w:t>
      </w:r>
    </w:p>
    <w:p w14:paraId="22544B47" w14:textId="6326B3E2" w:rsidR="0013381A" w:rsidRDefault="0013381A" w:rsidP="007252DE">
      <w:pPr>
        <w:pStyle w:val="ScheduleNote"/>
        <w:ind w:left="1305" w:hanging="454"/>
      </w:pPr>
      <w:r>
        <w:t xml:space="preserve">Note: </w:t>
      </w:r>
      <w:r w:rsidR="00915F23">
        <w:t>S</w:t>
      </w:r>
      <w:r>
        <w:t>unlight exposure is calculated as the sum of sunlight exposure in each separate latitude, accounting for the different sunlight intensity in each latitude (weighting factor).</w:t>
      </w:r>
    </w:p>
    <w:p w14:paraId="16D8A52F" w14:textId="77777777" w:rsidR="0013381A" w:rsidRPr="00633F87" w:rsidRDefault="0013381A" w:rsidP="0013381A">
      <w:pPr>
        <w:pStyle w:val="ScheduleNote"/>
      </w:pPr>
      <w:r>
        <w:t>Sum of sunlight exposure = (hours spent in tropical latitude x tropical latitude weighting factor) + (hours spent in subtropical latitude x subtropical latitude weighting factor) + (hours spent in warm temperate latitude x warm temperate latitude weighting factor) + (hours spent in cool temperate latitude x cool temperate latitude weighting factor).</w:t>
      </w:r>
    </w:p>
    <w:p w14:paraId="54D26BA0" w14:textId="0C0CB0C1"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777C1A7" w14:textId="77777777" w:rsidR="0090262E" w:rsidRPr="0090262E" w:rsidRDefault="0090262E" w:rsidP="00576E99">
      <w:pPr>
        <w:pStyle w:val="SH3"/>
      </w:pPr>
      <w:bookmarkStart w:id="35" w:name="_Ref402529607"/>
      <w:bookmarkEnd w:id="34"/>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VEA; </w:t>
      </w:r>
    </w:p>
    <w:p w14:paraId="79227E60" w14:textId="77777777" w:rsidR="0090262E" w:rsidRPr="0090262E" w:rsidRDefault="0090262E" w:rsidP="00304166">
      <w:pPr>
        <w:pStyle w:val="SH4"/>
        <w:ind w:left="1418"/>
      </w:pPr>
      <w:r w:rsidRPr="0090262E">
        <w:t xml:space="preserve">peacekeeping service under the VEA; </w:t>
      </w:r>
    </w:p>
    <w:p w14:paraId="3B571A2B" w14:textId="77777777" w:rsidR="0090262E" w:rsidRPr="0090262E" w:rsidRDefault="0090262E" w:rsidP="00304166">
      <w:pPr>
        <w:pStyle w:val="SH4"/>
        <w:ind w:left="1418"/>
      </w:pPr>
      <w:r w:rsidRPr="0090262E">
        <w:t xml:space="preserve">hazardous service under the VEA; </w:t>
      </w:r>
    </w:p>
    <w:p w14:paraId="1793AFAD" w14:textId="77777777" w:rsidR="0090262E" w:rsidRPr="0090262E" w:rsidRDefault="0090262E" w:rsidP="00304166">
      <w:pPr>
        <w:pStyle w:val="SH4"/>
        <w:ind w:left="1418"/>
      </w:pPr>
      <w:r w:rsidRPr="0090262E">
        <w:t>British nuclear test defence service under the VEA;</w:t>
      </w:r>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15E30F1D" w14:textId="77777777" w:rsidR="00704802" w:rsidRDefault="00704802" w:rsidP="00704802">
      <w:pPr>
        <w:pStyle w:val="SH3"/>
      </w:pPr>
      <w:r w:rsidRPr="000A44D3">
        <w:rPr>
          <w:b/>
          <w:i/>
        </w:rPr>
        <w:lastRenderedPageBreak/>
        <w:t>one pack-year</w:t>
      </w:r>
      <w:r>
        <w:rPr>
          <w:b/>
          <w:i/>
        </w:rPr>
        <w:t xml:space="preserve"> </w:t>
      </w:r>
      <w:r>
        <w:t>means the amount of tobacco consumed in smoking 20 cigarettes per day for a period of 1 year, or an equivalent amount of tobacco products.</w:t>
      </w:r>
    </w:p>
    <w:p w14:paraId="42C79557" w14:textId="77777777" w:rsidR="00704802" w:rsidRDefault="00704802" w:rsidP="007252DE">
      <w:pPr>
        <w:pStyle w:val="ScheduleNote"/>
        <w:ind w:left="1441" w:hanging="590"/>
      </w:pPr>
      <w:r>
        <w:t>Note 1: An equivalent amount of tobacco products is 7,300 grams of smoking tobacco by weight, either in cigarettes, pipe tobacco or cigars, or a combination of same. For pipe tobacco, cigars or combinations of multiple tobacco types, 1 gram of tobacco is considered to be equal to one cigarette.</w:t>
      </w:r>
    </w:p>
    <w:p w14:paraId="074002DA" w14:textId="7DB90138" w:rsidR="00704802" w:rsidRPr="00704802" w:rsidRDefault="00704802" w:rsidP="007252DE">
      <w:pPr>
        <w:pStyle w:val="ScheduleNote"/>
        <w:ind w:left="1441" w:hanging="590"/>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62F8EC76" w14:textId="32C9EAC3"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r w:rsidR="00885EAB" w:rsidRPr="00513D05">
        <w:t>pneumonia;</w:t>
      </w:r>
    </w:p>
    <w:p w14:paraId="0E41D83D" w14:textId="77777777" w:rsidR="00885EAB" w:rsidRPr="00513D05" w:rsidRDefault="00885EAB" w:rsidP="00984EE9">
      <w:pPr>
        <w:pStyle w:val="SH4"/>
        <w:ind w:left="1418"/>
      </w:pPr>
      <w:r w:rsidRPr="00513D05">
        <w:tab/>
        <w:t>respiratory failure;</w:t>
      </w:r>
    </w:p>
    <w:p w14:paraId="0F1150D7" w14:textId="77777777" w:rsidR="00885EAB" w:rsidRPr="00513D05" w:rsidRDefault="00885EAB" w:rsidP="00984EE9">
      <w:pPr>
        <w:pStyle w:val="SH4"/>
        <w:ind w:left="1418"/>
      </w:pPr>
      <w:r w:rsidRPr="00513D05">
        <w:tab/>
        <w:t>cardiac arrest;</w:t>
      </w:r>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3461008E" w14:textId="77777777" w:rsidR="00633F87" w:rsidRPr="00633F87" w:rsidRDefault="00633F87" w:rsidP="00633F87">
      <w:pPr>
        <w:pStyle w:val="SH3"/>
      </w:pPr>
      <w:r w:rsidRPr="000A44D3">
        <w:rPr>
          <w:b/>
          <w:bCs/>
          <w:i/>
          <w:iCs/>
        </w:rPr>
        <w:t>unprotected eye</w:t>
      </w:r>
      <w:r w:rsidRPr="00633F87">
        <w:t xml:space="preserve"> means an eye that is directly exposed to the sun and is not protected by sunglasses with lenses that provide good ultraviolet radiation protection such as lens category 2 or above, a brimmed hat or other physical barrier.</w:t>
      </w:r>
    </w:p>
    <w:p w14:paraId="624A2176" w14:textId="148B51CA"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C761" w14:textId="77777777" w:rsidR="00AD4D3D" w:rsidRDefault="00AD4D3D" w:rsidP="00715914">
      <w:pPr>
        <w:spacing w:line="240" w:lineRule="auto"/>
      </w:pPr>
      <w:r>
        <w:separator/>
      </w:r>
    </w:p>
  </w:endnote>
  <w:endnote w:type="continuationSeparator" w:id="0">
    <w:p w14:paraId="3747F74E" w14:textId="77777777" w:rsidR="00AD4D3D" w:rsidRDefault="00AD4D3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851"/>
    </w:tblGrid>
    <w:tr w:rsidR="004A2007" w:rsidRPr="00C01863" w14:paraId="752BD1AD" w14:textId="77777777" w:rsidTr="00D9424C">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10DB6495" w:rsidR="004A2007" w:rsidRDefault="00A62010" w:rsidP="004A2007">
          <w:pPr>
            <w:spacing w:line="0" w:lineRule="atLeast"/>
            <w:jc w:val="center"/>
            <w:rPr>
              <w:i/>
              <w:sz w:val="18"/>
              <w:szCs w:val="18"/>
            </w:rPr>
          </w:pPr>
          <w:r>
            <w:rPr>
              <w:i/>
              <w:sz w:val="18"/>
              <w:szCs w:val="18"/>
            </w:rPr>
            <w:t>c</w:t>
          </w:r>
          <w:r w:rsidR="00624064" w:rsidRPr="00624064">
            <w:rPr>
              <w:i/>
              <w:sz w:val="18"/>
              <w:szCs w:val="18"/>
            </w:rPr>
            <w:t>ataract</w:t>
          </w:r>
          <w:r w:rsidR="004A2007">
            <w:rPr>
              <w:i/>
              <w:sz w:val="18"/>
              <w:szCs w:val="18"/>
            </w:rPr>
            <w:t xml:space="preserve"> (Reasonable Hypothesis) </w:t>
          </w:r>
          <w:r w:rsidR="004A2007" w:rsidRPr="007C5CE0">
            <w:rPr>
              <w:i/>
              <w:sz w:val="18"/>
            </w:rPr>
            <w:t xml:space="preserve">(No. </w:t>
          </w:r>
          <w:r w:rsidR="00F45229">
            <w:rPr>
              <w:i/>
              <w:sz w:val="18"/>
            </w:rPr>
            <w:t>15</w:t>
          </w:r>
          <w:r>
            <w:rPr>
              <w:i/>
              <w:sz w:val="18"/>
            </w:rPr>
            <w:t xml:space="preserve"> </w:t>
          </w:r>
          <w:r w:rsidR="004A2007" w:rsidRPr="007C5CE0">
            <w:rPr>
              <w:i/>
              <w:sz w:val="18"/>
              <w:szCs w:val="18"/>
            </w:rPr>
            <w:t xml:space="preserve">of </w:t>
          </w:r>
          <w:r>
            <w:rPr>
              <w:i/>
              <w:sz w:val="18"/>
              <w:szCs w:val="18"/>
            </w:rPr>
            <w:t>202</w:t>
          </w:r>
          <w:r w:rsidR="00F45229">
            <w:rPr>
              <w:i/>
              <w:sz w:val="18"/>
              <w:szCs w:val="18"/>
            </w:rPr>
            <w:t>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1"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7F38E007" w:rsidR="004A2007" w:rsidRDefault="00690BB3" w:rsidP="004A2007">
          <w:pPr>
            <w:spacing w:line="0" w:lineRule="atLeast"/>
            <w:jc w:val="center"/>
            <w:rPr>
              <w:i/>
              <w:sz w:val="18"/>
              <w:szCs w:val="18"/>
            </w:rPr>
          </w:pPr>
          <w:r>
            <w:rPr>
              <w:i/>
              <w:sz w:val="18"/>
              <w:szCs w:val="18"/>
            </w:rPr>
            <w:t>c</w:t>
          </w:r>
          <w:r w:rsidR="00624064" w:rsidRPr="00624064">
            <w:rPr>
              <w:i/>
              <w:sz w:val="18"/>
              <w:szCs w:val="18"/>
            </w:rPr>
            <w:t>ataract</w:t>
          </w:r>
          <w:r w:rsidR="004A2007">
            <w:rPr>
              <w:i/>
              <w:sz w:val="18"/>
              <w:szCs w:val="18"/>
            </w:rPr>
            <w:t xml:space="preserve"> (Reasonable Hypothesis) </w:t>
          </w:r>
          <w:r w:rsidR="004A2007" w:rsidRPr="007C5CE0">
            <w:rPr>
              <w:i/>
              <w:sz w:val="18"/>
            </w:rPr>
            <w:t xml:space="preserve">(No. </w:t>
          </w:r>
          <w:r w:rsidR="00F45229">
            <w:rPr>
              <w:i/>
              <w:sz w:val="18"/>
              <w:szCs w:val="18"/>
            </w:rPr>
            <w:t>15</w:t>
          </w:r>
          <w:r w:rsidR="00F45229" w:rsidRPr="007C5CE0">
            <w:rPr>
              <w:i/>
              <w:sz w:val="18"/>
              <w:szCs w:val="18"/>
            </w:rPr>
            <w:t xml:space="preserve"> </w:t>
          </w:r>
          <w:r w:rsidR="004A2007" w:rsidRPr="007C5CE0">
            <w:rPr>
              <w:i/>
              <w:sz w:val="18"/>
              <w:szCs w:val="18"/>
            </w:rPr>
            <w:t xml:space="preserve">of </w:t>
          </w:r>
          <w:r w:rsidR="00F45229" w:rsidRPr="00624064">
            <w:rPr>
              <w:i/>
              <w:sz w:val="18"/>
              <w:szCs w:val="18"/>
            </w:rPr>
            <w:t>202</w:t>
          </w:r>
          <w:r w:rsidR="00F45229">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0D65" w14:textId="77777777" w:rsidR="00AD4D3D" w:rsidRDefault="00AD4D3D" w:rsidP="00715914">
      <w:pPr>
        <w:spacing w:line="240" w:lineRule="auto"/>
      </w:pPr>
      <w:r>
        <w:separator/>
      </w:r>
    </w:p>
  </w:footnote>
  <w:footnote w:type="continuationSeparator" w:id="0">
    <w:p w14:paraId="6989A03C" w14:textId="77777777" w:rsidR="00AD4D3D" w:rsidRDefault="00AD4D3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5A0031E9"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8654225"/>
    <w:multiLevelType w:val="hybridMultilevel"/>
    <w:tmpl w:val="81FAEEB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2"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65F06AD"/>
    <w:multiLevelType w:val="hybridMultilevel"/>
    <w:tmpl w:val="D42295F8"/>
    <w:lvl w:ilvl="0" w:tplc="DBF03226">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17"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7"/>
  </w:num>
  <w:num w:numId="2" w16cid:durableId="2038045613">
    <w:abstractNumId w:val="14"/>
  </w:num>
  <w:num w:numId="3" w16cid:durableId="36515333">
    <w:abstractNumId w:val="12"/>
  </w:num>
  <w:num w:numId="4" w16cid:durableId="1575965130">
    <w:abstractNumId w:val="10"/>
  </w:num>
  <w:num w:numId="5" w16cid:durableId="1765152458">
    <w:abstractNumId w:val="15"/>
  </w:num>
  <w:num w:numId="6" w16cid:durableId="1911230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3"/>
  </w:num>
  <w:num w:numId="21" w16cid:durableId="901251780">
    <w:abstractNumId w:val="10"/>
  </w:num>
  <w:num w:numId="22" w16cid:durableId="17237740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4618487">
    <w:abstractNumId w:val="11"/>
  </w:num>
  <w:num w:numId="24" w16cid:durableId="126584187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93828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080B"/>
    <w:rsid w:val="00032E05"/>
    <w:rsid w:val="00034883"/>
    <w:rsid w:val="00037A92"/>
    <w:rsid w:val="000437C1"/>
    <w:rsid w:val="00046E67"/>
    <w:rsid w:val="00051B75"/>
    <w:rsid w:val="0005365D"/>
    <w:rsid w:val="00054930"/>
    <w:rsid w:val="000614BF"/>
    <w:rsid w:val="00061E3E"/>
    <w:rsid w:val="000774E6"/>
    <w:rsid w:val="00081B7C"/>
    <w:rsid w:val="00085567"/>
    <w:rsid w:val="0008674F"/>
    <w:rsid w:val="00091B48"/>
    <w:rsid w:val="000967A2"/>
    <w:rsid w:val="00097FDF"/>
    <w:rsid w:val="000A3D68"/>
    <w:rsid w:val="000A44D3"/>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381A"/>
    <w:rsid w:val="00137D25"/>
    <w:rsid w:val="00137FE9"/>
    <w:rsid w:val="00140C91"/>
    <w:rsid w:val="00142B62"/>
    <w:rsid w:val="001504BC"/>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970B1"/>
    <w:rsid w:val="001A1438"/>
    <w:rsid w:val="001B0F26"/>
    <w:rsid w:val="001C1977"/>
    <w:rsid w:val="001C2AD2"/>
    <w:rsid w:val="001C61C5"/>
    <w:rsid w:val="001C69C4"/>
    <w:rsid w:val="001C77EE"/>
    <w:rsid w:val="001D2262"/>
    <w:rsid w:val="001D37EF"/>
    <w:rsid w:val="001D407A"/>
    <w:rsid w:val="001D67F6"/>
    <w:rsid w:val="001E348F"/>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2224"/>
    <w:rsid w:val="00282526"/>
    <w:rsid w:val="00284719"/>
    <w:rsid w:val="00297ECB"/>
    <w:rsid w:val="002A1ECC"/>
    <w:rsid w:val="002A3436"/>
    <w:rsid w:val="002A6B7A"/>
    <w:rsid w:val="002A7BCF"/>
    <w:rsid w:val="002A7D87"/>
    <w:rsid w:val="002B45FA"/>
    <w:rsid w:val="002B5188"/>
    <w:rsid w:val="002C7539"/>
    <w:rsid w:val="002D043A"/>
    <w:rsid w:val="002D2AA2"/>
    <w:rsid w:val="002D6224"/>
    <w:rsid w:val="002D6FF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332C"/>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3F51EF"/>
    <w:rsid w:val="004116CD"/>
    <w:rsid w:val="0041386E"/>
    <w:rsid w:val="004144EC"/>
    <w:rsid w:val="00417EB9"/>
    <w:rsid w:val="00420A33"/>
    <w:rsid w:val="0042300E"/>
    <w:rsid w:val="00424CA9"/>
    <w:rsid w:val="00431E9B"/>
    <w:rsid w:val="00436129"/>
    <w:rsid w:val="004379E3"/>
    <w:rsid w:val="0044015E"/>
    <w:rsid w:val="0044291A"/>
    <w:rsid w:val="00444A13"/>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53CA"/>
    <w:rsid w:val="004E7BEC"/>
    <w:rsid w:val="004F0549"/>
    <w:rsid w:val="004F23E0"/>
    <w:rsid w:val="00505D3D"/>
    <w:rsid w:val="00506AF6"/>
    <w:rsid w:val="00513D05"/>
    <w:rsid w:val="00516768"/>
    <w:rsid w:val="00516B8D"/>
    <w:rsid w:val="005226B5"/>
    <w:rsid w:val="005268CF"/>
    <w:rsid w:val="00530D1C"/>
    <w:rsid w:val="0053697E"/>
    <w:rsid w:val="00537FBC"/>
    <w:rsid w:val="0054113C"/>
    <w:rsid w:val="00545116"/>
    <w:rsid w:val="00553578"/>
    <w:rsid w:val="00553CF4"/>
    <w:rsid w:val="005574D1"/>
    <w:rsid w:val="00571FBB"/>
    <w:rsid w:val="00575A90"/>
    <w:rsid w:val="00576E99"/>
    <w:rsid w:val="00584811"/>
    <w:rsid w:val="00585784"/>
    <w:rsid w:val="00593AA6"/>
    <w:rsid w:val="00594161"/>
    <w:rsid w:val="00594749"/>
    <w:rsid w:val="005962C4"/>
    <w:rsid w:val="005A3090"/>
    <w:rsid w:val="005B05D3"/>
    <w:rsid w:val="005B4067"/>
    <w:rsid w:val="005B785F"/>
    <w:rsid w:val="005C3F41"/>
    <w:rsid w:val="005C74AC"/>
    <w:rsid w:val="005C7B57"/>
    <w:rsid w:val="005C7CC5"/>
    <w:rsid w:val="005D2D09"/>
    <w:rsid w:val="005E589B"/>
    <w:rsid w:val="005E7FC2"/>
    <w:rsid w:val="005F60A9"/>
    <w:rsid w:val="00600219"/>
    <w:rsid w:val="006013B7"/>
    <w:rsid w:val="00603D01"/>
    <w:rsid w:val="00603DC4"/>
    <w:rsid w:val="0060500F"/>
    <w:rsid w:val="0060681C"/>
    <w:rsid w:val="00615B89"/>
    <w:rsid w:val="00616FF5"/>
    <w:rsid w:val="00617C4E"/>
    <w:rsid w:val="00617E4D"/>
    <w:rsid w:val="00620076"/>
    <w:rsid w:val="00622E6D"/>
    <w:rsid w:val="0062309E"/>
    <w:rsid w:val="00624064"/>
    <w:rsid w:val="006314DD"/>
    <w:rsid w:val="00633F87"/>
    <w:rsid w:val="0066266D"/>
    <w:rsid w:val="006647B7"/>
    <w:rsid w:val="00667A4E"/>
    <w:rsid w:val="00670EA1"/>
    <w:rsid w:val="00677CC2"/>
    <w:rsid w:val="006840B0"/>
    <w:rsid w:val="00684C0E"/>
    <w:rsid w:val="006905DE"/>
    <w:rsid w:val="00690BB3"/>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1790"/>
    <w:rsid w:val="00702C42"/>
    <w:rsid w:val="00704703"/>
    <w:rsid w:val="00704802"/>
    <w:rsid w:val="007050A2"/>
    <w:rsid w:val="00705F40"/>
    <w:rsid w:val="0071254E"/>
    <w:rsid w:val="00713084"/>
    <w:rsid w:val="007142FB"/>
    <w:rsid w:val="00714F20"/>
    <w:rsid w:val="0071590F"/>
    <w:rsid w:val="00715914"/>
    <w:rsid w:val="007252DE"/>
    <w:rsid w:val="00726366"/>
    <w:rsid w:val="00731E00"/>
    <w:rsid w:val="00733269"/>
    <w:rsid w:val="00741718"/>
    <w:rsid w:val="007440B7"/>
    <w:rsid w:val="007500C8"/>
    <w:rsid w:val="007527C1"/>
    <w:rsid w:val="00752FAC"/>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95ABB"/>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17E65"/>
    <w:rsid w:val="00824498"/>
    <w:rsid w:val="0082563C"/>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72"/>
    <w:rsid w:val="008D1B8B"/>
    <w:rsid w:val="008E6067"/>
    <w:rsid w:val="008E76DC"/>
    <w:rsid w:val="008F48EC"/>
    <w:rsid w:val="008F4A11"/>
    <w:rsid w:val="008F54E7"/>
    <w:rsid w:val="008F572A"/>
    <w:rsid w:val="0090262E"/>
    <w:rsid w:val="00903422"/>
    <w:rsid w:val="00904761"/>
    <w:rsid w:val="009056AF"/>
    <w:rsid w:val="00912B55"/>
    <w:rsid w:val="00915DF9"/>
    <w:rsid w:val="00915F23"/>
    <w:rsid w:val="009254C3"/>
    <w:rsid w:val="00925CA9"/>
    <w:rsid w:val="00932377"/>
    <w:rsid w:val="00940238"/>
    <w:rsid w:val="00941893"/>
    <w:rsid w:val="00947D5A"/>
    <w:rsid w:val="00950C80"/>
    <w:rsid w:val="009532A5"/>
    <w:rsid w:val="00956922"/>
    <w:rsid w:val="009576C8"/>
    <w:rsid w:val="009577C1"/>
    <w:rsid w:val="009612CF"/>
    <w:rsid w:val="009724F4"/>
    <w:rsid w:val="00973808"/>
    <w:rsid w:val="00974036"/>
    <w:rsid w:val="00982242"/>
    <w:rsid w:val="00984EE9"/>
    <w:rsid w:val="009868E9"/>
    <w:rsid w:val="00990795"/>
    <w:rsid w:val="00997416"/>
    <w:rsid w:val="009A1FC9"/>
    <w:rsid w:val="009B4DFF"/>
    <w:rsid w:val="009B5A4E"/>
    <w:rsid w:val="009B6A09"/>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5E97"/>
    <w:rsid w:val="00A36B1A"/>
    <w:rsid w:val="00A515BC"/>
    <w:rsid w:val="00A56C3D"/>
    <w:rsid w:val="00A6070D"/>
    <w:rsid w:val="00A62010"/>
    <w:rsid w:val="00A624B2"/>
    <w:rsid w:val="00A64912"/>
    <w:rsid w:val="00A64BA1"/>
    <w:rsid w:val="00A70A74"/>
    <w:rsid w:val="00A77E0D"/>
    <w:rsid w:val="00A904B0"/>
    <w:rsid w:val="00A931D7"/>
    <w:rsid w:val="00A95010"/>
    <w:rsid w:val="00AA64D6"/>
    <w:rsid w:val="00AA6D8B"/>
    <w:rsid w:val="00AC5296"/>
    <w:rsid w:val="00AC6006"/>
    <w:rsid w:val="00AD0662"/>
    <w:rsid w:val="00AD1B4E"/>
    <w:rsid w:val="00AD2DC7"/>
    <w:rsid w:val="00AD37A8"/>
    <w:rsid w:val="00AD4D3D"/>
    <w:rsid w:val="00AD5641"/>
    <w:rsid w:val="00AD7889"/>
    <w:rsid w:val="00AD7AC2"/>
    <w:rsid w:val="00AD7DCC"/>
    <w:rsid w:val="00AE67D2"/>
    <w:rsid w:val="00AF021B"/>
    <w:rsid w:val="00AF06CF"/>
    <w:rsid w:val="00AF69C0"/>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72D26"/>
    <w:rsid w:val="00B80199"/>
    <w:rsid w:val="00B83204"/>
    <w:rsid w:val="00B833B0"/>
    <w:rsid w:val="00B846A0"/>
    <w:rsid w:val="00B90372"/>
    <w:rsid w:val="00B90B8D"/>
    <w:rsid w:val="00B92A80"/>
    <w:rsid w:val="00B933A7"/>
    <w:rsid w:val="00BA220B"/>
    <w:rsid w:val="00BA2D9A"/>
    <w:rsid w:val="00BA3A57"/>
    <w:rsid w:val="00BA40DF"/>
    <w:rsid w:val="00BA5A45"/>
    <w:rsid w:val="00BA691F"/>
    <w:rsid w:val="00BB3F7E"/>
    <w:rsid w:val="00BB4E1A"/>
    <w:rsid w:val="00BB78C9"/>
    <w:rsid w:val="00BC015E"/>
    <w:rsid w:val="00BC76AC"/>
    <w:rsid w:val="00BD0B57"/>
    <w:rsid w:val="00BD0ECB"/>
    <w:rsid w:val="00BD3334"/>
    <w:rsid w:val="00BD5C93"/>
    <w:rsid w:val="00BE2155"/>
    <w:rsid w:val="00BE2213"/>
    <w:rsid w:val="00BE6EDA"/>
    <w:rsid w:val="00BE719A"/>
    <w:rsid w:val="00BE720A"/>
    <w:rsid w:val="00BF0D73"/>
    <w:rsid w:val="00BF2465"/>
    <w:rsid w:val="00BF43B4"/>
    <w:rsid w:val="00BF525F"/>
    <w:rsid w:val="00C01863"/>
    <w:rsid w:val="00C01E05"/>
    <w:rsid w:val="00C11D03"/>
    <w:rsid w:val="00C25E7F"/>
    <w:rsid w:val="00C2746F"/>
    <w:rsid w:val="00C324A0"/>
    <w:rsid w:val="00C32DA1"/>
    <w:rsid w:val="00C3300F"/>
    <w:rsid w:val="00C349C5"/>
    <w:rsid w:val="00C3520D"/>
    <w:rsid w:val="00C42361"/>
    <w:rsid w:val="00C42BF8"/>
    <w:rsid w:val="00C50043"/>
    <w:rsid w:val="00C5731E"/>
    <w:rsid w:val="00C60BC0"/>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1C2D"/>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872FD"/>
    <w:rsid w:val="00D90072"/>
    <w:rsid w:val="00D90653"/>
    <w:rsid w:val="00D93DA9"/>
    <w:rsid w:val="00D9424C"/>
    <w:rsid w:val="00D94857"/>
    <w:rsid w:val="00D96383"/>
    <w:rsid w:val="00D97BB3"/>
    <w:rsid w:val="00DA186E"/>
    <w:rsid w:val="00DA322E"/>
    <w:rsid w:val="00DA3996"/>
    <w:rsid w:val="00DA4116"/>
    <w:rsid w:val="00DA7AC0"/>
    <w:rsid w:val="00DB15BB"/>
    <w:rsid w:val="00DB251C"/>
    <w:rsid w:val="00DB2DD0"/>
    <w:rsid w:val="00DB3F17"/>
    <w:rsid w:val="00DB4162"/>
    <w:rsid w:val="00DB4630"/>
    <w:rsid w:val="00DC4F88"/>
    <w:rsid w:val="00DC5CB8"/>
    <w:rsid w:val="00DD2B43"/>
    <w:rsid w:val="00DD31AB"/>
    <w:rsid w:val="00DD3B7D"/>
    <w:rsid w:val="00DE587E"/>
    <w:rsid w:val="00DE59B7"/>
    <w:rsid w:val="00DF24DC"/>
    <w:rsid w:val="00DF5291"/>
    <w:rsid w:val="00DF6D11"/>
    <w:rsid w:val="00E05704"/>
    <w:rsid w:val="00E11E44"/>
    <w:rsid w:val="00E22949"/>
    <w:rsid w:val="00E3270E"/>
    <w:rsid w:val="00E338EF"/>
    <w:rsid w:val="00E3596F"/>
    <w:rsid w:val="00E35C4E"/>
    <w:rsid w:val="00E424C8"/>
    <w:rsid w:val="00E443FF"/>
    <w:rsid w:val="00E44814"/>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C7791"/>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45229"/>
    <w:rsid w:val="00F50930"/>
    <w:rsid w:val="00F567F7"/>
    <w:rsid w:val="00F62036"/>
    <w:rsid w:val="00F65B52"/>
    <w:rsid w:val="00F67B67"/>
    <w:rsid w:val="00F67BCA"/>
    <w:rsid w:val="00F737EA"/>
    <w:rsid w:val="00F73BD6"/>
    <w:rsid w:val="00F83264"/>
    <w:rsid w:val="00F8370E"/>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02DB"/>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link w:val="HeaderChar"/>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styleId="CommentReference">
    <w:name w:val="annotation reference"/>
    <w:basedOn w:val="DefaultParagraphFont"/>
    <w:uiPriority w:val="99"/>
    <w:semiHidden/>
    <w:unhideWhenUsed/>
    <w:rsid w:val="0082563C"/>
    <w:rPr>
      <w:sz w:val="16"/>
      <w:szCs w:val="16"/>
    </w:rPr>
  </w:style>
  <w:style w:type="paragraph" w:styleId="CommentText">
    <w:name w:val="annotation text"/>
    <w:basedOn w:val="Normal"/>
    <w:link w:val="CommentTextChar"/>
    <w:uiPriority w:val="99"/>
    <w:unhideWhenUsed/>
    <w:rsid w:val="0082563C"/>
    <w:pPr>
      <w:spacing w:line="240" w:lineRule="auto"/>
    </w:pPr>
    <w:rPr>
      <w:sz w:val="20"/>
    </w:rPr>
  </w:style>
  <w:style w:type="character" w:customStyle="1" w:styleId="CommentTextChar">
    <w:name w:val="Comment Text Char"/>
    <w:basedOn w:val="DefaultParagraphFont"/>
    <w:link w:val="CommentText"/>
    <w:uiPriority w:val="99"/>
    <w:rsid w:val="0082563C"/>
    <w:rPr>
      <w:lang w:eastAsia="en-US"/>
    </w:rPr>
  </w:style>
  <w:style w:type="paragraph" w:styleId="CommentSubject">
    <w:name w:val="annotation subject"/>
    <w:basedOn w:val="CommentText"/>
    <w:next w:val="CommentText"/>
    <w:link w:val="CommentSubjectChar"/>
    <w:uiPriority w:val="99"/>
    <w:semiHidden/>
    <w:unhideWhenUsed/>
    <w:rsid w:val="0082563C"/>
    <w:rPr>
      <w:b/>
      <w:bCs/>
    </w:rPr>
  </w:style>
  <w:style w:type="character" w:customStyle="1" w:styleId="CommentSubjectChar">
    <w:name w:val="Comment Subject Char"/>
    <w:basedOn w:val="CommentTextChar"/>
    <w:link w:val="CommentSubject"/>
    <w:uiPriority w:val="99"/>
    <w:semiHidden/>
    <w:rsid w:val="0082563C"/>
    <w:rPr>
      <w:b/>
      <w:bCs/>
      <w:lang w:eastAsia="en-US"/>
    </w:rPr>
  </w:style>
  <w:style w:type="paragraph" w:styleId="Revision">
    <w:name w:val="Revision"/>
    <w:hidden/>
    <w:uiPriority w:val="99"/>
    <w:semiHidden/>
    <w:rsid w:val="001E348F"/>
    <w:rPr>
      <w:sz w:val="22"/>
      <w:lang w:eastAsia="en-US"/>
    </w:rPr>
  </w:style>
  <w:style w:type="character" w:customStyle="1" w:styleId="HeaderChar">
    <w:name w:val="Header Char"/>
    <w:basedOn w:val="DefaultParagraphFont"/>
    <w:link w:val="Header"/>
    <w:uiPriority w:val="2"/>
    <w:semiHidden/>
    <w:rsid w:val="00037A92"/>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11104</Characters>
  <Application>Microsoft Office Word</Application>
  <DocSecurity>0</DocSecurity>
  <PresentationFormat/>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2025-08-19T04:10:00Z</dcterms:created>
  <dcterms:modified xsi:type="dcterms:W3CDTF">2026-02-12T23:44:00Z</dcterms:modified>
  <cp:category/>
  <cp:contentStatus/>
  <dc:language/>
  <cp:version/>
</cp:coreProperties>
</file>