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B923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7807A0C7" wp14:editId="57AFE35C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B7797" w14:textId="77777777" w:rsidR="00715914" w:rsidRPr="00FA33FB" w:rsidRDefault="00715914" w:rsidP="00715914">
      <w:pPr>
        <w:rPr>
          <w:sz w:val="19"/>
        </w:rPr>
      </w:pPr>
    </w:p>
    <w:p w14:paraId="4237A9B5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6C765407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12827121" w14:textId="02DBAE13" w:rsidR="00054930" w:rsidRDefault="004D2F28" w:rsidP="006647B7">
      <w:pPr>
        <w:pStyle w:val="Plainheader"/>
      </w:pPr>
      <w:bookmarkStart w:id="0" w:name="SoP_Name_Title"/>
      <w:r>
        <w:t>CERVICAL DYSTONIA</w:t>
      </w:r>
      <w:r w:rsidR="00284331">
        <w:t xml:space="preserve"> </w:t>
      </w:r>
      <w:r>
        <w:t>(SPASMODIC TORTICOLLI</w:t>
      </w:r>
      <w:r w:rsidR="00284331">
        <w:t>S)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313AB7B6" w14:textId="6803A6C5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A93FA2">
        <w:t>41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B4DFF">
        <w:t>202</w:t>
      </w:r>
      <w:r w:rsidR="004D2F28">
        <w:t>5</w:t>
      </w:r>
      <w:bookmarkEnd w:id="2"/>
      <w:r w:rsidRPr="00024911">
        <w:t>)</w:t>
      </w:r>
    </w:p>
    <w:p w14:paraId="34A687DA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73B67BA7" w14:textId="77777777" w:rsidR="00F97A62" w:rsidRPr="00F97A62" w:rsidRDefault="00F97A62" w:rsidP="00F97A62">
      <w:pPr>
        <w:rPr>
          <w:lang w:eastAsia="en-AU"/>
        </w:rPr>
      </w:pPr>
    </w:p>
    <w:p w14:paraId="3AB29E1E" w14:textId="0566BA18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A93FA2">
        <w:rPr>
          <w:b w:val="0"/>
        </w:rPr>
        <w:t>15 April 2025</w:t>
      </w:r>
    </w:p>
    <w:p w14:paraId="7168C6D4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5BA09C5D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3B9B849C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583B32EE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21DC1A1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A9A3046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083AF820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594D9F7E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1EC83A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982B60B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668E95D1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07165A41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7F913598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00C1FB17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2CCA4001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66062501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14C67703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1CD06F94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0355512B" w14:textId="75E06A28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A93FA2">
        <w:rPr>
          <w:noProof/>
        </w:rPr>
        <w:t>3</w:t>
      </w:r>
      <w:r w:rsidR="005962C4">
        <w:rPr>
          <w:noProof/>
        </w:rPr>
        <w:fldChar w:fldCharType="end"/>
      </w:r>
    </w:p>
    <w:p w14:paraId="7B178E46" w14:textId="10A0BE5C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A93FA2">
        <w:rPr>
          <w:noProof/>
        </w:rPr>
        <w:t>3</w:t>
      </w:r>
      <w:r>
        <w:rPr>
          <w:noProof/>
        </w:rPr>
        <w:fldChar w:fldCharType="end"/>
      </w:r>
    </w:p>
    <w:p w14:paraId="51BA015A" w14:textId="5F6C5AD2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A93FA2">
        <w:rPr>
          <w:noProof/>
        </w:rPr>
        <w:t>3</w:t>
      </w:r>
      <w:r>
        <w:rPr>
          <w:noProof/>
        </w:rPr>
        <w:fldChar w:fldCharType="end"/>
      </w:r>
    </w:p>
    <w:p w14:paraId="67D2B614" w14:textId="1EE4EE4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A93FA2">
        <w:rPr>
          <w:noProof/>
        </w:rPr>
        <w:t>3</w:t>
      </w:r>
      <w:r>
        <w:rPr>
          <w:noProof/>
        </w:rPr>
        <w:fldChar w:fldCharType="end"/>
      </w:r>
    </w:p>
    <w:p w14:paraId="19A01C0C" w14:textId="4369054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A93FA2">
        <w:rPr>
          <w:noProof/>
        </w:rPr>
        <w:t>3</w:t>
      </w:r>
      <w:r>
        <w:rPr>
          <w:noProof/>
        </w:rPr>
        <w:fldChar w:fldCharType="end"/>
      </w:r>
    </w:p>
    <w:p w14:paraId="2E60B8B9" w14:textId="2DEC128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A93FA2">
        <w:rPr>
          <w:noProof/>
        </w:rPr>
        <w:t>3</w:t>
      </w:r>
      <w:r>
        <w:rPr>
          <w:noProof/>
        </w:rPr>
        <w:fldChar w:fldCharType="end"/>
      </w:r>
    </w:p>
    <w:p w14:paraId="4F9B6C2B" w14:textId="4F91294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A93FA2">
        <w:rPr>
          <w:noProof/>
        </w:rPr>
        <w:t>3</w:t>
      </w:r>
      <w:r>
        <w:rPr>
          <w:noProof/>
        </w:rPr>
        <w:fldChar w:fldCharType="end"/>
      </w:r>
    </w:p>
    <w:p w14:paraId="18919B18" w14:textId="4C8AEA2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A93FA2">
        <w:rPr>
          <w:noProof/>
        </w:rPr>
        <w:t>4</w:t>
      </w:r>
      <w:r>
        <w:rPr>
          <w:noProof/>
        </w:rPr>
        <w:fldChar w:fldCharType="end"/>
      </w:r>
    </w:p>
    <w:p w14:paraId="24F7A9A8" w14:textId="6FBF3FF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A93FA2">
        <w:rPr>
          <w:noProof/>
        </w:rPr>
        <w:t>4</w:t>
      </w:r>
      <w:r>
        <w:rPr>
          <w:noProof/>
        </w:rPr>
        <w:fldChar w:fldCharType="end"/>
      </w:r>
    </w:p>
    <w:p w14:paraId="4C3465E0" w14:textId="47EC2F32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A93FA2">
        <w:rPr>
          <w:noProof/>
        </w:rPr>
        <w:t>5</w:t>
      </w:r>
      <w:r>
        <w:rPr>
          <w:noProof/>
        </w:rPr>
        <w:fldChar w:fldCharType="end"/>
      </w:r>
    </w:p>
    <w:p w14:paraId="11352608" w14:textId="6193154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A93FA2">
        <w:rPr>
          <w:noProof/>
        </w:rPr>
        <w:t>5</w:t>
      </w:r>
      <w:r>
        <w:rPr>
          <w:noProof/>
        </w:rPr>
        <w:fldChar w:fldCharType="end"/>
      </w:r>
    </w:p>
    <w:p w14:paraId="3F00CAB6" w14:textId="52AFDF8A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A93FA2">
        <w:rPr>
          <w:noProof/>
        </w:rPr>
        <w:t>6</w:t>
      </w:r>
      <w:r>
        <w:rPr>
          <w:noProof/>
        </w:rPr>
        <w:fldChar w:fldCharType="end"/>
      </w:r>
    </w:p>
    <w:p w14:paraId="1C6D7EBD" w14:textId="1902F78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A93FA2">
        <w:rPr>
          <w:noProof/>
        </w:rPr>
        <w:t>6</w:t>
      </w:r>
      <w:r>
        <w:rPr>
          <w:noProof/>
        </w:rPr>
        <w:fldChar w:fldCharType="end"/>
      </w:r>
    </w:p>
    <w:p w14:paraId="2FA3CB3D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39B8ADF0" w14:textId="77777777" w:rsidR="003A2FFE" w:rsidRDefault="003A2FFE" w:rsidP="003A2FFE">
      <w:pPr>
        <w:tabs>
          <w:tab w:val="left" w:pos="3631"/>
        </w:tabs>
      </w:pPr>
    </w:p>
    <w:p w14:paraId="7CF5B4AA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7920CDD9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7A85F3D7" w14:textId="025103C3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4D2F28">
        <w:rPr>
          <w:i/>
        </w:rPr>
        <w:t>cervical dystonia (spasmodic torticollis)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A93FA2">
        <w:t>41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93FA2">
        <w:t>2025</w:t>
      </w:r>
      <w:r w:rsidR="00E55F66" w:rsidRPr="00F97A62">
        <w:t>)</w:t>
      </w:r>
      <w:r w:rsidRPr="00F97A62">
        <w:t>.</w:t>
      </w:r>
    </w:p>
    <w:p w14:paraId="7FE8829A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15E745C2" w14:textId="01B7D0B7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93FA2" w:rsidRPr="00A93FA2">
        <w:rPr>
          <w:bCs/>
        </w:rPr>
        <w:t>19 May 2025.</w:t>
      </w:r>
    </w:p>
    <w:p w14:paraId="646BE809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1AB182D4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26F4C586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174A7C99" w14:textId="0E3C3675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84331">
        <w:t xml:space="preserve">spasmodic torticollis </w:t>
      </w:r>
      <w:r w:rsidR="000B7B90">
        <w:t xml:space="preserve">No. </w:t>
      </w:r>
      <w:r w:rsidR="00284331">
        <w:t>63</w:t>
      </w:r>
      <w:r w:rsidR="000B7B90">
        <w:t xml:space="preserve"> of 20</w:t>
      </w:r>
      <w:r w:rsidR="00284331">
        <w:t>16</w:t>
      </w:r>
      <w:r w:rsidR="005962C4">
        <w:t xml:space="preserve"> </w:t>
      </w:r>
      <w:r w:rsidR="005962C4" w:rsidRPr="00786DAE">
        <w:t>(Federal Re</w:t>
      </w:r>
      <w:r w:rsidR="000B7B90">
        <w:t>gister of Legislation No. F2</w:t>
      </w:r>
      <w:r w:rsidR="00284331">
        <w:t>016</w:t>
      </w:r>
      <w:r w:rsidR="000B7B90">
        <w:t>L0</w:t>
      </w:r>
      <w:r w:rsidR="00284331">
        <w:t>1136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1F9AC809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0FF8BB91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5440694A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46141DE4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0CCB7DC9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75A54635" w14:textId="718CA97D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A93FA2" w:rsidRPr="00A93FA2">
        <w:t>cervical dystonia (spasmodic torticollis)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93FA2" w:rsidRPr="00A93FA2">
        <w:t>cervical dystonia (spasmodic torticollis)</w:t>
      </w:r>
      <w:r w:rsidRPr="00D5620B">
        <w:t>.</w:t>
      </w:r>
      <w:bookmarkEnd w:id="17"/>
    </w:p>
    <w:p w14:paraId="60835650" w14:textId="283197F6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A93FA2" w:rsidRPr="00A93FA2">
        <w:rPr>
          <w:b/>
        </w:rPr>
        <w:t>cervical dystonia (spasmodic torticollis)</w:t>
      </w:r>
    </w:p>
    <w:p w14:paraId="29932D08" w14:textId="6FC5DB9F"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A93FA2" w:rsidRPr="00A93FA2">
        <w:t>cervical dystonia (spasmodic torticollis)</w:t>
      </w:r>
      <w:r w:rsidR="002716E4" w:rsidRPr="00237BAF">
        <w:t>:</w:t>
      </w:r>
      <w:bookmarkEnd w:id="18"/>
    </w:p>
    <w:p w14:paraId="1EE80131" w14:textId="77777777" w:rsidR="00100EEC" w:rsidRDefault="00100EEC" w:rsidP="00100EEC">
      <w:pPr>
        <w:pStyle w:val="LV3"/>
      </w:pPr>
      <w:bookmarkStart w:id="20" w:name="_Hlk190350822"/>
      <w:bookmarkEnd w:id="19"/>
      <w:r>
        <w:t>means a chronic focal dystonia characterised by sustained or intermittent involuntary neck muscle contractions, causing repetitive movements or abnormal movements or postures of the head, neck, and shoulders; and</w:t>
      </w:r>
    </w:p>
    <w:p w14:paraId="45827311" w14:textId="77777777" w:rsidR="00100EEC" w:rsidRDefault="00100EEC" w:rsidP="00100EEC">
      <w:pPr>
        <w:pStyle w:val="LV3"/>
      </w:pPr>
      <w:r>
        <w:t>excludes:</w:t>
      </w:r>
    </w:p>
    <w:p w14:paraId="38852AD8" w14:textId="77777777" w:rsidR="00100EEC" w:rsidRDefault="00100EEC" w:rsidP="00100EEC">
      <w:pPr>
        <w:pStyle w:val="LV4"/>
      </w:pPr>
      <w:r>
        <w:t xml:space="preserve"> drug-induced </w:t>
      </w:r>
      <w:proofErr w:type="gramStart"/>
      <w:r>
        <w:t>dystonia;</w:t>
      </w:r>
      <w:proofErr w:type="gramEnd"/>
    </w:p>
    <w:p w14:paraId="67C967E0" w14:textId="77777777" w:rsidR="00100EEC" w:rsidRDefault="00100EEC" w:rsidP="00100EEC">
      <w:pPr>
        <w:pStyle w:val="LV4"/>
      </w:pPr>
      <w:r>
        <w:t xml:space="preserve"> generalised or </w:t>
      </w:r>
      <w:proofErr w:type="spellStart"/>
      <w:proofErr w:type="gramStart"/>
      <w:r>
        <w:t>hemidystonia</w:t>
      </w:r>
      <w:proofErr w:type="spellEnd"/>
      <w:r>
        <w:t>;</w:t>
      </w:r>
      <w:proofErr w:type="gramEnd"/>
    </w:p>
    <w:p w14:paraId="34A2DA30" w14:textId="77777777" w:rsidR="00100EEC" w:rsidRDefault="00100EEC" w:rsidP="00100EEC">
      <w:pPr>
        <w:pStyle w:val="LV4"/>
      </w:pPr>
      <w:r>
        <w:t xml:space="preserve"> paroxysmal </w:t>
      </w:r>
      <w:proofErr w:type="gramStart"/>
      <w:r>
        <w:t>dystonia;</w:t>
      </w:r>
      <w:proofErr w:type="gramEnd"/>
    </w:p>
    <w:p w14:paraId="669926CC" w14:textId="5B0FC0FC" w:rsidR="00100EEC" w:rsidRDefault="00100EEC" w:rsidP="00100EEC">
      <w:pPr>
        <w:pStyle w:val="LV4"/>
      </w:pPr>
      <w:r>
        <w:t xml:space="preserve">congenital </w:t>
      </w:r>
      <w:proofErr w:type="gramStart"/>
      <w:r>
        <w:t>dystonia;</w:t>
      </w:r>
      <w:proofErr w:type="gramEnd"/>
    </w:p>
    <w:p w14:paraId="1C724544" w14:textId="2F729D78" w:rsidR="00100EEC" w:rsidRDefault="00100EEC" w:rsidP="00100EEC">
      <w:pPr>
        <w:pStyle w:val="LV4"/>
      </w:pPr>
      <w:r>
        <w:lastRenderedPageBreak/>
        <w:t xml:space="preserve">dystonia resulting from a neurological </w:t>
      </w:r>
      <w:proofErr w:type="gramStart"/>
      <w:r>
        <w:t>disorder;</w:t>
      </w:r>
      <w:proofErr w:type="gramEnd"/>
    </w:p>
    <w:p w14:paraId="66D7FD6B" w14:textId="003FECF8" w:rsidR="00100EEC" w:rsidRDefault="00100EEC" w:rsidP="00100EEC">
      <w:pPr>
        <w:pStyle w:val="LV4"/>
      </w:pPr>
      <w:r>
        <w:t>dystonia resulting from a structural lesion of the brain or cervical cord; and</w:t>
      </w:r>
    </w:p>
    <w:p w14:paraId="0721E929" w14:textId="7790920D" w:rsidR="00100EEC" w:rsidRDefault="00100EEC" w:rsidP="00100EEC">
      <w:pPr>
        <w:pStyle w:val="LV4"/>
      </w:pPr>
      <w:r>
        <w:t>dystonia resulting from a local lesion of the cervical region.</w:t>
      </w:r>
    </w:p>
    <w:p w14:paraId="37A56BCE" w14:textId="66CBD86F" w:rsidR="00100EEC" w:rsidRDefault="00100EEC" w:rsidP="00100EEC">
      <w:pPr>
        <w:pStyle w:val="NOTE"/>
      </w:pPr>
      <w:r>
        <w:t>Note: A percentage of patients with cervical dystonia may have other focal or segmental (affecting adjacent body parts) dystonias.</w:t>
      </w:r>
    </w:p>
    <w:bookmarkEnd w:id="20"/>
    <w:p w14:paraId="60A8B209" w14:textId="0A26F452" w:rsidR="008F572A" w:rsidRPr="00237BAF" w:rsidRDefault="008F572A" w:rsidP="00253D7C">
      <w:pPr>
        <w:pStyle w:val="LV2"/>
      </w:pPr>
      <w:r w:rsidRPr="00237BAF">
        <w:t xml:space="preserve">While </w:t>
      </w:r>
      <w:r w:rsidR="00A93FA2" w:rsidRPr="00A93FA2">
        <w:t>cervical dystonia (spasmodic torticollis)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100EEC">
        <w:t>G24.3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A93FA2" w:rsidRPr="00A93FA2">
        <w:t>cervical dystonia (spasmodic torticollis)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42C2FD67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4D80351B" w14:textId="2C10F34B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A93FA2" w:rsidRPr="00A93FA2">
        <w:rPr>
          <w:b/>
        </w:rPr>
        <w:t>cervical dystonia (spasmodic torticollis)</w:t>
      </w:r>
    </w:p>
    <w:p w14:paraId="4A821ABC" w14:textId="4EAA1FC1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93FA2" w:rsidRPr="00A93FA2">
        <w:t>cervical dystonia (spasmodic torticollis)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A93FA2" w:rsidRPr="00A93FA2">
        <w:t>cervical dystonia (spasmodic torticollis)</w:t>
      </w:r>
      <w:r w:rsidRPr="00D5620B">
        <w:t>.</w:t>
      </w:r>
    </w:p>
    <w:p w14:paraId="7C487489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02ABAE99" w14:textId="77777777" w:rsidR="007C7DEE" w:rsidRPr="00A20CA1" w:rsidRDefault="007C7DEE" w:rsidP="00253D7C">
      <w:pPr>
        <w:pStyle w:val="LV1"/>
      </w:pPr>
      <w:bookmarkStart w:id="21" w:name="_Toc512513141"/>
      <w:r w:rsidRPr="00A20CA1">
        <w:t>Basis for determining the factors</w:t>
      </w:r>
      <w:bookmarkEnd w:id="21"/>
    </w:p>
    <w:p w14:paraId="0F55DCC1" w14:textId="60F44BBE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A93FA2" w:rsidRPr="00A93FA2">
        <w:t>cervical dystonia (spasmodic torticollis)</w:t>
      </w:r>
      <w:r>
        <w:t xml:space="preserve"> </w:t>
      </w:r>
      <w:r w:rsidRPr="00D5620B">
        <w:t>and death from</w:t>
      </w:r>
      <w:r>
        <w:t xml:space="preserve"> </w:t>
      </w:r>
      <w:r w:rsidR="00A93FA2" w:rsidRPr="00A93FA2">
        <w:t>cervical dystonia (spasmodic torticollis)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6C02A24B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3C190158" w14:textId="77777777"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1251314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14:paraId="26556E9A" w14:textId="57B5B429"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A93FA2" w:rsidRPr="00A93FA2">
        <w:t>cervical dystonia (spasmodic torticollis)</w:t>
      </w:r>
      <w:r w:rsidR="007A3989">
        <w:t xml:space="preserve"> </w:t>
      </w:r>
      <w:r w:rsidR="007C7DEE" w:rsidRPr="00AA6D8B">
        <w:t xml:space="preserve">or death from </w:t>
      </w:r>
      <w:r w:rsidR="00A93FA2" w:rsidRPr="00A93FA2">
        <w:t>cervical dystonia (spasmodic torticollis)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14:paraId="77DAB8C4" w14:textId="77777777" w:rsidR="0091226E" w:rsidRDefault="0091226E" w:rsidP="0091226E">
      <w:pPr>
        <w:pStyle w:val="LV2"/>
      </w:pPr>
      <w:bookmarkStart w:id="27" w:name="_Ref402530260"/>
      <w:bookmarkStart w:id="28" w:name="_Ref409598844"/>
      <w:r>
        <w:t xml:space="preserve">having trauma to the neck, head, or shoulders which results in local symptoms lasting for at least 2 weeks, within the 1 year before clinical </w:t>
      </w:r>
      <w:proofErr w:type="gramStart"/>
      <w:r>
        <w:t>onset;</w:t>
      </w:r>
      <w:proofErr w:type="gramEnd"/>
      <w:r>
        <w:t xml:space="preserve"> </w:t>
      </w:r>
    </w:p>
    <w:p w14:paraId="3680D76C" w14:textId="1CEF3516" w:rsidR="00253D7C" w:rsidRPr="00046E67" w:rsidRDefault="0091226E" w:rsidP="0091226E">
      <w:pPr>
        <w:pStyle w:val="NOTE"/>
      </w:pPr>
      <w:r>
        <w:t>Note: Mechanisms of trauma include motor vehicle accidents, whiplash, assault, falls, and heavy lifting.</w:t>
      </w:r>
    </w:p>
    <w:p w14:paraId="6B2954E9" w14:textId="77AA1BC9" w:rsidR="007C7DEE" w:rsidRPr="008D1B8B" w:rsidRDefault="007C7DEE" w:rsidP="00253D7C">
      <w:pPr>
        <w:pStyle w:val="LV2"/>
      </w:pPr>
      <w:r w:rsidRPr="008D1B8B">
        <w:lastRenderedPageBreak/>
        <w:t>inability to obtain appropriate clinical management for</w:t>
      </w:r>
      <w:bookmarkEnd w:id="27"/>
      <w:r w:rsidR="007A3989">
        <w:t xml:space="preserve"> </w:t>
      </w:r>
      <w:r w:rsidR="00A93FA2" w:rsidRPr="00A93FA2">
        <w:t>cervical dystonia (spasmodic torticollis)</w:t>
      </w:r>
      <w:r w:rsidR="009B4DFF">
        <w:t xml:space="preserve"> before clinical worsening</w:t>
      </w:r>
      <w:r w:rsidR="00D5620B" w:rsidRPr="008D1B8B">
        <w:t>.</w:t>
      </w:r>
      <w:bookmarkEnd w:id="28"/>
    </w:p>
    <w:p w14:paraId="2BAB5287" w14:textId="77777777" w:rsidR="000C21A3" w:rsidRPr="00684C0E" w:rsidRDefault="00D32F71" w:rsidP="00253D7C">
      <w:pPr>
        <w:pStyle w:val="LV1"/>
      </w:pPr>
      <w:bookmarkStart w:id="29" w:name="_Toc512513143"/>
      <w:bookmarkStart w:id="30" w:name="_Ref402530057"/>
      <w:r>
        <w:t>Relationship to s</w:t>
      </w:r>
      <w:r w:rsidR="000C21A3" w:rsidRPr="00684C0E">
        <w:t>ervice</w:t>
      </w:r>
      <w:bookmarkEnd w:id="29"/>
    </w:p>
    <w:p w14:paraId="6689BD76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14:paraId="4D364F74" w14:textId="351EF3D5"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</w:t>
      </w:r>
      <w:r w:rsidR="0091226E">
        <w:t>n</w:t>
      </w:r>
      <w:r w:rsidR="00FF1D47">
        <w:t xml:space="preserve"> </w:t>
      </w:r>
      <w:r w:rsidR="00DA3996">
        <w:t>9</w:t>
      </w:r>
      <w:r w:rsidR="00FF1D47">
        <w:t>(</w:t>
      </w:r>
      <w:r w:rsidR="0091226E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A93FA2" w:rsidRPr="00A93FA2">
        <w:t>cervical dystonia (spasmodic torticollis)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A93FA2" w:rsidRPr="00A93FA2">
        <w:t>cervical dystonia (spasmodic torticollis)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3792EB16" w14:textId="77777777" w:rsidR="00774897" w:rsidRPr="00301C54" w:rsidRDefault="00774897" w:rsidP="00253D7C">
      <w:pPr>
        <w:pStyle w:val="LV1"/>
      </w:pPr>
      <w:bookmarkStart w:id="31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14:paraId="1A516B95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4098FCA2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4820B3F5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29A4A76E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2CB7F03E" w14:textId="77777777" w:rsidR="00782F4E" w:rsidRPr="00E64EE4" w:rsidRDefault="00782F4E" w:rsidP="00253D7C">
      <w:pPr>
        <w:pStyle w:val="PlainIndent"/>
      </w:pPr>
    </w:p>
    <w:p w14:paraId="278846BA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20E1CFF" w14:textId="77777777" w:rsidR="00F03C06" w:rsidRDefault="00F03C06" w:rsidP="00253D7C">
      <w:pPr>
        <w:pStyle w:val="PlainIndent"/>
      </w:pPr>
    </w:p>
    <w:p w14:paraId="627B2ACA" w14:textId="77777777"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2A258484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7C597C77" w14:textId="77777777" w:rsidR="00BD3334" w:rsidRDefault="00702C42" w:rsidP="00516768">
      <w:pPr>
        <w:pStyle w:val="SH1"/>
      </w:pPr>
      <w:bookmarkStart w:id="35" w:name="_Toc405472918"/>
      <w:bookmarkStart w:id="36" w:name="_Toc512513146"/>
      <w:r w:rsidRPr="00D97BB3">
        <w:t>Definitions</w:t>
      </w:r>
      <w:bookmarkEnd w:id="35"/>
      <w:bookmarkEnd w:id="36"/>
    </w:p>
    <w:p w14:paraId="1008CA22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29055C52" w14:textId="2D2978A0" w:rsidR="003C7992" w:rsidRPr="00513D05" w:rsidRDefault="00A93FA2" w:rsidP="003C7992">
      <w:pPr>
        <w:pStyle w:val="SH3"/>
      </w:pPr>
      <w:bookmarkStart w:id="37" w:name="_Ref402530810"/>
      <w:r w:rsidRPr="00A93FA2">
        <w:rPr>
          <w:b/>
          <w:i/>
        </w:rPr>
        <w:t>cervical dystonia (spasmodic torticollis)</w:t>
      </w:r>
      <w:r w:rsidR="003C7992" w:rsidRPr="00513D05">
        <w:t>—see subsection</w:t>
      </w:r>
      <w:r w:rsidR="003C7992">
        <w:t xml:space="preserve"> 7(2).</w:t>
      </w:r>
    </w:p>
    <w:p w14:paraId="3C3F3938" w14:textId="1A9B87F0"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14:paraId="6082DC07" w14:textId="77777777"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14:paraId="173FEBB6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0A425F91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2F58E4DD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0050CC0E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36B0D96D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3992081C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324DF669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483996BB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14:paraId="64585E38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2D2385D4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46D1D6AE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7B25A1AE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6DB8938F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D01BED2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27027175" w14:textId="77777777" w:rsidR="00CF2367" w:rsidRPr="00FA33FB" w:rsidRDefault="00CF2367" w:rsidP="00CF2367"/>
    <w:p w14:paraId="23C74FF3" w14:textId="77777777"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052EAD4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0F43E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4FD79F6D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9F51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1821D878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7CB88D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C0AFB2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F211B86" w14:textId="251DFDED" w:rsidR="004A2007" w:rsidRDefault="00A93FA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93FA2">
            <w:rPr>
              <w:i/>
              <w:sz w:val="18"/>
              <w:szCs w:val="18"/>
            </w:rPr>
            <w:t>Cervical Dystonia (Spasmodic Torticollis)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A93FA2">
            <w:rPr>
              <w:i/>
              <w:sz w:val="18"/>
              <w:szCs w:val="18"/>
            </w:rPr>
            <w:t>41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A93FA2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3429D80B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51FB48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57A28DE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A33F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331287DE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F59E6C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CB7CB7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37C261C" w14:textId="05A2E4BF" w:rsidR="004A2007" w:rsidRDefault="00A93FA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93FA2">
            <w:rPr>
              <w:i/>
              <w:sz w:val="18"/>
              <w:szCs w:val="18"/>
            </w:rPr>
            <w:t>Cervical Dystonia (Spasmodic Torticollis)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A93FA2">
            <w:rPr>
              <w:i/>
              <w:sz w:val="18"/>
              <w:szCs w:val="18"/>
            </w:rPr>
            <w:t>41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A93FA2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5CCEF1C4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1DC4C6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8F3225E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FBF6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9AC7B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6E7C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42F32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E902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078B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414CC11F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31D68" w14:textId="77777777"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8CB1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2AF4559E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CCD6B" w14:textId="77777777"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6D3B" w14:textId="77777777"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04B1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23FD5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92765587">
    <w:abstractNumId w:val="15"/>
  </w:num>
  <w:num w:numId="2" w16cid:durableId="1490050087">
    <w:abstractNumId w:val="13"/>
  </w:num>
  <w:num w:numId="3" w16cid:durableId="748574385">
    <w:abstractNumId w:val="11"/>
  </w:num>
  <w:num w:numId="4" w16cid:durableId="79835835">
    <w:abstractNumId w:val="10"/>
  </w:num>
  <w:num w:numId="5" w16cid:durableId="1249148771">
    <w:abstractNumId w:val="14"/>
  </w:num>
  <w:num w:numId="6" w16cid:durableId="20513737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0291639">
    <w:abstractNumId w:val="9"/>
  </w:num>
  <w:num w:numId="8" w16cid:durableId="793911072">
    <w:abstractNumId w:val="7"/>
  </w:num>
  <w:num w:numId="9" w16cid:durableId="3752324">
    <w:abstractNumId w:val="6"/>
  </w:num>
  <w:num w:numId="10" w16cid:durableId="1698197381">
    <w:abstractNumId w:val="5"/>
  </w:num>
  <w:num w:numId="11" w16cid:durableId="1290436333">
    <w:abstractNumId w:val="4"/>
  </w:num>
  <w:num w:numId="12" w16cid:durableId="1646160801">
    <w:abstractNumId w:val="8"/>
  </w:num>
  <w:num w:numId="13" w16cid:durableId="468130453">
    <w:abstractNumId w:val="3"/>
  </w:num>
  <w:num w:numId="14" w16cid:durableId="737245496">
    <w:abstractNumId w:val="2"/>
  </w:num>
  <w:num w:numId="15" w16cid:durableId="653919301">
    <w:abstractNumId w:val="1"/>
  </w:num>
  <w:num w:numId="16" w16cid:durableId="1609116556">
    <w:abstractNumId w:val="0"/>
  </w:num>
  <w:num w:numId="17" w16cid:durableId="1021200942">
    <w:abstractNumId w:val="10"/>
  </w:num>
  <w:num w:numId="18" w16cid:durableId="370737251">
    <w:abstractNumId w:val="10"/>
  </w:num>
  <w:num w:numId="19" w16cid:durableId="1426225429">
    <w:abstractNumId w:val="10"/>
  </w:num>
  <w:num w:numId="20" w16cid:durableId="1738362749">
    <w:abstractNumId w:val="12"/>
  </w:num>
  <w:num w:numId="21" w16cid:durableId="175967179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73C32"/>
    <w:rsid w:val="00081B7C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0EEC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06CE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4839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331"/>
    <w:rsid w:val="00284719"/>
    <w:rsid w:val="00297ECB"/>
    <w:rsid w:val="002A1ECC"/>
    <w:rsid w:val="002A3436"/>
    <w:rsid w:val="002A6D20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C7992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0684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2F28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4D0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B638A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0FF0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17B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1318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26E"/>
    <w:rsid w:val="00912B55"/>
    <w:rsid w:val="00915DF9"/>
    <w:rsid w:val="009254C3"/>
    <w:rsid w:val="00925CA9"/>
    <w:rsid w:val="00932377"/>
    <w:rsid w:val="00936C8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4DFF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6401"/>
    <w:rsid w:val="00A77E0D"/>
    <w:rsid w:val="00A828B4"/>
    <w:rsid w:val="00A931D7"/>
    <w:rsid w:val="00A93FA2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374D"/>
    <w:rsid w:val="00CC7039"/>
    <w:rsid w:val="00CD6358"/>
    <w:rsid w:val="00CD7B88"/>
    <w:rsid w:val="00CE051D"/>
    <w:rsid w:val="00CE0CBE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5BE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2A13E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5949</Characters>
  <Application>Microsoft Office Word</Application>
  <DocSecurity>0</DocSecurity>
  <PresentationFormat/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2025-02-13T00:49:00Z</dcterms:created>
  <dcterms:modified xsi:type="dcterms:W3CDTF">2025-04-08T00:06:00Z</dcterms:modified>
  <cp:category/>
  <cp:contentStatus/>
  <dc:language/>
  <cp:version/>
</cp:coreProperties>
</file>