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D35931" w:rsidP="006647B7">
      <w:pPr>
        <w:pStyle w:val="Plainheader"/>
      </w:pPr>
      <w:bookmarkStart w:id="0" w:name="SoP_Name_Title"/>
      <w:r>
        <w:t xml:space="preserve">EXERTIONAL HEAT </w:t>
      </w:r>
      <w:proofErr w:type="gramStart"/>
      <w:r>
        <w:t>ILLNESS</w:t>
      </w:r>
      <w:bookmarkEnd w:id="0"/>
      <w:proofErr w:type="gramEnd"/>
      <w:r w:rsidR="00997416">
        <w:br/>
        <w:t xml:space="preserve">(Balance of Probabilities) </w:t>
      </w:r>
    </w:p>
    <w:p w:rsidR="00715914" w:rsidRPr="00024911" w:rsidRDefault="00E55F66" w:rsidP="006647B7">
      <w:pPr>
        <w:pStyle w:val="Plainheader"/>
      </w:pPr>
      <w:r w:rsidRPr="00024911">
        <w:t xml:space="preserve">(No. </w:t>
      </w:r>
      <w:bookmarkStart w:id="1" w:name="BP"/>
      <w:r w:rsidR="00F925EB">
        <w:t>32</w:t>
      </w:r>
      <w:bookmarkEnd w:id="1"/>
      <w:r w:rsidRPr="00024911">
        <w:t xml:space="preserve"> of</w:t>
      </w:r>
      <w:r w:rsidR="00085567">
        <w:t xml:space="preserve"> </w:t>
      </w:r>
      <w:bookmarkStart w:id="2" w:name="year"/>
      <w:r w:rsidR="00D35931">
        <w:t>2022</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693F5A">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F925EB">
        <w:t>4 March 2022</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C47DCC" w:rsidTr="0034373D">
        <w:tc>
          <w:tcPr>
            <w:tcW w:w="4116" w:type="dxa"/>
          </w:tcPr>
          <w:p w:rsidR="00C47DCC" w:rsidRDefault="00C47DCC"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C47DCC" w:rsidRDefault="00C47DCC" w:rsidP="0034373D">
            <w:pPr>
              <w:pStyle w:val="Plain"/>
            </w:pPr>
          </w:p>
        </w:tc>
      </w:tr>
      <w:tr w:rsidR="00C47DCC" w:rsidTr="0034373D">
        <w:tc>
          <w:tcPr>
            <w:tcW w:w="4116" w:type="dxa"/>
          </w:tcPr>
          <w:p w:rsidR="00C47DCC" w:rsidRDefault="00C47DCC" w:rsidP="0034373D">
            <w:pPr>
              <w:pStyle w:val="Plain"/>
            </w:pPr>
          </w:p>
          <w:p w:rsidR="00C47DCC" w:rsidRDefault="00C47DCC" w:rsidP="0034373D">
            <w:pPr>
              <w:pStyle w:val="Plain"/>
            </w:pPr>
          </w:p>
          <w:p w:rsidR="00C47DCC" w:rsidRPr="007527C1" w:rsidRDefault="00C47DCC" w:rsidP="0034373D">
            <w:pPr>
              <w:pStyle w:val="Plain"/>
            </w:pPr>
            <w:r w:rsidRPr="007527C1">
              <w:t xml:space="preserve">Professor </w:t>
            </w:r>
            <w:r w:rsidR="00D35931">
              <w:t>Terence Campbell AM</w:t>
            </w:r>
          </w:p>
          <w:p w:rsidR="00C47DCC" w:rsidRDefault="00C47DCC" w:rsidP="0034373D">
            <w:pPr>
              <w:pStyle w:val="Plain"/>
            </w:pPr>
            <w:r w:rsidRPr="007527C1">
              <w:t>Chairperson</w:t>
            </w:r>
          </w:p>
          <w:p w:rsidR="00C47DCC" w:rsidRDefault="00C47DCC"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D3593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35931">
        <w:rPr>
          <w:noProof/>
        </w:rPr>
        <w:t>1</w:t>
      </w:r>
      <w:r w:rsidR="00D35931">
        <w:rPr>
          <w:rFonts w:asciiTheme="minorHAnsi" w:eastAsiaTheme="minorEastAsia" w:hAnsiTheme="minorHAnsi" w:cstheme="minorBidi"/>
          <w:noProof/>
          <w:kern w:val="0"/>
          <w:sz w:val="22"/>
          <w:szCs w:val="22"/>
        </w:rPr>
        <w:tab/>
      </w:r>
      <w:r w:rsidR="00D35931">
        <w:rPr>
          <w:noProof/>
        </w:rPr>
        <w:t>Name</w:t>
      </w:r>
      <w:r w:rsidR="00D35931">
        <w:rPr>
          <w:noProof/>
        </w:rPr>
        <w:tab/>
      </w:r>
      <w:r w:rsidR="00D35931">
        <w:rPr>
          <w:noProof/>
        </w:rPr>
        <w:fldChar w:fldCharType="begin"/>
      </w:r>
      <w:r w:rsidR="00D35931">
        <w:rPr>
          <w:noProof/>
        </w:rPr>
        <w:instrText xml:space="preserve"> PAGEREF _Toc89423892 \h </w:instrText>
      </w:r>
      <w:r w:rsidR="00D35931">
        <w:rPr>
          <w:noProof/>
        </w:rPr>
      </w:r>
      <w:r w:rsidR="00D35931">
        <w:rPr>
          <w:noProof/>
        </w:rPr>
        <w:fldChar w:fldCharType="separate"/>
      </w:r>
      <w:r w:rsidR="00F925EB">
        <w:rPr>
          <w:noProof/>
        </w:rPr>
        <w:t>3</w:t>
      </w:r>
      <w:r w:rsidR="00D35931">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_Toc89423893 \h </w:instrText>
      </w:r>
      <w:r>
        <w:rPr>
          <w:noProof/>
        </w:rPr>
      </w:r>
      <w:r>
        <w:rPr>
          <w:noProof/>
        </w:rPr>
        <w:fldChar w:fldCharType="separate"/>
      </w:r>
      <w:r w:rsidR="00F925EB">
        <w:rPr>
          <w:noProof/>
        </w:rPr>
        <w:t>3</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_Toc89423894 \h </w:instrText>
      </w:r>
      <w:r>
        <w:rPr>
          <w:noProof/>
        </w:rPr>
      </w:r>
      <w:r>
        <w:rPr>
          <w:noProof/>
        </w:rPr>
        <w:fldChar w:fldCharType="separate"/>
      </w:r>
      <w:r w:rsidR="00F925EB">
        <w:rPr>
          <w:noProof/>
        </w:rPr>
        <w:t>3</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_Toc89423895 \h </w:instrText>
      </w:r>
      <w:r>
        <w:rPr>
          <w:noProof/>
        </w:rPr>
      </w:r>
      <w:r>
        <w:rPr>
          <w:noProof/>
        </w:rPr>
        <w:fldChar w:fldCharType="separate"/>
      </w:r>
      <w:r w:rsidR="00F925EB">
        <w:rPr>
          <w:noProof/>
        </w:rPr>
        <w:t>3</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_Toc89423896 \h </w:instrText>
      </w:r>
      <w:r>
        <w:rPr>
          <w:noProof/>
        </w:rPr>
      </w:r>
      <w:r>
        <w:rPr>
          <w:noProof/>
        </w:rPr>
        <w:fldChar w:fldCharType="separate"/>
      </w:r>
      <w:r w:rsidR="00F925EB">
        <w:rPr>
          <w:noProof/>
        </w:rPr>
        <w:t>3</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_Toc89423897 \h </w:instrText>
      </w:r>
      <w:r>
        <w:rPr>
          <w:noProof/>
        </w:rPr>
      </w:r>
      <w:r>
        <w:rPr>
          <w:noProof/>
        </w:rPr>
        <w:fldChar w:fldCharType="separate"/>
      </w:r>
      <w:r w:rsidR="00F925EB">
        <w:rPr>
          <w:noProof/>
        </w:rPr>
        <w:t>3</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_Toc89423898 \h </w:instrText>
      </w:r>
      <w:r>
        <w:rPr>
          <w:noProof/>
        </w:rPr>
      </w:r>
      <w:r>
        <w:rPr>
          <w:noProof/>
        </w:rPr>
        <w:fldChar w:fldCharType="separate"/>
      </w:r>
      <w:r w:rsidR="00F925EB">
        <w:rPr>
          <w:noProof/>
        </w:rPr>
        <w:t>4</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_Toc89423899 \h </w:instrText>
      </w:r>
      <w:r>
        <w:rPr>
          <w:noProof/>
        </w:rPr>
      </w:r>
      <w:r>
        <w:rPr>
          <w:noProof/>
        </w:rPr>
        <w:fldChar w:fldCharType="separate"/>
      </w:r>
      <w:r w:rsidR="00F925EB">
        <w:rPr>
          <w:noProof/>
        </w:rPr>
        <w:t>4</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_Toc89423900 \h </w:instrText>
      </w:r>
      <w:r>
        <w:rPr>
          <w:noProof/>
        </w:rPr>
      </w:r>
      <w:r>
        <w:rPr>
          <w:noProof/>
        </w:rPr>
        <w:fldChar w:fldCharType="separate"/>
      </w:r>
      <w:r w:rsidR="00F925EB">
        <w:rPr>
          <w:noProof/>
        </w:rPr>
        <w:t>5</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_Toc89423901 \h </w:instrText>
      </w:r>
      <w:r>
        <w:rPr>
          <w:noProof/>
        </w:rPr>
      </w:r>
      <w:r>
        <w:rPr>
          <w:noProof/>
        </w:rPr>
        <w:fldChar w:fldCharType="separate"/>
      </w:r>
      <w:r w:rsidR="00F925EB">
        <w:rPr>
          <w:noProof/>
        </w:rPr>
        <w:t>5</w:t>
      </w:r>
      <w:r>
        <w:rPr>
          <w:noProof/>
        </w:rPr>
        <w:fldChar w:fldCharType="end"/>
      </w:r>
    </w:p>
    <w:p w:rsidR="00D35931" w:rsidRDefault="00D3593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_Toc89423902 \h </w:instrText>
      </w:r>
      <w:r>
        <w:rPr>
          <w:noProof/>
        </w:rPr>
      </w:r>
      <w:r>
        <w:rPr>
          <w:noProof/>
        </w:rPr>
        <w:fldChar w:fldCharType="separate"/>
      </w:r>
      <w:r w:rsidR="00F925EB">
        <w:rPr>
          <w:noProof/>
        </w:rPr>
        <w:t>6</w:t>
      </w:r>
      <w:r>
        <w:rPr>
          <w:noProof/>
        </w:rPr>
        <w:fldChar w:fldCharType="end"/>
      </w:r>
    </w:p>
    <w:p w:rsidR="00D35931" w:rsidRDefault="00D3593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_Toc89423903 \h </w:instrText>
      </w:r>
      <w:r>
        <w:rPr>
          <w:noProof/>
        </w:rPr>
      </w:r>
      <w:r>
        <w:rPr>
          <w:noProof/>
        </w:rPr>
        <w:fldChar w:fldCharType="separate"/>
      </w:r>
      <w:r w:rsidR="00F925EB">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452B52">
      <w:pPr>
        <w:pStyle w:val="LV1"/>
      </w:pPr>
      <w:bookmarkStart w:id="4" w:name="_Toc89423892"/>
      <w:r>
        <w:lastRenderedPageBreak/>
        <w:t>Name</w:t>
      </w:r>
      <w:bookmarkEnd w:id="4"/>
    </w:p>
    <w:p w:rsidR="00237471" w:rsidRPr="00F97A62" w:rsidRDefault="00715914" w:rsidP="0061476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D35931">
        <w:rPr>
          <w:i/>
        </w:rPr>
        <w:t>exertional heat illness</w:t>
      </w:r>
      <w:bookmarkEnd w:id="6"/>
      <w:r w:rsidR="00E55F66" w:rsidRPr="00F97A62">
        <w:t xml:space="preserve"> </w:t>
      </w:r>
      <w:r w:rsidR="00997416">
        <w:rPr>
          <w:i/>
        </w:rPr>
        <w:t xml:space="preserve">(Balance of Probabilities) </w:t>
      </w:r>
      <w:r w:rsidR="00E55F66" w:rsidRPr="00F97A62">
        <w:t xml:space="preserve">(No. </w:t>
      </w:r>
      <w:r w:rsidR="00F925EB">
        <w:t>32</w:t>
      </w:r>
      <w:r w:rsidR="00085567">
        <w:t xml:space="preserve"> </w:t>
      </w:r>
      <w:r w:rsidR="00E55F66" w:rsidRPr="00F97A62">
        <w:t>of</w:t>
      </w:r>
      <w:r w:rsidR="00085567">
        <w:t xml:space="preserve"> </w:t>
      </w:r>
      <w:r w:rsidR="00F925EB">
        <w:t>2022</w:t>
      </w:r>
      <w:r w:rsidR="00E55F66" w:rsidRPr="00F97A62">
        <w:t>)</w:t>
      </w:r>
      <w:r w:rsidRPr="00F97A62">
        <w:t>.</w:t>
      </w:r>
    </w:p>
    <w:p w:rsidR="00F67B67" w:rsidRPr="00684C0E" w:rsidRDefault="00F67B67" w:rsidP="00452B52">
      <w:pPr>
        <w:pStyle w:val="LV1"/>
      </w:pPr>
      <w:bookmarkStart w:id="7" w:name="_Toc89423893"/>
      <w:r w:rsidRPr="00684C0E">
        <w:t>Commencement</w:t>
      </w:r>
      <w:bookmarkEnd w:id="7"/>
    </w:p>
    <w:p w:rsidR="00F67B67" w:rsidRPr="00F925EB" w:rsidRDefault="007527C1" w:rsidP="0061476C">
      <w:pPr>
        <w:pStyle w:val="PlainIndent"/>
      </w:pPr>
      <w:r w:rsidRPr="007527C1">
        <w:tab/>
      </w:r>
      <w:r w:rsidR="00F67B67" w:rsidRPr="007527C1">
        <w:t xml:space="preserve">This instrument commences on </w:t>
      </w:r>
      <w:r w:rsidR="00F925EB" w:rsidRPr="00F925EB">
        <w:t>4 April 2022.</w:t>
      </w:r>
    </w:p>
    <w:p w:rsidR="00F67B67" w:rsidRPr="00684C0E" w:rsidRDefault="00F67B67" w:rsidP="00452B52">
      <w:pPr>
        <w:pStyle w:val="LV1"/>
      </w:pPr>
      <w:bookmarkStart w:id="8" w:name="_Toc89423894"/>
      <w:r w:rsidRPr="00684C0E">
        <w:t>Authority</w:t>
      </w:r>
      <w:bookmarkEnd w:id="8"/>
    </w:p>
    <w:p w:rsidR="00F67B67" w:rsidRPr="007527C1" w:rsidRDefault="00F67B67" w:rsidP="0061476C">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693F5A">
        <w:rPr>
          <w:i/>
        </w:rPr>
        <w:t>'</w:t>
      </w:r>
      <w:r w:rsidRPr="007527C1">
        <w:rPr>
          <w:i/>
        </w:rPr>
        <w:t xml:space="preserve"> Entitlements Act 1986</w:t>
      </w:r>
      <w:r w:rsidRPr="007527C1">
        <w:t>.</w:t>
      </w:r>
    </w:p>
    <w:p w:rsidR="007C7DEE" w:rsidRPr="00684C0E" w:rsidRDefault="007C7DEE" w:rsidP="00452B52">
      <w:pPr>
        <w:pStyle w:val="LV1"/>
      </w:pPr>
      <w:bookmarkStart w:id="9" w:name="_Toc89423895"/>
      <w:r w:rsidRPr="00684C0E">
        <w:t>Application</w:t>
      </w:r>
      <w:bookmarkEnd w:id="9"/>
    </w:p>
    <w:p w:rsidR="007C7DEE" w:rsidRPr="007527C1" w:rsidRDefault="007C7DEE" w:rsidP="0061476C">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452B52">
      <w:pPr>
        <w:pStyle w:val="LV1"/>
      </w:pPr>
      <w:bookmarkStart w:id="10" w:name="_Ref410129949"/>
      <w:bookmarkStart w:id="11" w:name="_Toc89423896"/>
      <w:r w:rsidRPr="00684C0E">
        <w:t>Definitions</w:t>
      </w:r>
      <w:bookmarkEnd w:id="10"/>
      <w:bookmarkEnd w:id="11"/>
    </w:p>
    <w:p w:rsidR="00237471" w:rsidRPr="00D5620B" w:rsidRDefault="007142FB" w:rsidP="0061476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452B52">
      <w:pPr>
        <w:pStyle w:val="LV1"/>
      </w:pPr>
      <w:bookmarkStart w:id="12" w:name="_Ref409687573"/>
      <w:bookmarkStart w:id="13" w:name="_Ref409687579"/>
      <w:bookmarkStart w:id="14" w:name="_Ref409687725"/>
      <w:bookmarkStart w:id="15" w:name="_Toc89423897"/>
      <w:r w:rsidRPr="00684C0E">
        <w:t>Kind of injury, disease or death</w:t>
      </w:r>
      <w:r w:rsidR="00215860" w:rsidRPr="00684C0E">
        <w:t xml:space="preserve"> to which this Statement of Principles relates</w:t>
      </w:r>
      <w:bookmarkEnd w:id="12"/>
      <w:bookmarkEnd w:id="13"/>
      <w:bookmarkEnd w:id="14"/>
      <w:bookmarkEnd w:id="15"/>
    </w:p>
    <w:p w:rsidR="007C7DEE" w:rsidRPr="00D5620B" w:rsidRDefault="007C7DEE" w:rsidP="0061476C">
      <w:pPr>
        <w:pStyle w:val="LV2"/>
      </w:pPr>
      <w:bookmarkStart w:id="16" w:name="_Ref403053584"/>
      <w:r w:rsidRPr="00D5620B">
        <w:t xml:space="preserve">This Statement of Principles is </w:t>
      </w:r>
      <w:r w:rsidRPr="002F77A1">
        <w:t xml:space="preserve">about </w:t>
      </w:r>
      <w:r w:rsidR="00F925EB" w:rsidRPr="00F925EB">
        <w:t>exertional heat illness</w:t>
      </w:r>
      <w:r w:rsidR="00D5620B" w:rsidRPr="002F77A1">
        <w:t xml:space="preserve"> </w:t>
      </w:r>
      <w:r w:rsidRPr="002F77A1">
        <w:t>and death</w:t>
      </w:r>
      <w:r w:rsidRPr="00D5620B">
        <w:t xml:space="preserve"> from</w:t>
      </w:r>
      <w:r w:rsidR="002F77A1">
        <w:t xml:space="preserve"> </w:t>
      </w:r>
      <w:r w:rsidR="00F925EB" w:rsidRPr="00F925EB">
        <w:t>exertional heat illness</w:t>
      </w:r>
      <w:r w:rsidRPr="00D5620B">
        <w:t>.</w:t>
      </w:r>
      <w:bookmarkEnd w:id="16"/>
    </w:p>
    <w:p w:rsidR="00215860" w:rsidRPr="007142FB" w:rsidRDefault="00215860" w:rsidP="0083517B">
      <w:pPr>
        <w:pStyle w:val="LVtext"/>
      </w:pPr>
      <w:r w:rsidRPr="007142FB">
        <w:t>Meaning of</w:t>
      </w:r>
      <w:r w:rsidR="00D60FC8" w:rsidRPr="007142FB">
        <w:t xml:space="preserve"> </w:t>
      </w:r>
      <w:r w:rsidR="00F925EB" w:rsidRPr="00F925EB">
        <w:rPr>
          <w:b/>
        </w:rPr>
        <w:t>exertional heat illness</w:t>
      </w:r>
    </w:p>
    <w:p w:rsidR="002716E4" w:rsidRPr="00237BAF" w:rsidRDefault="007C7DEE" w:rsidP="0061476C">
      <w:pPr>
        <w:pStyle w:val="LV2"/>
      </w:pPr>
      <w:bookmarkStart w:id="17" w:name="_Ref409598124"/>
      <w:bookmarkStart w:id="18" w:name="_Ref402529683"/>
      <w:r w:rsidRPr="00237BAF">
        <w:t>For the purposes of this Statement of Principles,</w:t>
      </w:r>
      <w:r w:rsidR="002F77A1" w:rsidRPr="002F77A1">
        <w:t xml:space="preserve"> </w:t>
      </w:r>
      <w:r w:rsidR="00F925EB" w:rsidRPr="00F925EB">
        <w:t>exertional heat illness</w:t>
      </w:r>
      <w:r w:rsidR="002716E4" w:rsidRPr="00237BAF">
        <w:t>:</w:t>
      </w:r>
      <w:bookmarkEnd w:id="17"/>
    </w:p>
    <w:p w:rsidR="00D35931" w:rsidRDefault="00D35931" w:rsidP="00D35931">
      <w:pPr>
        <w:pStyle w:val="LV3"/>
      </w:pPr>
      <w:r>
        <w:t>means an illness caused by an increase in body temperature that exceeds the body's ability to lose heat, due to exposure to physical activity in a setting of high environmental temperatures; and</w:t>
      </w:r>
    </w:p>
    <w:p w:rsidR="00D35931" w:rsidRDefault="00D35931" w:rsidP="00D35931">
      <w:pPr>
        <w:pStyle w:val="LV3"/>
      </w:pPr>
      <w:r>
        <w:t>includes:</w:t>
      </w:r>
    </w:p>
    <w:p w:rsidR="00D35931" w:rsidRDefault="00D35931" w:rsidP="00D35931">
      <w:pPr>
        <w:pStyle w:val="LV4"/>
      </w:pPr>
      <w:r>
        <w:t>heat exhaustion (also known as heat fatigue, heat intolerance and heat stress);</w:t>
      </w:r>
    </w:p>
    <w:p w:rsidR="00D35931" w:rsidRDefault="00D35931" w:rsidP="00D35931">
      <w:pPr>
        <w:pStyle w:val="LV4"/>
      </w:pPr>
      <w:r>
        <w:t xml:space="preserve">heat injury; </w:t>
      </w:r>
    </w:p>
    <w:p w:rsidR="00D35931" w:rsidRDefault="00D35931" w:rsidP="00D35931">
      <w:pPr>
        <w:pStyle w:val="LV4"/>
      </w:pPr>
      <w:r>
        <w:t>heat stroke; and</w:t>
      </w:r>
    </w:p>
    <w:p w:rsidR="00D35931" w:rsidRDefault="00D35931" w:rsidP="00D35931">
      <w:pPr>
        <w:pStyle w:val="LV4"/>
      </w:pPr>
      <w:r>
        <w:t>heat syncope; and</w:t>
      </w:r>
    </w:p>
    <w:p w:rsidR="00D35931" w:rsidRDefault="00D35931" w:rsidP="00D35931">
      <w:pPr>
        <w:pStyle w:val="LV3"/>
      </w:pPr>
      <w:r>
        <w:t>excludes:</w:t>
      </w:r>
    </w:p>
    <w:p w:rsidR="00D35931" w:rsidRDefault="00D35931" w:rsidP="00D35931">
      <w:pPr>
        <w:pStyle w:val="LV4"/>
      </w:pPr>
      <w:r>
        <w:t>drug hypersensitivity reactions;</w:t>
      </w:r>
    </w:p>
    <w:p w:rsidR="00D35931" w:rsidRDefault="00D35931" w:rsidP="00D35931">
      <w:pPr>
        <w:pStyle w:val="LV4"/>
      </w:pPr>
      <w:r>
        <w:t>exertional hyponatraemia;</w:t>
      </w:r>
    </w:p>
    <w:p w:rsidR="00D35931" w:rsidRDefault="00D35931" w:rsidP="00D35931">
      <w:pPr>
        <w:pStyle w:val="LV4"/>
      </w:pPr>
      <w:r>
        <w:lastRenderedPageBreak/>
        <w:t>isolated exertional rhabdomyolysis (without evidence of heat-related illness);</w:t>
      </w:r>
    </w:p>
    <w:p w:rsidR="00D35931" w:rsidRDefault="00D35931" w:rsidP="00D35931">
      <w:pPr>
        <w:pStyle w:val="LV4"/>
      </w:pPr>
      <w:r>
        <w:t>malignant hyperthermia associated with anaesthetic agents;</w:t>
      </w:r>
    </w:p>
    <w:p w:rsidR="00D35931" w:rsidRDefault="00D35931" w:rsidP="00D35931">
      <w:pPr>
        <w:pStyle w:val="LV4"/>
      </w:pPr>
      <w:r>
        <w:t xml:space="preserve">neuroleptic malignant syndrome; </w:t>
      </w:r>
    </w:p>
    <w:p w:rsidR="00D35931" w:rsidRDefault="00D35931" w:rsidP="00D35931">
      <w:pPr>
        <w:pStyle w:val="LV4"/>
      </w:pPr>
      <w:r>
        <w:t>pyrogenic hyperthermia; and</w:t>
      </w:r>
    </w:p>
    <w:p w:rsidR="00080915" w:rsidRDefault="00D35931" w:rsidP="00D35931">
      <w:pPr>
        <w:pStyle w:val="LV4"/>
      </w:pPr>
      <w:proofErr w:type="gramStart"/>
      <w:r>
        <w:t>serotonin</w:t>
      </w:r>
      <w:proofErr w:type="gramEnd"/>
      <w:r>
        <w:t xml:space="preserve"> syndrome.</w:t>
      </w:r>
    </w:p>
    <w:p w:rsidR="00D35931" w:rsidRDefault="00D35931" w:rsidP="00D35931">
      <w:pPr>
        <w:pStyle w:val="Note1"/>
        <w:ind w:left="2552" w:hanging="567"/>
      </w:pPr>
      <w:r>
        <w:t>Note1: Pyrogenic hyperthermia is an adaptive, physiologic response in which the hypothalamus increases the core body temperature set point. Common causes include infection, inflammation, trauma and cancer.</w:t>
      </w:r>
    </w:p>
    <w:p w:rsidR="0061476C" w:rsidRPr="00C15950" w:rsidRDefault="00D35931" w:rsidP="00D35931">
      <w:pPr>
        <w:pStyle w:val="Note1"/>
        <w:ind w:left="2552" w:hanging="567"/>
      </w:pPr>
      <w:r>
        <w:t xml:space="preserve">Note 2: </w:t>
      </w:r>
      <w:r w:rsidRPr="00D35931">
        <w:rPr>
          <w:b/>
          <w:i/>
        </w:rPr>
        <w:t>heat exhaustion</w:t>
      </w:r>
      <w:r>
        <w:t xml:space="preserve">, </w:t>
      </w:r>
      <w:r w:rsidRPr="00D35931">
        <w:rPr>
          <w:b/>
          <w:i/>
        </w:rPr>
        <w:t>heat injury</w:t>
      </w:r>
      <w:r>
        <w:t xml:space="preserve">, </w:t>
      </w:r>
      <w:r w:rsidRPr="00D35931">
        <w:rPr>
          <w:b/>
          <w:i/>
        </w:rPr>
        <w:t>heat stroke</w:t>
      </w:r>
      <w:r>
        <w:t xml:space="preserve"> and </w:t>
      </w:r>
      <w:r w:rsidRPr="00D35931">
        <w:rPr>
          <w:b/>
          <w:i/>
        </w:rPr>
        <w:t>heat syncope</w:t>
      </w:r>
      <w:r>
        <w:t xml:space="preserve"> are defined in the Schedule 1- Dictionary.</w:t>
      </w:r>
    </w:p>
    <w:bookmarkEnd w:id="18"/>
    <w:p w:rsidR="008F572A" w:rsidRPr="00237BAF" w:rsidRDefault="008F572A" w:rsidP="00D35931">
      <w:pPr>
        <w:pStyle w:val="LV2"/>
      </w:pPr>
      <w:r w:rsidRPr="00237BAF">
        <w:t xml:space="preserve">While </w:t>
      </w:r>
      <w:r w:rsidR="00F925EB" w:rsidRPr="00F925EB">
        <w:t>exertional heat illness</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D35931">
        <w:t>s</w:t>
      </w:r>
      <w:r w:rsidRPr="00EB2BC4">
        <w:t xml:space="preserve"> </w:t>
      </w:r>
      <w:r w:rsidR="00D35931" w:rsidRPr="00D35931">
        <w:t>T67.0</w:t>
      </w:r>
      <w:r w:rsidR="00587555">
        <w:t>, T67.1, T67.2, T67.3, T67.4 or</w:t>
      </w:r>
      <w:r w:rsidR="00D35931" w:rsidRPr="00D35931">
        <w:t xml:space="preserve"> T67.5</w:t>
      </w:r>
      <w:r w:rsidR="00885EAB" w:rsidRPr="00EB2BC4">
        <w:t>,</w:t>
      </w:r>
      <w:r w:rsidRPr="00237BAF">
        <w:t xml:space="preserve"> in applying this Statement of Principles the </w:t>
      </w:r>
      <w:r w:rsidR="00FA33FB" w:rsidRPr="00D5620B">
        <w:t xml:space="preserve">meaning </w:t>
      </w:r>
      <w:r w:rsidRPr="00D5620B">
        <w:t xml:space="preserve">of </w:t>
      </w:r>
      <w:r w:rsidR="00F925EB" w:rsidRPr="00F925EB">
        <w:t>exertional heat illness</w:t>
      </w:r>
      <w:r w:rsidR="002F77A1">
        <w:t xml:space="preserve"> </w:t>
      </w:r>
      <w:r w:rsidRPr="00D5620B">
        <w:t>is that</w:t>
      </w:r>
      <w:r w:rsidRPr="00237BAF">
        <w:t xml:space="preserve"> given in </w:t>
      </w:r>
      <w:r w:rsidR="00FA33FB" w:rsidRPr="00237BAF">
        <w:t>subsection (</w:t>
      </w:r>
      <w:r w:rsidRPr="00237BAF">
        <w:t>2).</w:t>
      </w:r>
    </w:p>
    <w:p w:rsidR="000F76FA" w:rsidRPr="0053697E" w:rsidRDefault="00727B4E" w:rsidP="0061476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F925EB" w:rsidRPr="00F925EB">
        <w:rPr>
          <w:b/>
        </w:rPr>
        <w:t>exertional heat illness</w:t>
      </w:r>
    </w:p>
    <w:p w:rsidR="008F572A" w:rsidRPr="00237BAF" w:rsidRDefault="008F572A" w:rsidP="0061476C">
      <w:pPr>
        <w:pStyle w:val="LV2"/>
      </w:pPr>
      <w:r w:rsidRPr="00237BAF">
        <w:t xml:space="preserve">For the purposes of this Statement of </w:t>
      </w:r>
      <w:r w:rsidR="00D5620B">
        <w:t xml:space="preserve">Principles, </w:t>
      </w:r>
      <w:r w:rsidR="00F925EB" w:rsidRPr="00F925EB">
        <w:t>exertional heat illness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693F5A">
        <w:t>'</w:t>
      </w:r>
      <w:r w:rsidRPr="00D5620B">
        <w:t>s</w:t>
      </w:r>
      <w:r w:rsidR="002F77A1">
        <w:t xml:space="preserve"> </w:t>
      </w:r>
      <w:r w:rsidR="00F925EB" w:rsidRPr="00F925EB">
        <w:t>exertional heat illness</w:t>
      </w:r>
      <w:r w:rsidRPr="00D5620B">
        <w:t>.</w:t>
      </w:r>
    </w:p>
    <w:p w:rsidR="007C7DEE" w:rsidRPr="00046E67" w:rsidRDefault="00046E67" w:rsidP="00C71759">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E1DF6">
        <w:t>-</w:t>
      </w:r>
      <w:r w:rsidR="00D32F71">
        <w:t xml:space="preserve"> </w:t>
      </w:r>
      <w:r w:rsidR="00885EAB" w:rsidRPr="00046E67">
        <w:t>Dictionary</w:t>
      </w:r>
      <w:r w:rsidR="0048486E">
        <w:t>.</w:t>
      </w:r>
    </w:p>
    <w:p w:rsidR="007C7DEE" w:rsidRPr="00A20CA1" w:rsidRDefault="007C7DEE" w:rsidP="00452B52">
      <w:pPr>
        <w:pStyle w:val="LV1"/>
      </w:pPr>
      <w:bookmarkStart w:id="19" w:name="_Toc89423898"/>
      <w:r w:rsidRPr="00A20CA1">
        <w:t>Basis for determining the factors</w:t>
      </w:r>
      <w:bookmarkEnd w:id="19"/>
    </w:p>
    <w:p w:rsidR="007C7DEE" w:rsidRPr="00237BAF" w:rsidRDefault="007C7DEE" w:rsidP="0061476C">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F925EB" w:rsidRPr="00F925EB">
        <w:t>exertional heat illness</w:t>
      </w:r>
      <w:r w:rsidR="007A3989">
        <w:t xml:space="preserve"> </w:t>
      </w:r>
      <w:r w:rsidRPr="00D5620B">
        <w:t>and death from</w:t>
      </w:r>
      <w:r w:rsidR="007A3989">
        <w:t xml:space="preserve"> </w:t>
      </w:r>
      <w:r w:rsidR="00F925EB" w:rsidRPr="00F925EB">
        <w:t>exertional heat illness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C15950">
      <w:pPr>
        <w:pStyle w:val="ScheduleNote"/>
      </w:pPr>
      <w:r>
        <w:t xml:space="preserve">Note: </w:t>
      </w:r>
      <w:r w:rsidR="007C5353" w:rsidRPr="007C5353">
        <w:rPr>
          <w:b/>
          <w:i/>
        </w:rPr>
        <w:t>MRCA</w:t>
      </w:r>
      <w:r w:rsidR="007C5353">
        <w:t xml:space="preserve">, </w:t>
      </w:r>
      <w:r w:rsidR="00C9794D" w:rsidRPr="007C5353">
        <w:rPr>
          <w:b/>
          <w:i/>
        </w:rPr>
        <w:t>r</w:t>
      </w:r>
      <w:r w:rsidR="000E4183" w:rsidRPr="007C5353">
        <w:rPr>
          <w:b/>
          <w:i/>
        </w:rPr>
        <w:t>elevant</w:t>
      </w:r>
      <w:r w:rsidR="000E4183" w:rsidRPr="00FA33FB">
        <w:rPr>
          <w:b/>
          <w:i/>
        </w:rPr>
        <w:t xml:space="preserve"> service</w:t>
      </w:r>
      <w:r w:rsidR="000E4183" w:rsidRPr="00FA33FB">
        <w:t xml:space="preserve"> </w:t>
      </w:r>
      <w:r w:rsidR="007C5353">
        <w:t xml:space="preserve">and </w:t>
      </w:r>
      <w:r w:rsidR="007C5353" w:rsidRPr="007C5353">
        <w:rPr>
          <w:b/>
          <w:i/>
        </w:rPr>
        <w:t>VEA</w:t>
      </w:r>
      <w:r w:rsidR="007C5353">
        <w:t xml:space="preserve"> are</w:t>
      </w:r>
      <w:r w:rsidR="00885EAB" w:rsidRPr="00046E67">
        <w:t xml:space="preserve"> defined in the </w:t>
      </w:r>
      <w:r w:rsidR="00D32F71">
        <w:t xml:space="preserve">Schedule 1 </w:t>
      </w:r>
      <w:r w:rsidR="005E1DF6">
        <w:t>-</w:t>
      </w:r>
      <w:r w:rsidR="00D32F71">
        <w:t xml:space="preserve"> </w:t>
      </w:r>
      <w:r w:rsidR="00885EAB" w:rsidRPr="00046E67">
        <w:t>Dictionary</w:t>
      </w:r>
      <w:r w:rsidR="00FA0587">
        <w:t>.</w:t>
      </w:r>
    </w:p>
    <w:p w:rsidR="007C7DEE" w:rsidRPr="00301C54" w:rsidRDefault="007C7DEE" w:rsidP="00452B52">
      <w:pPr>
        <w:pStyle w:val="LV1"/>
      </w:pPr>
      <w:bookmarkStart w:id="20" w:name="_Ref411946955"/>
      <w:bookmarkStart w:id="21" w:name="_Ref411946997"/>
      <w:bookmarkStart w:id="22" w:name="_Ref412032503"/>
      <w:bookmarkStart w:id="23" w:name="_Toc89423899"/>
      <w:r w:rsidRPr="00301C54">
        <w:t xml:space="preserve">Factors that must </w:t>
      </w:r>
      <w:r w:rsidR="00D32F71">
        <w:t>exist</w:t>
      </w:r>
      <w:bookmarkEnd w:id="20"/>
      <w:bookmarkEnd w:id="21"/>
      <w:bookmarkEnd w:id="22"/>
      <w:bookmarkEnd w:id="23"/>
    </w:p>
    <w:p w:rsidR="007C7DEE" w:rsidRPr="00AA6D8B" w:rsidRDefault="002716E4" w:rsidP="0061476C">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F925EB" w:rsidRPr="00F925EB">
        <w:t>exertional heat illness</w:t>
      </w:r>
      <w:r w:rsidR="007A3989">
        <w:t xml:space="preserve"> </w:t>
      </w:r>
      <w:r w:rsidR="007C7DEE" w:rsidRPr="00AA6D8B">
        <w:t xml:space="preserve">or death from </w:t>
      </w:r>
      <w:r w:rsidR="00F925EB" w:rsidRPr="00F925EB">
        <w:t>exertional heat illness</w:t>
      </w:r>
      <w:r w:rsidR="007A3989">
        <w:t xml:space="preserve"> </w:t>
      </w:r>
      <w:r w:rsidR="007C7DEE" w:rsidRPr="00AA6D8B">
        <w:t>is connected with the circumstances of a pers</w:t>
      </w:r>
      <w:r w:rsidR="002A1ECC" w:rsidRPr="00AA6D8B">
        <w:t>on</w:t>
      </w:r>
      <w:r w:rsidR="00693F5A">
        <w:t>'</w:t>
      </w:r>
      <w:r w:rsidR="002A1ECC" w:rsidRPr="00AA6D8B">
        <w:t>s relevant service</w:t>
      </w:r>
      <w:r w:rsidR="007C7DEE" w:rsidRPr="00AA6D8B">
        <w:t>:</w:t>
      </w:r>
      <w:bookmarkEnd w:id="24"/>
    </w:p>
    <w:p w:rsidR="00D35931" w:rsidRDefault="00D35931" w:rsidP="00D35931">
      <w:pPr>
        <w:pStyle w:val="LV2"/>
      </w:pPr>
      <w:r>
        <w:t>undertaking physical activity at a minimum intensity of at least 3 METs in a hot environment at the time of the clinical onset of exertional heat illness;</w:t>
      </w:r>
    </w:p>
    <w:p w:rsidR="00D35931" w:rsidRDefault="00D35931" w:rsidP="005B7E07">
      <w:pPr>
        <w:pStyle w:val="Note2"/>
        <w:ind w:left="2008" w:hanging="590"/>
      </w:pPr>
      <w:r>
        <w:lastRenderedPageBreak/>
        <w:t xml:space="preserve">Note 1: </w:t>
      </w:r>
      <w:r w:rsidR="00587555" w:rsidRPr="00587555">
        <w:rPr>
          <w:lang w:val="en-US"/>
        </w:rPr>
        <w:t xml:space="preserve">Exertional heat illness generally occurs at higher levels of physical activity and </w:t>
      </w:r>
      <w:bookmarkStart w:id="25" w:name="_GoBack"/>
      <w:bookmarkEnd w:id="25"/>
      <w:r w:rsidR="00587555" w:rsidRPr="00587555">
        <w:rPr>
          <w:lang w:val="en-US"/>
        </w:rPr>
        <w:t xml:space="preserve">environmental heat. The likelihood of developing exertional heat illness can be increased in milder environmental temperatures in the presence of other contributing factors. These include prolonged activity, high humidity, lack of breezes, wearing heavy protective clothing or combat clothing, carrying heavy loads, poor physical fitness, </w:t>
      </w:r>
      <w:proofErr w:type="gramStart"/>
      <w:r w:rsidR="00587555" w:rsidRPr="00587555">
        <w:rPr>
          <w:lang w:val="en-US"/>
        </w:rPr>
        <w:t>lack</w:t>
      </w:r>
      <w:proofErr w:type="gramEnd"/>
      <w:r w:rsidR="00587555" w:rsidRPr="00587555">
        <w:rPr>
          <w:lang w:val="en-US"/>
        </w:rPr>
        <w:t xml:space="preserve"> of acclimatisation, being overweight or obese, and taking drugs which affect thermoregulation.</w:t>
      </w:r>
    </w:p>
    <w:p w:rsidR="007C7DEE" w:rsidRPr="008D1B8B" w:rsidRDefault="00D35931" w:rsidP="00D35931">
      <w:pPr>
        <w:pStyle w:val="Note2"/>
      </w:pPr>
      <w:r>
        <w:t xml:space="preserve">Note 2: </w:t>
      </w:r>
      <w:r w:rsidRPr="00D35931">
        <w:rPr>
          <w:b/>
          <w:i/>
        </w:rPr>
        <w:t>MET</w:t>
      </w:r>
      <w:r>
        <w:t xml:space="preserve"> is defined in the Schedule 1 - Dictionary.</w:t>
      </w:r>
    </w:p>
    <w:p w:rsidR="007C7DEE" w:rsidRPr="008D1B8B" w:rsidRDefault="007C7DEE" w:rsidP="0061476C">
      <w:pPr>
        <w:pStyle w:val="LV2"/>
      </w:pPr>
      <w:bookmarkStart w:id="26" w:name="_Ref402530260"/>
      <w:bookmarkStart w:id="27" w:name="_Ref409598844"/>
      <w:proofErr w:type="gramStart"/>
      <w:r w:rsidRPr="008D1B8B">
        <w:t>inability</w:t>
      </w:r>
      <w:proofErr w:type="gramEnd"/>
      <w:r w:rsidRPr="008D1B8B">
        <w:t xml:space="preserve"> to obtain appropriate clinical management for</w:t>
      </w:r>
      <w:bookmarkEnd w:id="26"/>
      <w:r w:rsidR="007A3989">
        <w:t xml:space="preserve"> </w:t>
      </w:r>
      <w:r w:rsidR="00F925EB" w:rsidRPr="00F925EB">
        <w:t>exertional heat illness</w:t>
      </w:r>
      <w:r w:rsidR="00D5620B" w:rsidRPr="008D1B8B">
        <w:t>.</w:t>
      </w:r>
      <w:bookmarkEnd w:id="27"/>
    </w:p>
    <w:p w:rsidR="000C21A3" w:rsidRPr="00684C0E" w:rsidRDefault="00D32F71" w:rsidP="00452B52">
      <w:pPr>
        <w:pStyle w:val="LV1"/>
      </w:pPr>
      <w:bookmarkStart w:id="28" w:name="_Toc89423900"/>
      <w:bookmarkStart w:id="29" w:name="_Ref402530057"/>
      <w:r>
        <w:t>Relationship to s</w:t>
      </w:r>
      <w:r w:rsidR="000C21A3" w:rsidRPr="00684C0E">
        <w:t>ervice</w:t>
      </w:r>
      <w:bookmarkEnd w:id="28"/>
    </w:p>
    <w:p w:rsidR="00F03C06" w:rsidRPr="00187DE1" w:rsidRDefault="00F03C06" w:rsidP="0061476C">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9"/>
    <w:p w:rsidR="00CF2367" w:rsidRPr="00187DE1" w:rsidRDefault="00F03C06" w:rsidP="0061476C">
      <w:pPr>
        <w:pStyle w:val="LV2"/>
      </w:pPr>
      <w:r w:rsidRPr="00187DE1">
        <w:t xml:space="preserve">The factor set out in </w:t>
      </w:r>
      <w:r w:rsidR="009056AF">
        <w:t>subsection</w:t>
      </w:r>
      <w:r w:rsidR="00FF1D47">
        <w:t xml:space="preserve"> 8(</w:t>
      </w:r>
      <w:r w:rsidR="00D35931">
        <w:t>2</w:t>
      </w:r>
      <w:r w:rsidR="00FF1D47">
        <w:t xml:space="preserve">) </w:t>
      </w:r>
      <w:r w:rsidRPr="00187DE1">
        <w:t xml:space="preserve">applies only to material contribution to, or aggravation of, </w:t>
      </w:r>
      <w:r w:rsidR="00F925EB" w:rsidRPr="00F925EB">
        <w:t>exertional heat illness</w:t>
      </w:r>
      <w:r w:rsidR="007A3989">
        <w:t xml:space="preserve"> </w:t>
      </w:r>
      <w:r w:rsidRPr="00187DE1">
        <w:t>where the person</w:t>
      </w:r>
      <w:r w:rsidR="00693F5A">
        <w:t>'</w:t>
      </w:r>
      <w:r w:rsidRPr="00187DE1">
        <w:t xml:space="preserve">s </w:t>
      </w:r>
      <w:r w:rsidR="00F925EB" w:rsidRPr="00F925EB">
        <w:t>exertional heat illness</w:t>
      </w:r>
      <w:r w:rsidR="007A3989">
        <w:t xml:space="preserve"> </w:t>
      </w:r>
      <w:r w:rsidRPr="00187DE1">
        <w:t>was suffered or contracted before or during (but did not arise out of) the person</w:t>
      </w:r>
      <w:r w:rsidR="00693F5A">
        <w:t>'</w:t>
      </w:r>
      <w:r w:rsidRPr="00187DE1">
        <w:t xml:space="preserve">s relevant service. </w:t>
      </w:r>
    </w:p>
    <w:p w:rsidR="00774897" w:rsidRPr="00301C54" w:rsidRDefault="00774897" w:rsidP="00452B52">
      <w:pPr>
        <w:pStyle w:val="LV1"/>
      </w:pPr>
      <w:bookmarkStart w:id="30" w:name="_Toc89423901"/>
      <w:r w:rsidRPr="00301C54">
        <w:t>Factors referring to an injury or disea</w:t>
      </w:r>
      <w:r w:rsidR="008B2204">
        <w:t>se covered by another Statement</w:t>
      </w:r>
      <w:r w:rsidRPr="00301C54">
        <w:t xml:space="preserve"> of Principles</w:t>
      </w:r>
      <w:bookmarkEnd w:id="30"/>
    </w:p>
    <w:p w:rsidR="00F03C06" w:rsidRPr="00E64EE4" w:rsidRDefault="00F03C06" w:rsidP="0061476C">
      <w:pPr>
        <w:pStyle w:val="PlainIndent"/>
      </w:pPr>
      <w:r w:rsidRPr="00E64EE4">
        <w:t>In this Statement of Principles:</w:t>
      </w:r>
    </w:p>
    <w:p w:rsidR="00F03C06" w:rsidRPr="00E64EE4" w:rsidRDefault="00F03C06" w:rsidP="0061476C">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61476C">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61476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61476C">
      <w:pPr>
        <w:pStyle w:val="PlainIndent"/>
      </w:pPr>
    </w:p>
    <w:p w:rsidR="00081B7C" w:rsidRPr="00FA33FB" w:rsidRDefault="00081B7C" w:rsidP="0061476C">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61476C">
      <w:pPr>
        <w:pStyle w:val="PlainIndent"/>
      </w:pPr>
    </w:p>
    <w:p w:rsidR="00CF2367" w:rsidRPr="00FA33FB" w:rsidRDefault="00CF2367" w:rsidP="002A3436">
      <w:pPr>
        <w:pStyle w:val="SHHeader"/>
      </w:pPr>
      <w:bookmarkStart w:id="31" w:name="opcAmSched"/>
      <w:bookmarkStart w:id="32" w:name="opcCurrentFind"/>
      <w:bookmarkStart w:id="33" w:name="_Toc89423902"/>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4" w:name="_Toc405472918"/>
      <w:bookmarkStart w:id="35" w:name="_Toc89423903"/>
      <w:r w:rsidRPr="00D97BB3">
        <w:t>Definitions</w:t>
      </w:r>
      <w:bookmarkEnd w:id="34"/>
      <w:bookmarkEnd w:id="35"/>
    </w:p>
    <w:p w:rsidR="00702C42" w:rsidRPr="00516768" w:rsidRDefault="00702C42" w:rsidP="0061476C">
      <w:pPr>
        <w:pStyle w:val="SH2"/>
      </w:pPr>
      <w:r w:rsidRPr="00516768">
        <w:t>In this instrument:</w:t>
      </w:r>
    </w:p>
    <w:p w:rsidR="00D35931" w:rsidRPr="00513D05" w:rsidRDefault="00F925EB" w:rsidP="00D35931">
      <w:pPr>
        <w:pStyle w:val="SH3"/>
        <w:ind w:left="851" w:hanging="851"/>
      </w:pPr>
      <w:bookmarkStart w:id="36" w:name="_Ref402530810"/>
      <w:proofErr w:type="gramStart"/>
      <w:r w:rsidRPr="00F925EB">
        <w:rPr>
          <w:b/>
          <w:i/>
        </w:rPr>
        <w:t>exertional</w:t>
      </w:r>
      <w:proofErr w:type="gramEnd"/>
      <w:r w:rsidRPr="00F925EB">
        <w:rPr>
          <w:b/>
          <w:i/>
        </w:rPr>
        <w:t xml:space="preserve"> heat illness</w:t>
      </w:r>
      <w:r w:rsidR="00D35931" w:rsidRPr="00513D05">
        <w:t>—see subsection</w:t>
      </w:r>
      <w:r w:rsidR="00D35931">
        <w:t xml:space="preserve"> 6(2).</w:t>
      </w:r>
    </w:p>
    <w:p w:rsidR="00D35931" w:rsidRDefault="00D35931" w:rsidP="00D35931">
      <w:pPr>
        <w:pStyle w:val="SH3"/>
        <w:ind w:left="851"/>
      </w:pPr>
      <w:proofErr w:type="gramStart"/>
      <w:r w:rsidRPr="00BA7244">
        <w:rPr>
          <w:b/>
          <w:i/>
        </w:rPr>
        <w:t>heat</w:t>
      </w:r>
      <w:proofErr w:type="gramEnd"/>
      <w:r w:rsidRPr="00BA7244">
        <w:rPr>
          <w:b/>
          <w:i/>
        </w:rPr>
        <w:t xml:space="preserve"> exhaustion</w:t>
      </w:r>
      <w:r>
        <w:t xml:space="preserve"> </w:t>
      </w:r>
      <w:r w:rsidR="00587555" w:rsidRPr="00587555">
        <w:t>means tiredness or weakness due to an inability to maintain adequate cardiac output in a situation of strenuous physical activity in a hot environment.</w:t>
      </w:r>
    </w:p>
    <w:p w:rsidR="00D35931" w:rsidRDefault="00D35931" w:rsidP="00FD0094">
      <w:pPr>
        <w:pStyle w:val="ScheduleNote"/>
        <w:ind w:left="1305" w:hanging="454"/>
      </w:pPr>
      <w:r>
        <w:t xml:space="preserve">Note: </w:t>
      </w:r>
      <w:r w:rsidR="00587555" w:rsidRPr="00587555">
        <w:t>Typical symptoms and signs of heat exhaustion include an inability to continue activities, core body temperature elevation around 38.3 to 40.0°C, and mild neurologic and gastrointestinal symptoms</w:t>
      </w:r>
      <w:r>
        <w:t>.</w:t>
      </w:r>
    </w:p>
    <w:p w:rsidR="00D35931" w:rsidRDefault="00D35931" w:rsidP="00587555">
      <w:pPr>
        <w:pStyle w:val="SH3"/>
        <w:ind w:left="851"/>
      </w:pPr>
      <w:proofErr w:type="gramStart"/>
      <w:r w:rsidRPr="00BA7244">
        <w:rPr>
          <w:b/>
          <w:i/>
        </w:rPr>
        <w:t>heat</w:t>
      </w:r>
      <w:proofErr w:type="gramEnd"/>
      <w:r w:rsidRPr="00BA7244">
        <w:rPr>
          <w:b/>
          <w:i/>
        </w:rPr>
        <w:t xml:space="preserve"> injury</w:t>
      </w:r>
      <w:r>
        <w:t xml:space="preserve"> </w:t>
      </w:r>
      <w:r w:rsidR="00587555" w:rsidRPr="00587555">
        <w:t>means a multisystem, life-threatening illness characterised by end organ damage and a core body temperature that is usually above 40°C, but without any significant neurological manifestations.</w:t>
      </w:r>
      <w:r>
        <w:t xml:space="preserve"> </w:t>
      </w:r>
    </w:p>
    <w:p w:rsidR="00D35931" w:rsidRDefault="00D35931" w:rsidP="00FD0094">
      <w:pPr>
        <w:pStyle w:val="ScheduleNote"/>
        <w:ind w:left="1305" w:hanging="454"/>
      </w:pPr>
      <w:r>
        <w:t xml:space="preserve">Note: </w:t>
      </w:r>
      <w:r w:rsidR="00587555" w:rsidRPr="00587555">
        <w:t>Typical clinical and laboratory signs of heat injury include metabolic acidosis, rhabdomyolysis, acute kidney injury and liver failure</w:t>
      </w:r>
      <w:r>
        <w:t>.</w:t>
      </w:r>
    </w:p>
    <w:p w:rsidR="00D35931" w:rsidRDefault="00D35931" w:rsidP="00D35931">
      <w:pPr>
        <w:pStyle w:val="SH3"/>
        <w:ind w:left="851"/>
      </w:pPr>
      <w:proofErr w:type="gramStart"/>
      <w:r w:rsidRPr="006F3603">
        <w:rPr>
          <w:b/>
          <w:i/>
        </w:rPr>
        <w:t>heat</w:t>
      </w:r>
      <w:proofErr w:type="gramEnd"/>
      <w:r w:rsidRPr="006F3603">
        <w:rPr>
          <w:b/>
          <w:i/>
        </w:rPr>
        <w:t xml:space="preserve"> stroke</w:t>
      </w:r>
      <w:r>
        <w:t xml:space="preserve"> </w:t>
      </w:r>
      <w:r w:rsidR="00587555" w:rsidRPr="00587555">
        <w:t>means a multisystem, life-threatening illness characterised by central nervous system dysfunction and a core body temperature that is usually above 40°C</w:t>
      </w:r>
      <w:r>
        <w:t>.</w:t>
      </w:r>
    </w:p>
    <w:p w:rsidR="00D35931" w:rsidRDefault="00D35931" w:rsidP="00FD0094">
      <w:pPr>
        <w:pStyle w:val="ScheduleNote"/>
        <w:ind w:left="1305" w:hanging="454"/>
      </w:pPr>
      <w:r>
        <w:t xml:space="preserve">Note: </w:t>
      </w:r>
      <w:r w:rsidR="00587555" w:rsidRPr="00587555">
        <w:t xml:space="preserve">Typical symptoms and signs of heat stroke include disorientation, headache, irritability, emotional instability, confusion, altered </w:t>
      </w:r>
      <w:r w:rsidR="00587555">
        <w:t>consciousness, coma and seizure</w:t>
      </w:r>
      <w:r>
        <w:t>.</w:t>
      </w:r>
    </w:p>
    <w:p w:rsidR="00D35931" w:rsidRPr="00BA7244" w:rsidRDefault="00D35931" w:rsidP="00D35931">
      <w:pPr>
        <w:pStyle w:val="SH3"/>
        <w:ind w:left="851"/>
      </w:pPr>
      <w:proofErr w:type="gramStart"/>
      <w:r w:rsidRPr="006F3603">
        <w:rPr>
          <w:b/>
          <w:i/>
        </w:rPr>
        <w:t>heat</w:t>
      </w:r>
      <w:proofErr w:type="gramEnd"/>
      <w:r w:rsidRPr="006F3603">
        <w:rPr>
          <w:b/>
          <w:i/>
        </w:rPr>
        <w:t xml:space="preserve"> syncope</w:t>
      </w:r>
      <w:r>
        <w:t xml:space="preserve"> </w:t>
      </w:r>
      <w:r w:rsidR="00587555" w:rsidRPr="00587555">
        <w:t>means fainting after prolonged exposure to heat or exertion in a hot environment, where fainting is not better accounted for by cardiovascular, neurologic, metabolic or other causes</w:t>
      </w:r>
      <w:r>
        <w:t>.</w:t>
      </w:r>
    </w:p>
    <w:p w:rsidR="00D35931" w:rsidRPr="006F3603" w:rsidRDefault="00D35931" w:rsidP="00FD0094">
      <w:pPr>
        <w:pStyle w:val="SH3"/>
        <w:ind w:left="851" w:hanging="851"/>
      </w:pPr>
      <w:r w:rsidRPr="006F3603">
        <w:rPr>
          <w:b/>
          <w:i/>
        </w:rPr>
        <w:t>MET</w:t>
      </w:r>
      <w:r w:rsidRPr="006F3603">
        <w:t xml:space="preserve"> means a unit of measurement of the level of physical exertion.  1 MET = 3.5 ml of oxygen/kg of body weight per minute, or 1.0 kcal/kg of body weight per hour, or resting metabolic rate.</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Default="00C77046" w:rsidP="00984EE9">
      <w:pPr>
        <w:pStyle w:val="SH4"/>
        <w:ind w:left="1418"/>
      </w:pPr>
      <w:proofErr w:type="gramStart"/>
      <w:r>
        <w:t>peacetime</w:t>
      </w:r>
      <w:proofErr w:type="gramEnd"/>
      <w:r>
        <w:t xml:space="preserve"> service under the MRCA.</w:t>
      </w:r>
    </w:p>
    <w:p w:rsidR="00970E5E" w:rsidRPr="00513D05" w:rsidRDefault="00970E5E" w:rsidP="00C71759">
      <w:pPr>
        <w:pStyle w:val="ScheduleNote"/>
      </w:pPr>
      <w:r>
        <w:t xml:space="preserve">Note: </w:t>
      </w:r>
      <w:r>
        <w:rPr>
          <w:b/>
          <w:i/>
        </w:rPr>
        <w:t>MRCA</w:t>
      </w:r>
      <w:r w:rsidRPr="00DE72B1">
        <w:t xml:space="preserve"> </w:t>
      </w:r>
      <w:r w:rsidRPr="00D3768C">
        <w:t>and</w:t>
      </w:r>
      <w:r w:rsidRPr="00DE72B1">
        <w:t xml:space="preserve"> </w:t>
      </w:r>
      <w:r>
        <w:rPr>
          <w:b/>
          <w:i/>
        </w:rPr>
        <w:t>VEA</w:t>
      </w:r>
      <w:r>
        <w:t xml:space="preserve"> are also</w:t>
      </w:r>
      <w:r w:rsidRPr="00046E67">
        <w:t xml:space="preserve"> defined in the </w:t>
      </w:r>
      <w:r>
        <w:t xml:space="preserve">Schedule 1 - </w:t>
      </w:r>
      <w:r w:rsidRPr="00046E67">
        <w:t>Dictionary.</w:t>
      </w:r>
      <w:r w:rsidRPr="00046E67">
        <w:tab/>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528A9" w:rsidRDefault="00885EAB" w:rsidP="00984EE9">
      <w:pPr>
        <w:pStyle w:val="SH4"/>
        <w:ind w:left="1418"/>
      </w:pPr>
      <w:r w:rsidRPr="00513D05">
        <w:tab/>
      </w:r>
      <w:proofErr w:type="gramStart"/>
      <w:r w:rsidRPr="00513D05">
        <w:t>cessation</w:t>
      </w:r>
      <w:proofErr w:type="gramEnd"/>
      <w:r w:rsidRPr="00513D05">
        <w:t xml:space="preserve"> of brain function.</w:t>
      </w:r>
      <w:r w:rsidR="00B528A9">
        <w:br w:type="page"/>
      </w:r>
    </w:p>
    <w:p w:rsidR="00BD3334" w:rsidRPr="00BD3334" w:rsidRDefault="00BD3334" w:rsidP="00B528A9">
      <w:pPr>
        <w:pStyle w:val="SH4"/>
        <w:numPr>
          <w:ilvl w:val="0"/>
          <w:numId w:val="0"/>
        </w:numPr>
        <w:ind w:left="1418"/>
      </w:pPr>
    </w:p>
    <w:p w:rsidR="00CF2367" w:rsidRPr="00FA33FB" w:rsidRDefault="00885EAB" w:rsidP="00CF2367">
      <w:pPr>
        <w:pStyle w:val="SH3"/>
        <w:sectPr w:rsidR="00CF2367" w:rsidRPr="00FA33FB" w:rsidSect="00FA33FB">
          <w:headerReference w:type="even" r:id="rId11"/>
          <w:headerReference w:type="default" r:id="rId12"/>
          <w:footerReference w:type="default" r:id="rId13"/>
          <w:headerReference w:type="first" r:id="rId14"/>
          <w:footerReference w:type="first" r:id="rId15"/>
          <w:pgSz w:w="11907" w:h="16839" w:code="9"/>
          <w:pgMar w:top="1440" w:right="1797" w:bottom="1440" w:left="1797" w:header="720" w:footer="709" w:gutter="0"/>
          <w:cols w:space="720"/>
          <w:docGrid w:linePitch="299"/>
        </w:sectPr>
      </w:pPr>
      <w:r w:rsidRPr="000E4D0D">
        <w:rPr>
          <w:rStyle w:val="SH3Char"/>
          <w:b/>
          <w:i/>
        </w:rPr>
        <w:t>VEA</w:t>
      </w:r>
      <w:r w:rsidRPr="000E4D0D">
        <w:rPr>
          <w:rStyle w:val="SH3Char"/>
        </w:rPr>
        <w:t xml:space="preserve"> means</w:t>
      </w:r>
      <w:r w:rsidRPr="0019084F">
        <w:t xml:space="preserve"> the </w:t>
      </w:r>
      <w:r w:rsidRPr="000E4D0D">
        <w:rPr>
          <w:i/>
        </w:rPr>
        <w:t>Veterans</w:t>
      </w:r>
      <w:r w:rsidR="00D64E0A" w:rsidRPr="000E4D0D">
        <w:rPr>
          <w:i/>
        </w:rPr>
        <w:t>'</w:t>
      </w:r>
      <w:r w:rsidRPr="000E4D0D">
        <w:rPr>
          <w:i/>
        </w:rPr>
        <w:t xml:space="preserve"> Entitlements Act 1986</w:t>
      </w:r>
      <w:r w:rsidRPr="0019084F">
        <w:t>.</w:t>
      </w:r>
    </w:p>
    <w:p w:rsidR="00804F23" w:rsidRDefault="00804F23" w:rsidP="003F4535">
      <w:pPr>
        <w:rPr>
          <w:b/>
          <w:i/>
        </w:rPr>
      </w:pPr>
    </w:p>
    <w:sectPr w:rsidR="00804F23"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F925EB" w:rsidP="00035BD7">
          <w:pPr>
            <w:spacing w:line="0" w:lineRule="atLeast"/>
            <w:jc w:val="center"/>
            <w:rPr>
              <w:i/>
              <w:sz w:val="18"/>
              <w:szCs w:val="18"/>
            </w:rPr>
          </w:pPr>
          <w:r w:rsidRPr="00F925EB">
            <w:rPr>
              <w:i/>
              <w:sz w:val="18"/>
              <w:szCs w:val="18"/>
            </w:rPr>
            <w:t>Exertional Heat Illness</w:t>
          </w:r>
          <w:r w:rsidR="00035BD7">
            <w:rPr>
              <w:i/>
              <w:sz w:val="18"/>
              <w:szCs w:val="18"/>
            </w:rPr>
            <w:t xml:space="preserve"> (Balance of Probabilities) </w:t>
          </w:r>
          <w:r w:rsidR="00035BD7" w:rsidRPr="007C5CE0">
            <w:rPr>
              <w:i/>
              <w:sz w:val="18"/>
            </w:rPr>
            <w:t xml:space="preserve">(No. </w:t>
          </w:r>
          <w:r w:rsidRPr="00F925EB">
            <w:rPr>
              <w:i/>
              <w:sz w:val="18"/>
              <w:szCs w:val="18"/>
            </w:rPr>
            <w:t>32</w:t>
          </w:r>
          <w:r w:rsidR="00035BD7" w:rsidRPr="007C5CE0">
            <w:rPr>
              <w:i/>
              <w:sz w:val="18"/>
              <w:szCs w:val="18"/>
            </w:rPr>
            <w:t xml:space="preserve"> of </w:t>
          </w:r>
          <w:r w:rsidRPr="00F925EB">
            <w:rPr>
              <w:i/>
              <w:sz w:val="18"/>
              <w:szCs w:val="18"/>
            </w:rPr>
            <w:t>2022</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B7E07">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B7E07">
            <w:rPr>
              <w:i/>
              <w:noProof/>
              <w:sz w:val="18"/>
            </w:rPr>
            <w:t>7</w:t>
          </w:r>
          <w:r>
            <w:rPr>
              <w:i/>
              <w:sz w:val="18"/>
            </w:rPr>
            <w:fldChar w:fldCharType="end"/>
          </w:r>
        </w:p>
      </w:tc>
    </w:tr>
  </w:tbl>
  <w:p w:rsidR="00F03C06" w:rsidRPr="00035BD7" w:rsidRDefault="00F03C06" w:rsidP="0003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7" w:rsidRPr="00E33C1C" w:rsidRDefault="00035BD7"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035BD7" w:rsidRPr="00C01863" w:rsidTr="00CC061E">
      <w:tc>
        <w:tcPr>
          <w:tcW w:w="709" w:type="dxa"/>
          <w:tcBorders>
            <w:top w:val="nil"/>
            <w:left w:val="nil"/>
            <w:bottom w:val="nil"/>
            <w:right w:val="nil"/>
          </w:tcBorders>
          <w:shd w:val="clear" w:color="auto" w:fill="auto"/>
        </w:tcPr>
        <w:p w:rsidR="00035BD7" w:rsidRPr="00C01863" w:rsidRDefault="00035BD7" w:rsidP="00035BD7">
          <w:pPr>
            <w:spacing w:line="0" w:lineRule="atLeast"/>
            <w:rPr>
              <w:sz w:val="18"/>
            </w:rPr>
          </w:pPr>
        </w:p>
      </w:tc>
      <w:tc>
        <w:tcPr>
          <w:tcW w:w="7088" w:type="dxa"/>
          <w:tcBorders>
            <w:top w:val="nil"/>
            <w:left w:val="nil"/>
            <w:bottom w:val="nil"/>
            <w:right w:val="nil"/>
          </w:tcBorders>
          <w:shd w:val="clear" w:color="auto" w:fill="auto"/>
        </w:tcPr>
        <w:p w:rsidR="00035BD7" w:rsidRDefault="00035BD7" w:rsidP="00035BD7">
          <w:pPr>
            <w:spacing w:line="0" w:lineRule="atLeast"/>
            <w:jc w:val="center"/>
            <w:rPr>
              <w:i/>
              <w:sz w:val="18"/>
            </w:rPr>
          </w:pPr>
          <w:r w:rsidRPr="007C5CE0">
            <w:rPr>
              <w:i/>
              <w:sz w:val="18"/>
            </w:rPr>
            <w:t>Statement of Principles concerning</w:t>
          </w:r>
        </w:p>
        <w:p w:rsidR="00035BD7" w:rsidRDefault="00F925EB" w:rsidP="00035BD7">
          <w:pPr>
            <w:spacing w:line="0" w:lineRule="atLeast"/>
            <w:jc w:val="center"/>
            <w:rPr>
              <w:i/>
              <w:sz w:val="18"/>
              <w:szCs w:val="18"/>
            </w:rPr>
          </w:pPr>
          <w:r w:rsidRPr="00F925EB">
            <w:rPr>
              <w:i/>
              <w:sz w:val="18"/>
              <w:szCs w:val="18"/>
            </w:rPr>
            <w:t>Exertional Heat Illness</w:t>
          </w:r>
          <w:r w:rsidR="00035BD7">
            <w:rPr>
              <w:i/>
              <w:sz w:val="18"/>
              <w:szCs w:val="18"/>
            </w:rPr>
            <w:t xml:space="preserve"> (Balance of Probabilities) </w:t>
          </w:r>
          <w:r w:rsidR="00035BD7" w:rsidRPr="007C5CE0">
            <w:rPr>
              <w:i/>
              <w:sz w:val="18"/>
            </w:rPr>
            <w:t xml:space="preserve">(No. </w:t>
          </w:r>
          <w:r w:rsidRPr="00F925EB">
            <w:rPr>
              <w:i/>
              <w:sz w:val="18"/>
              <w:szCs w:val="18"/>
            </w:rPr>
            <w:t>32</w:t>
          </w:r>
          <w:r w:rsidR="00035BD7" w:rsidRPr="007C5CE0">
            <w:rPr>
              <w:i/>
              <w:sz w:val="18"/>
              <w:szCs w:val="18"/>
            </w:rPr>
            <w:t xml:space="preserve"> of </w:t>
          </w:r>
          <w:r w:rsidRPr="00F925EB">
            <w:rPr>
              <w:i/>
              <w:sz w:val="18"/>
              <w:szCs w:val="18"/>
            </w:rPr>
            <w:t>2022</w:t>
          </w:r>
          <w:r w:rsidR="00035BD7" w:rsidRPr="007C5CE0">
            <w:rPr>
              <w:i/>
              <w:sz w:val="18"/>
              <w:szCs w:val="18"/>
            </w:rPr>
            <w:t>)</w:t>
          </w:r>
        </w:p>
        <w:p w:rsidR="00035BD7" w:rsidRPr="007C5CE0" w:rsidRDefault="00035BD7"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035BD7" w:rsidRPr="00C01863" w:rsidRDefault="00035BD7"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B7E07">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B7E07">
            <w:rPr>
              <w:i/>
              <w:noProof/>
              <w:sz w:val="18"/>
            </w:rPr>
            <w:t>7</w:t>
          </w:r>
          <w:r>
            <w:rPr>
              <w:i/>
              <w:sz w:val="18"/>
            </w:rPr>
            <w:fldChar w:fldCharType="end"/>
          </w:r>
        </w:p>
      </w:tc>
    </w:tr>
  </w:tbl>
  <w:p w:rsidR="00035BD7" w:rsidRDefault="00035BD7" w:rsidP="0003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F23" w:rsidRPr="00E33C1C" w:rsidRDefault="00804F23" w:rsidP="00035BD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804F23" w:rsidRPr="00C01863" w:rsidTr="00CC061E">
      <w:tc>
        <w:tcPr>
          <w:tcW w:w="709" w:type="dxa"/>
          <w:tcBorders>
            <w:top w:val="nil"/>
            <w:left w:val="nil"/>
            <w:bottom w:val="nil"/>
            <w:right w:val="nil"/>
          </w:tcBorders>
          <w:shd w:val="clear" w:color="auto" w:fill="auto"/>
        </w:tcPr>
        <w:p w:rsidR="00804F23" w:rsidRPr="00C01863" w:rsidRDefault="00804F23" w:rsidP="00035BD7">
          <w:pPr>
            <w:spacing w:line="0" w:lineRule="atLeast"/>
            <w:rPr>
              <w:sz w:val="18"/>
            </w:rPr>
          </w:pPr>
        </w:p>
      </w:tc>
      <w:tc>
        <w:tcPr>
          <w:tcW w:w="7088" w:type="dxa"/>
          <w:tcBorders>
            <w:top w:val="nil"/>
            <w:left w:val="nil"/>
            <w:bottom w:val="nil"/>
            <w:right w:val="nil"/>
          </w:tcBorders>
          <w:shd w:val="clear" w:color="auto" w:fill="auto"/>
        </w:tcPr>
        <w:p w:rsidR="00804F23" w:rsidRDefault="00804F23" w:rsidP="00035BD7">
          <w:pPr>
            <w:spacing w:line="0" w:lineRule="atLeast"/>
            <w:jc w:val="center"/>
            <w:rPr>
              <w:i/>
              <w:sz w:val="18"/>
            </w:rPr>
          </w:pPr>
          <w:r w:rsidRPr="007C5CE0">
            <w:rPr>
              <w:i/>
              <w:sz w:val="18"/>
            </w:rPr>
            <w:t>Statement of Principles concerning</w:t>
          </w:r>
        </w:p>
        <w:p w:rsidR="00804F23" w:rsidRDefault="00F925EB" w:rsidP="00035BD7">
          <w:pPr>
            <w:spacing w:line="0" w:lineRule="atLeast"/>
            <w:jc w:val="center"/>
            <w:rPr>
              <w:i/>
              <w:sz w:val="18"/>
              <w:szCs w:val="18"/>
            </w:rPr>
          </w:pPr>
          <w:r w:rsidRPr="00F925EB">
            <w:rPr>
              <w:i/>
              <w:sz w:val="18"/>
              <w:szCs w:val="18"/>
            </w:rPr>
            <w:t>Exertional Heat Illness</w:t>
          </w:r>
          <w:r w:rsidR="00804F23">
            <w:rPr>
              <w:i/>
              <w:sz w:val="18"/>
              <w:szCs w:val="18"/>
            </w:rPr>
            <w:t xml:space="preserve"> (Balance of Probabilities) </w:t>
          </w:r>
          <w:r w:rsidR="00804F23" w:rsidRPr="007C5CE0">
            <w:rPr>
              <w:i/>
              <w:sz w:val="18"/>
            </w:rPr>
            <w:t xml:space="preserve">(No. </w:t>
          </w:r>
          <w:r w:rsidRPr="00F925EB">
            <w:rPr>
              <w:i/>
              <w:sz w:val="18"/>
              <w:szCs w:val="18"/>
            </w:rPr>
            <w:t>32</w:t>
          </w:r>
          <w:r w:rsidR="00804F23" w:rsidRPr="007C5CE0">
            <w:rPr>
              <w:i/>
              <w:sz w:val="18"/>
              <w:szCs w:val="18"/>
            </w:rPr>
            <w:t xml:space="preserve"> of </w:t>
          </w:r>
          <w:r w:rsidRPr="00F925EB">
            <w:rPr>
              <w:i/>
              <w:sz w:val="18"/>
              <w:szCs w:val="18"/>
            </w:rPr>
            <w:t>2022</w:t>
          </w:r>
          <w:r w:rsidR="00804F23" w:rsidRPr="007C5CE0">
            <w:rPr>
              <w:i/>
              <w:sz w:val="18"/>
              <w:szCs w:val="18"/>
            </w:rPr>
            <w:t>)</w:t>
          </w:r>
        </w:p>
        <w:p w:rsidR="00804F23" w:rsidRPr="007C5CE0" w:rsidRDefault="00804F23" w:rsidP="00035BD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804F23" w:rsidRPr="00C01863" w:rsidRDefault="00804F23" w:rsidP="00035BD7">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B7E07">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B7E07">
            <w:rPr>
              <w:i/>
              <w:noProof/>
              <w:sz w:val="18"/>
            </w:rPr>
            <w:t>7</w:t>
          </w:r>
          <w:r>
            <w:rPr>
              <w:i/>
              <w:sz w:val="18"/>
            </w:rPr>
            <w:fldChar w:fldCharType="end"/>
          </w:r>
        </w:p>
      </w:tc>
    </w:tr>
  </w:tbl>
  <w:p w:rsidR="00804F23" w:rsidRPr="00035BD7" w:rsidRDefault="00804F23" w:rsidP="00035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D7" w:rsidRPr="00C47DCC" w:rsidRDefault="00035BD7" w:rsidP="00C47DCC">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DC" w:rsidRDefault="007D20DC" w:rsidP="007D20DC">
    <w:pPr>
      <w:rPr>
        <w:sz w:val="20"/>
      </w:rPr>
    </w:pPr>
    <w:r>
      <w:rPr>
        <w:b/>
        <w:noProof/>
        <w:sz w:val="20"/>
      </w:rPr>
      <w:t>Schedule 1</w:t>
    </w:r>
    <w:r>
      <w:rPr>
        <w:sz w:val="20"/>
      </w:rPr>
      <w:t xml:space="preserve"> - </w:t>
    </w:r>
    <w:r>
      <w:rPr>
        <w:noProof/>
        <w:sz w:val="20"/>
      </w:rPr>
      <w:t>Dictionary</w:t>
    </w:r>
  </w:p>
  <w:p w:rsidR="007D20DC" w:rsidRDefault="007D20DC" w:rsidP="007D20DC">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035BD7" w:rsidRDefault="00885EAB" w:rsidP="00035B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DB54D10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5BD7"/>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E4D0D"/>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51E6"/>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5AAF"/>
    <w:rsid w:val="002773D7"/>
    <w:rsid w:val="00281308"/>
    <w:rsid w:val="00281DF7"/>
    <w:rsid w:val="00284719"/>
    <w:rsid w:val="00297ECB"/>
    <w:rsid w:val="002A1ECC"/>
    <w:rsid w:val="002A3436"/>
    <w:rsid w:val="002A7BCF"/>
    <w:rsid w:val="002B45FA"/>
    <w:rsid w:val="002B5188"/>
    <w:rsid w:val="002B585F"/>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6690"/>
    <w:rsid w:val="00360459"/>
    <w:rsid w:val="00365E25"/>
    <w:rsid w:val="003734C6"/>
    <w:rsid w:val="003771F2"/>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2B52"/>
    <w:rsid w:val="00456CE5"/>
    <w:rsid w:val="00467661"/>
    <w:rsid w:val="004705B7"/>
    <w:rsid w:val="00472DBE"/>
    <w:rsid w:val="00474A19"/>
    <w:rsid w:val="004834A1"/>
    <w:rsid w:val="004840A6"/>
    <w:rsid w:val="0048486E"/>
    <w:rsid w:val="004916B9"/>
    <w:rsid w:val="00496F97"/>
    <w:rsid w:val="004A4764"/>
    <w:rsid w:val="004A5E4B"/>
    <w:rsid w:val="004C2F25"/>
    <w:rsid w:val="004C6AE8"/>
    <w:rsid w:val="004C6D55"/>
    <w:rsid w:val="004D10CF"/>
    <w:rsid w:val="004D4BCA"/>
    <w:rsid w:val="004E063A"/>
    <w:rsid w:val="004E7BEC"/>
    <w:rsid w:val="004F23E0"/>
    <w:rsid w:val="00505D3D"/>
    <w:rsid w:val="00505F6E"/>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87555"/>
    <w:rsid w:val="00593AA6"/>
    <w:rsid w:val="00594161"/>
    <w:rsid w:val="00594749"/>
    <w:rsid w:val="005B05D3"/>
    <w:rsid w:val="005B0883"/>
    <w:rsid w:val="005B4067"/>
    <w:rsid w:val="005B7E07"/>
    <w:rsid w:val="005C3F41"/>
    <w:rsid w:val="005D2D09"/>
    <w:rsid w:val="005D6DCF"/>
    <w:rsid w:val="005E1DF6"/>
    <w:rsid w:val="005E7FC2"/>
    <w:rsid w:val="00600219"/>
    <w:rsid w:val="006013B7"/>
    <w:rsid w:val="00603D01"/>
    <w:rsid w:val="00603DC4"/>
    <w:rsid w:val="0061476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3F5A"/>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27B4E"/>
    <w:rsid w:val="00731E00"/>
    <w:rsid w:val="00733269"/>
    <w:rsid w:val="00741718"/>
    <w:rsid w:val="00741BDE"/>
    <w:rsid w:val="007440B7"/>
    <w:rsid w:val="007500C8"/>
    <w:rsid w:val="007527C1"/>
    <w:rsid w:val="007534B2"/>
    <w:rsid w:val="00756272"/>
    <w:rsid w:val="00757544"/>
    <w:rsid w:val="007600D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353"/>
    <w:rsid w:val="007C5CE0"/>
    <w:rsid w:val="007C7DEE"/>
    <w:rsid w:val="007D20DC"/>
    <w:rsid w:val="007D3BA2"/>
    <w:rsid w:val="007E163D"/>
    <w:rsid w:val="007E667A"/>
    <w:rsid w:val="007F2378"/>
    <w:rsid w:val="007F28C9"/>
    <w:rsid w:val="00803587"/>
    <w:rsid w:val="00804F23"/>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69C7"/>
    <w:rsid w:val="00947D5A"/>
    <w:rsid w:val="009532A5"/>
    <w:rsid w:val="00956922"/>
    <w:rsid w:val="009612CF"/>
    <w:rsid w:val="00965B1F"/>
    <w:rsid w:val="00970E5E"/>
    <w:rsid w:val="009724F4"/>
    <w:rsid w:val="00973808"/>
    <w:rsid w:val="00982242"/>
    <w:rsid w:val="00984EE9"/>
    <w:rsid w:val="00985EC2"/>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739D8"/>
    <w:rsid w:val="00A931D7"/>
    <w:rsid w:val="00AA64D6"/>
    <w:rsid w:val="00AA6D8B"/>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40B23"/>
    <w:rsid w:val="00B50826"/>
    <w:rsid w:val="00B50ADC"/>
    <w:rsid w:val="00B527C0"/>
    <w:rsid w:val="00B528A9"/>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1DDE"/>
    <w:rsid w:val="00BE2155"/>
    <w:rsid w:val="00BE2213"/>
    <w:rsid w:val="00BE719A"/>
    <w:rsid w:val="00BE720A"/>
    <w:rsid w:val="00BF0D73"/>
    <w:rsid w:val="00BF2465"/>
    <w:rsid w:val="00BF43B4"/>
    <w:rsid w:val="00BF525F"/>
    <w:rsid w:val="00C01863"/>
    <w:rsid w:val="00C05469"/>
    <w:rsid w:val="00C11D03"/>
    <w:rsid w:val="00C15950"/>
    <w:rsid w:val="00C25E7F"/>
    <w:rsid w:val="00C2746F"/>
    <w:rsid w:val="00C324A0"/>
    <w:rsid w:val="00C3300F"/>
    <w:rsid w:val="00C349C5"/>
    <w:rsid w:val="00C42BF8"/>
    <w:rsid w:val="00C47DCC"/>
    <w:rsid w:val="00C50043"/>
    <w:rsid w:val="00C571E9"/>
    <w:rsid w:val="00C5731E"/>
    <w:rsid w:val="00C71759"/>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2C14"/>
    <w:rsid w:val="00CF3EE8"/>
    <w:rsid w:val="00D050E6"/>
    <w:rsid w:val="00D13441"/>
    <w:rsid w:val="00D150E7"/>
    <w:rsid w:val="00D32F65"/>
    <w:rsid w:val="00D32F71"/>
    <w:rsid w:val="00D35931"/>
    <w:rsid w:val="00D3768C"/>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72B1"/>
    <w:rsid w:val="00DF24DC"/>
    <w:rsid w:val="00DF5291"/>
    <w:rsid w:val="00DF6D11"/>
    <w:rsid w:val="00E05704"/>
    <w:rsid w:val="00E11E44"/>
    <w:rsid w:val="00E3270E"/>
    <w:rsid w:val="00E338EF"/>
    <w:rsid w:val="00E35C4E"/>
    <w:rsid w:val="00E50B14"/>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75B5F"/>
    <w:rsid w:val="00F83264"/>
    <w:rsid w:val="00F83989"/>
    <w:rsid w:val="00F83D85"/>
    <w:rsid w:val="00F85099"/>
    <w:rsid w:val="00F925EB"/>
    <w:rsid w:val="00F9379C"/>
    <w:rsid w:val="00F956BA"/>
    <w:rsid w:val="00F9632C"/>
    <w:rsid w:val="00F97A62"/>
    <w:rsid w:val="00FA0587"/>
    <w:rsid w:val="00FA1E52"/>
    <w:rsid w:val="00FA33FB"/>
    <w:rsid w:val="00FB3EF0"/>
    <w:rsid w:val="00FB533A"/>
    <w:rsid w:val="00FD0094"/>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61476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link w:val="NOTEChar"/>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452B52"/>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61476C"/>
    <w:pPr>
      <w:numPr>
        <w:ilvl w:val="1"/>
        <w:numId w:val="19"/>
      </w:numPr>
      <w:ind w:left="1418"/>
    </w:pPr>
  </w:style>
  <w:style w:type="paragraph" w:customStyle="1" w:styleId="LV3">
    <w:name w:val="LV 3"/>
    <w:basedOn w:val="PlainIndent"/>
    <w:autoRedefine/>
    <w:qFormat/>
    <w:rsid w:val="007C5353"/>
    <w:pPr>
      <w:numPr>
        <w:ilvl w:val="2"/>
        <w:numId w:val="4"/>
      </w:numPr>
      <w:ind w:left="1985"/>
      <w:contextualSpacing/>
    </w:pPr>
  </w:style>
  <w:style w:type="paragraph" w:customStyle="1" w:styleId="LV4">
    <w:name w:val="LV 4"/>
    <w:basedOn w:val="PlainIndent"/>
    <w:autoRedefine/>
    <w:qFormat/>
    <w:rsid w:val="007C5353"/>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C15950"/>
    <w:pPr>
      <w:ind w:left="1985" w:firstLine="0"/>
    </w:pPr>
  </w:style>
  <w:style w:type="paragraph" w:customStyle="1" w:styleId="Note2">
    <w:name w:val="Note 2"/>
    <w:basedOn w:val="NOTE"/>
    <w:link w:val="Note2Char"/>
    <w:uiPriority w:val="2"/>
    <w:qFormat/>
    <w:rsid w:val="00C15950"/>
    <w:pPr>
      <w:ind w:hanging="510"/>
    </w:pPr>
  </w:style>
  <w:style w:type="character" w:customStyle="1" w:styleId="NOTEChar">
    <w:name w:val="NOTE Char"/>
    <w:basedOn w:val="DefaultParagraphFont"/>
    <w:link w:val="NOTE"/>
    <w:rsid w:val="00C15950"/>
    <w:rPr>
      <w:rFonts w:eastAsia="Times New Roman"/>
      <w:sz w:val="18"/>
    </w:rPr>
  </w:style>
  <w:style w:type="character" w:customStyle="1" w:styleId="Note1Char">
    <w:name w:val="Note 1 Char"/>
    <w:basedOn w:val="NOTEChar"/>
    <w:link w:val="Note1"/>
    <w:uiPriority w:val="2"/>
    <w:rsid w:val="00C15950"/>
    <w:rPr>
      <w:rFonts w:eastAsia="Times New Roman"/>
      <w:sz w:val="18"/>
    </w:rPr>
  </w:style>
  <w:style w:type="paragraph" w:customStyle="1" w:styleId="ScheduleNote">
    <w:name w:val="Schedule Note"/>
    <w:basedOn w:val="NOTE"/>
    <w:link w:val="ScheduleNoteChar"/>
    <w:uiPriority w:val="2"/>
    <w:qFormat/>
    <w:rsid w:val="00C15950"/>
    <w:pPr>
      <w:ind w:left="851" w:firstLine="0"/>
    </w:pPr>
  </w:style>
  <w:style w:type="character" w:customStyle="1" w:styleId="Note2Char">
    <w:name w:val="Note 2 Char"/>
    <w:basedOn w:val="NOTEChar"/>
    <w:link w:val="Note2"/>
    <w:uiPriority w:val="2"/>
    <w:rsid w:val="00C15950"/>
    <w:rPr>
      <w:rFonts w:eastAsia="Times New Roman"/>
      <w:sz w:val="18"/>
    </w:rPr>
  </w:style>
  <w:style w:type="paragraph" w:customStyle="1" w:styleId="Note3">
    <w:name w:val="Note 3"/>
    <w:basedOn w:val="NOTE"/>
    <w:link w:val="Note3Char"/>
    <w:uiPriority w:val="2"/>
    <w:qFormat/>
    <w:rsid w:val="00C15950"/>
    <w:pPr>
      <w:ind w:left="2977" w:hanging="425"/>
    </w:pPr>
  </w:style>
  <w:style w:type="character" w:customStyle="1" w:styleId="ScheduleNoteChar">
    <w:name w:val="Schedule Note Char"/>
    <w:basedOn w:val="NOTEChar"/>
    <w:link w:val="ScheduleNote"/>
    <w:uiPriority w:val="2"/>
    <w:rsid w:val="00C15950"/>
    <w:rPr>
      <w:rFonts w:eastAsia="Times New Roman"/>
      <w:sz w:val="18"/>
    </w:rPr>
  </w:style>
  <w:style w:type="character" w:customStyle="1" w:styleId="Note3Char">
    <w:name w:val="Note 3 Char"/>
    <w:basedOn w:val="NOTEChar"/>
    <w:link w:val="Note3"/>
    <w:uiPriority w:val="2"/>
    <w:rsid w:val="00C15950"/>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1292</Words>
  <Characters>7365</Characters>
  <Application>Microsoft Office Word</Application>
  <DocSecurity>0</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2021-12-03T01:36:00Z</dcterms:created>
  <dcterms:modified xsi:type="dcterms:W3CDTF">2022-02-28T03:00:00Z</dcterms:modified>
  <cp:category/>
  <cp:contentStatus/>
  <dc:language/>
  <cp:version/>
</cp:coreProperties>
</file>