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4F1F86" w:rsidP="006647B7">
      <w:pPr>
        <w:pStyle w:val="Plainheader"/>
      </w:pPr>
      <w:proofErr w:type="gramStart"/>
      <w:r w:rsidRPr="004F1F86">
        <w:t>VARICOC</w:t>
      </w:r>
      <w:r>
        <w:t>O</w:t>
      </w:r>
      <w:r w:rsidRPr="004F1F86">
        <w:t>ELE</w:t>
      </w:r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061D23">
        <w:t>79</w:t>
      </w:r>
      <w:bookmarkEnd w:id="0"/>
      <w:r w:rsidRPr="00024911">
        <w:t xml:space="preserve"> of</w:t>
      </w:r>
      <w:r w:rsidR="00085567">
        <w:t xml:space="preserve"> </w:t>
      </w:r>
      <w:r w:rsidR="003862B1">
        <w:t>2019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061D23">
        <w:rPr>
          <w:b w:val="0"/>
        </w:rPr>
        <w:t>23 August 2019</w:t>
      </w:r>
    </w:p>
    <w:p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D20B7" w:rsidRPr="00781DD2" w:rsidTr="0034373D">
        <w:tc>
          <w:tcPr>
            <w:tcW w:w="4116" w:type="dxa"/>
          </w:tcPr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The Common Seal of the</w:t>
            </w:r>
            <w:r w:rsidRPr="00781DD2">
              <w:rPr>
                <w:b w:val="0"/>
              </w:rPr>
              <w:br/>
              <w:t>Repatriation Medical Authority</w:t>
            </w:r>
            <w:r w:rsidRPr="00781DD2">
              <w:rPr>
                <w:b w:val="0"/>
              </w:rPr>
              <w:br/>
              <w:t>was affixed to this instrument</w:t>
            </w:r>
            <w:r w:rsidRPr="00781DD2">
              <w:rPr>
                <w:b w:val="0"/>
              </w:rPr>
              <w:br/>
              <w:t>at the direction of: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ED20B7" w:rsidRPr="00781DD2" w:rsidTr="0034373D">
        <w:tc>
          <w:tcPr>
            <w:tcW w:w="4116" w:type="dxa"/>
          </w:tcPr>
          <w:p w:rsidR="00ED20B7" w:rsidRPr="00781DD2" w:rsidRDefault="008A2F72" w:rsidP="00781DD2">
            <w:pPr>
              <w:pStyle w:val="Plain"/>
              <w:spacing w:before="0"/>
              <w:ind w:left="0"/>
              <w:rPr>
                <w:b w:val="0"/>
              </w:rPr>
            </w:pPr>
            <w:bookmarkStart w:id="1" w:name="_GoBack"/>
            <w:bookmarkEnd w:id="1"/>
            <w:r w:rsidRPr="003D2444">
              <w:rPr>
                <w:noProof/>
              </w:rPr>
              <w:drawing>
                <wp:inline distT="0" distB="0" distL="0" distR="0">
                  <wp:extent cx="2463165" cy="53213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6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Professor Nicholas Saunders AO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:rsidR="00ED20B7" w:rsidRPr="00781DD2" w:rsidRDefault="00ED20B7" w:rsidP="00781DD2"/>
        </w:tc>
      </w:tr>
    </w:tbl>
    <w:p w:rsidR="00ED20B7" w:rsidRPr="00FA33FB" w:rsidRDefault="00ED20B7" w:rsidP="00ED20B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174D73">
        <w:rPr>
          <w:noProof/>
        </w:rPr>
        <w:t>3</w:t>
      </w:r>
      <w:r w:rsidR="005962C4"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4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4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6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6</w:t>
      </w:r>
      <w:r>
        <w:rPr>
          <w:noProof/>
        </w:rPr>
        <w:fldChar w:fldCharType="end"/>
      </w:r>
    </w:p>
    <w:p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7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174D73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r w:rsidR="004F1F86">
        <w:rPr>
          <w:i/>
        </w:rPr>
        <w:t>v</w:t>
      </w:r>
      <w:r w:rsidR="004F1F86" w:rsidRPr="004F1F86">
        <w:rPr>
          <w:i/>
        </w:rPr>
        <w:t xml:space="preserve">aricocoele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061D23">
        <w:t>79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65D09">
        <w:t>2019</w:t>
      </w:r>
      <w:r w:rsidR="00E55F66" w:rsidRPr="00F97A62">
        <w:t>)</w:t>
      </w:r>
      <w:r w:rsidRPr="00F97A62">
        <w:t>.</w:t>
      </w:r>
    </w:p>
    <w:p w:rsidR="00F67B67" w:rsidRPr="00684C0E" w:rsidRDefault="00F67B67" w:rsidP="00253D7C">
      <w:pPr>
        <w:pStyle w:val="LV1"/>
      </w:pPr>
      <w:bookmarkStart w:id="5" w:name="_Toc512513135"/>
      <w:r w:rsidRPr="00684C0E">
        <w:t>Commencement</w:t>
      </w:r>
      <w:bookmarkEnd w:id="5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>This instrument commences on</w:t>
      </w:r>
      <w:r w:rsidR="00061D23">
        <w:t xml:space="preserve"> 23 September 2019</w:t>
      </w:r>
      <w:r w:rsidR="00F67B67" w:rsidRPr="007527C1">
        <w:t>.</w:t>
      </w:r>
    </w:p>
    <w:p w:rsidR="00F67B67" w:rsidRPr="00684C0E" w:rsidRDefault="00F67B67" w:rsidP="00253D7C">
      <w:pPr>
        <w:pStyle w:val="LV1"/>
      </w:pPr>
      <w:bookmarkStart w:id="6" w:name="_Toc512513136"/>
      <w:r w:rsidRPr="00684C0E">
        <w:t>Authority</w:t>
      </w:r>
      <w:bookmarkEnd w:id="6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253D7C">
      <w:pPr>
        <w:pStyle w:val="LV1"/>
      </w:pPr>
      <w:bookmarkStart w:id="7" w:name="_Toc512513137"/>
      <w:r>
        <w:t>Re</w:t>
      </w:r>
      <w:r w:rsidR="005962C4">
        <w:t>peal</w:t>
      </w:r>
      <w:bookmarkEnd w:id="7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F1F86">
        <w:t>varicocele</w:t>
      </w:r>
      <w:r w:rsidRPr="00DA3996">
        <w:t xml:space="preserve"> No. </w:t>
      </w:r>
      <w:r w:rsidR="00B25A8A">
        <w:t>3</w:t>
      </w:r>
      <w:r w:rsidRPr="00DA3996">
        <w:t xml:space="preserve"> of </w:t>
      </w:r>
      <w:r w:rsidR="00B25A8A">
        <w:t>2011</w:t>
      </w:r>
      <w:r w:rsidR="005962C4">
        <w:t xml:space="preserve"> </w:t>
      </w:r>
      <w:r w:rsidR="005962C4" w:rsidRPr="00786DAE">
        <w:t xml:space="preserve">(Federal Register of Legislation No. </w:t>
      </w:r>
      <w:r w:rsidR="004F1F86" w:rsidRPr="004F1F86">
        <w:t>F2010L03250</w:t>
      </w:r>
      <w:r w:rsidR="005962C4" w:rsidRPr="00786DAE">
        <w:t xml:space="preserve">) </w:t>
      </w:r>
      <w:r w:rsidR="004F1F86">
        <w:t>made under subsection</w:t>
      </w:r>
      <w:r w:rsidR="00B25A8A">
        <w:t xml:space="preserve"> </w:t>
      </w:r>
      <w:proofErr w:type="gramStart"/>
      <w:r w:rsidR="004F1F86">
        <w:t>196B(</w:t>
      </w:r>
      <w:proofErr w:type="gramEnd"/>
      <w:r w:rsidR="004F1F8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:rsidR="007C7DEE" w:rsidRPr="00684C0E" w:rsidRDefault="007C7DEE" w:rsidP="00253D7C">
      <w:pPr>
        <w:pStyle w:val="LV1"/>
      </w:pPr>
      <w:bookmarkStart w:id="8" w:name="_Toc512513138"/>
      <w:r w:rsidRPr="00684C0E">
        <w:t>Application</w:t>
      </w:r>
      <w:bookmarkEnd w:id="8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253D7C">
      <w:pPr>
        <w:pStyle w:val="LV1"/>
      </w:pPr>
      <w:bookmarkStart w:id="9" w:name="_Ref410129949"/>
      <w:bookmarkStart w:id="10" w:name="_Toc512513139"/>
      <w:r w:rsidRPr="00684C0E">
        <w:t>Definitions</w:t>
      </w:r>
      <w:bookmarkEnd w:id="9"/>
      <w:bookmarkEnd w:id="10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253D7C">
      <w:pPr>
        <w:pStyle w:val="LV1"/>
      </w:pPr>
      <w:bookmarkStart w:id="11" w:name="_Ref409687573"/>
      <w:bookmarkStart w:id="12" w:name="_Ref409687579"/>
      <w:bookmarkStart w:id="13" w:name="_Ref409687725"/>
      <w:bookmarkStart w:id="14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1"/>
      <w:bookmarkEnd w:id="12"/>
      <w:bookmarkEnd w:id="13"/>
      <w:bookmarkEnd w:id="14"/>
    </w:p>
    <w:p w:rsidR="007C7DEE" w:rsidRPr="00D5620B" w:rsidRDefault="007C7DEE" w:rsidP="000B4494">
      <w:pPr>
        <w:pStyle w:val="LV2"/>
      </w:pPr>
      <w:bookmarkStart w:id="15" w:name="_Ref403053584"/>
      <w:r w:rsidRPr="00D5620B">
        <w:t xml:space="preserve">This Statement of Principles is </w:t>
      </w:r>
      <w:r w:rsidRPr="002F77A1">
        <w:t xml:space="preserve">about </w:t>
      </w:r>
      <w:r w:rsidR="004F1F86">
        <w:t>varicocoele</w:t>
      </w:r>
      <w:r w:rsidR="004F1F86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F1F86">
        <w:t>varicocoele</w:t>
      </w:r>
      <w:r w:rsidRPr="00D5620B">
        <w:t>.</w:t>
      </w:r>
      <w:bookmarkEnd w:id="15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104DC1" w:rsidRPr="006C0F1F">
        <w:rPr>
          <w:b/>
        </w:rPr>
        <w:t>varicocoele</w:t>
      </w:r>
    </w:p>
    <w:p w:rsidR="002716E4" w:rsidRDefault="007C7DEE" w:rsidP="000B4494">
      <w:pPr>
        <w:pStyle w:val="LV2"/>
      </w:pPr>
      <w:bookmarkStart w:id="16" w:name="_Ref409598124"/>
      <w:bookmarkStart w:id="17" w:name="_Ref402529683"/>
      <w:r w:rsidRPr="00237BAF">
        <w:t>For the purposes of this Statement of Principles,</w:t>
      </w:r>
      <w:r w:rsidR="002F77A1" w:rsidRPr="002F77A1">
        <w:t xml:space="preserve"> </w:t>
      </w:r>
      <w:r w:rsidR="004F1F86">
        <w:t>varicocoele</w:t>
      </w:r>
      <w:bookmarkEnd w:id="16"/>
      <w:r w:rsidR="004F1F86" w:rsidRPr="004F1F86">
        <w:t xml:space="preserve"> </w:t>
      </w:r>
      <w:r w:rsidR="004F1F86">
        <w:t>means an abnormal tortuosity and dilatation of the veins of the pampiniform plexus within the spermatic cord in the scrotum.</w:t>
      </w:r>
    </w:p>
    <w:p w:rsidR="00C65D09" w:rsidRPr="00237BAF" w:rsidRDefault="00C65D09" w:rsidP="00C65D09">
      <w:pPr>
        <w:pStyle w:val="Note2"/>
      </w:pPr>
      <w:r w:rsidRPr="00C65D09">
        <w:t xml:space="preserve">Note: </w:t>
      </w:r>
      <w:r w:rsidR="00061D23">
        <w:t xml:space="preserve"> </w:t>
      </w:r>
      <w:r w:rsidRPr="00C65D09">
        <w:t xml:space="preserve">Varicocoele usually presents as a scrotal swelling. </w:t>
      </w:r>
      <w:r w:rsidR="00061D23">
        <w:t xml:space="preserve"> </w:t>
      </w:r>
      <w:r w:rsidRPr="00C65D09">
        <w:t>Varicocoele may also be associated with male infertility</w:t>
      </w:r>
      <w:r>
        <w:t>.</w:t>
      </w:r>
    </w:p>
    <w:bookmarkEnd w:id="17"/>
    <w:p w:rsidR="008F572A" w:rsidRPr="00237BAF" w:rsidRDefault="008F572A" w:rsidP="000B4494">
      <w:pPr>
        <w:pStyle w:val="LV2"/>
      </w:pPr>
      <w:r w:rsidRPr="00237BAF">
        <w:t xml:space="preserve">While </w:t>
      </w:r>
      <w:r w:rsidR="00B25A8A">
        <w:t>v</w:t>
      </w:r>
      <w:r w:rsidR="00B25A8A" w:rsidRPr="00B25A8A">
        <w:t>aricocoele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4F1F86" w:rsidRPr="004F1F86">
        <w:t>I86.1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4F1F86">
        <w:t>varicocoele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</w:t>
      </w:r>
      <w:proofErr w:type="gramStart"/>
      <w:r w:rsidRPr="00237BAF">
        <w:t>.</w:t>
      </w:r>
      <w:proofErr w:type="gramEnd"/>
    </w:p>
    <w:p w:rsidR="000F76FA" w:rsidRPr="0053697E" w:rsidRDefault="00CD6358" w:rsidP="000B4494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 xml:space="preserve">The International Statistical Classification of Diseases and Related Health </w:t>
      </w:r>
      <w:r w:rsidRPr="00743C76">
        <w:rPr>
          <w:i/>
        </w:rPr>
        <w:lastRenderedPageBreak/>
        <w:t>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Pr="0008368E" w:rsidRDefault="00237BAF" w:rsidP="00C670B0">
      <w:pPr>
        <w:pStyle w:val="LVtext"/>
      </w:pPr>
      <w:r w:rsidRPr="0008368E">
        <w:t>Death from</w:t>
      </w:r>
      <w:r w:rsidR="008F572A" w:rsidRPr="0008368E">
        <w:t xml:space="preserve"> </w:t>
      </w:r>
      <w:r w:rsidR="0008368E" w:rsidRPr="006C0F1F">
        <w:rPr>
          <w:b/>
        </w:rPr>
        <w:t>varicocoele</w:t>
      </w:r>
    </w:p>
    <w:p w:rsidR="008F572A" w:rsidRPr="00237BAF" w:rsidRDefault="008F572A" w:rsidP="000B4494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F1F86">
        <w:t>varicocoele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4F1F86">
        <w:t>varicocoele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253D7C">
      <w:pPr>
        <w:pStyle w:val="LV1"/>
      </w:pPr>
      <w:bookmarkStart w:id="18" w:name="_Toc512513141"/>
      <w:r w:rsidRPr="00A20CA1">
        <w:t>Basis for determining the factors</w:t>
      </w:r>
      <w:bookmarkEnd w:id="18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4F1F86">
        <w:t>varicocoele</w:t>
      </w:r>
      <w:r>
        <w:t xml:space="preserve"> </w:t>
      </w:r>
      <w:r w:rsidRPr="00D5620B">
        <w:t>and death from</w:t>
      </w:r>
      <w:r>
        <w:t xml:space="preserve"> </w:t>
      </w:r>
      <w:r w:rsidR="004F1F86">
        <w:t>varicocoele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253D7C">
      <w:pPr>
        <w:pStyle w:val="LV1"/>
      </w:pPr>
      <w:bookmarkStart w:id="19" w:name="_Ref411946955"/>
      <w:bookmarkStart w:id="20" w:name="_Ref411946997"/>
      <w:bookmarkStart w:id="21" w:name="_Ref412032503"/>
      <w:bookmarkStart w:id="22" w:name="_Toc512513142"/>
      <w:r w:rsidRPr="00301C54">
        <w:t xml:space="preserve">Factors that must </w:t>
      </w:r>
      <w:r w:rsidR="00D32F71">
        <w:t>exist</w:t>
      </w:r>
      <w:bookmarkEnd w:id="19"/>
      <w:bookmarkEnd w:id="20"/>
      <w:bookmarkEnd w:id="21"/>
      <w:bookmarkEnd w:id="22"/>
    </w:p>
    <w:p w:rsidR="007C7DEE" w:rsidRPr="00AA6D8B" w:rsidRDefault="002716E4" w:rsidP="00253D7C">
      <w:pPr>
        <w:pStyle w:val="PlainIndent"/>
      </w:pPr>
      <w:bookmarkStart w:id="23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4F1F86">
        <w:t xml:space="preserve">varicocoele </w:t>
      </w:r>
      <w:r w:rsidR="007C7DEE" w:rsidRPr="00AA6D8B">
        <w:t xml:space="preserve">or death from </w:t>
      </w:r>
      <w:r w:rsidR="004F1F86">
        <w:t>varicocoele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3"/>
    </w:p>
    <w:p w:rsidR="00253D7C" w:rsidRPr="008D1B8B" w:rsidRDefault="004F1F86" w:rsidP="000B4494">
      <w:pPr>
        <w:pStyle w:val="LV2"/>
      </w:pPr>
      <w:bookmarkStart w:id="24" w:name="_Ref402530260"/>
      <w:bookmarkStart w:id="25" w:name="_Ref409598844"/>
      <w:r w:rsidRPr="004F1F86">
        <w:t>having an occlusion or stenosis of the testicular venous drainage system before the clinical onset of varicocoele;</w:t>
      </w:r>
    </w:p>
    <w:p w:rsidR="00761CC6" w:rsidRDefault="00761CC6" w:rsidP="00761CC6">
      <w:pPr>
        <w:pStyle w:val="Note2"/>
        <w:spacing w:after="60"/>
        <w:ind w:left="1985" w:hanging="567"/>
      </w:pPr>
      <w:r>
        <w:t>Note 1: Blood vessels of the testicular venous drainage system may include, but are not limited to:</w:t>
      </w:r>
    </w:p>
    <w:p w:rsidR="00761CC6" w:rsidRPr="0081173F" w:rsidRDefault="00761CC6" w:rsidP="00761CC6">
      <w:pPr>
        <w:pStyle w:val="ListParagraph"/>
        <w:numPr>
          <w:ilvl w:val="0"/>
          <w:numId w:val="24"/>
        </w:numPr>
        <w:ind w:left="2410" w:hanging="425"/>
        <w:rPr>
          <w:sz w:val="18"/>
          <w:szCs w:val="18"/>
        </w:rPr>
      </w:pPr>
      <w:r>
        <w:tab/>
      </w:r>
      <w:r w:rsidRPr="0081173F">
        <w:rPr>
          <w:sz w:val="18"/>
          <w:szCs w:val="18"/>
        </w:rPr>
        <w:t>inferior vena cava;</w:t>
      </w:r>
    </w:p>
    <w:p w:rsidR="00761CC6" w:rsidRPr="00C65D09" w:rsidRDefault="00761CC6" w:rsidP="00761CC6">
      <w:pPr>
        <w:pStyle w:val="ListParagraph"/>
        <w:numPr>
          <w:ilvl w:val="0"/>
          <w:numId w:val="24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ab/>
        <w:t>internal iliac vein;</w:t>
      </w:r>
    </w:p>
    <w:p w:rsidR="00761CC6" w:rsidRPr="00C65D09" w:rsidRDefault="00761CC6" w:rsidP="00761CC6">
      <w:pPr>
        <w:pStyle w:val="ListParagraph"/>
        <w:numPr>
          <w:ilvl w:val="0"/>
          <w:numId w:val="24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>left or right renal vein;</w:t>
      </w:r>
    </w:p>
    <w:p w:rsidR="00761CC6" w:rsidRPr="00C65D09" w:rsidRDefault="00761CC6" w:rsidP="00761CC6">
      <w:pPr>
        <w:pStyle w:val="ListParagraph"/>
        <w:numPr>
          <w:ilvl w:val="0"/>
          <w:numId w:val="24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ab/>
        <w:t>lumbar vein;</w:t>
      </w:r>
    </w:p>
    <w:p w:rsidR="00761CC6" w:rsidRPr="00C65D09" w:rsidRDefault="00761CC6" w:rsidP="00761CC6">
      <w:pPr>
        <w:pStyle w:val="ListParagraph"/>
        <w:numPr>
          <w:ilvl w:val="0"/>
          <w:numId w:val="24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ab/>
        <w:t>pampiniform plexus; and</w:t>
      </w:r>
    </w:p>
    <w:p w:rsidR="00761CC6" w:rsidRDefault="00761CC6" w:rsidP="00761CC6">
      <w:pPr>
        <w:pStyle w:val="ListParagraph"/>
        <w:numPr>
          <w:ilvl w:val="0"/>
          <w:numId w:val="24"/>
        </w:numPr>
        <w:spacing w:after="60"/>
        <w:ind w:left="2410" w:hanging="425"/>
        <w:contextualSpacing w:val="0"/>
        <w:rPr>
          <w:sz w:val="18"/>
          <w:szCs w:val="18"/>
        </w:rPr>
      </w:pPr>
      <w:r w:rsidRPr="00C65D09">
        <w:rPr>
          <w:sz w:val="18"/>
          <w:szCs w:val="18"/>
        </w:rPr>
        <w:tab/>
      </w:r>
      <w:proofErr w:type="gramStart"/>
      <w:r w:rsidRPr="00C65D09">
        <w:rPr>
          <w:sz w:val="18"/>
          <w:szCs w:val="18"/>
        </w:rPr>
        <w:t>testicular</w:t>
      </w:r>
      <w:proofErr w:type="gramEnd"/>
      <w:r w:rsidRPr="00C65D09">
        <w:rPr>
          <w:sz w:val="18"/>
          <w:szCs w:val="18"/>
        </w:rPr>
        <w:t xml:space="preserve"> vein</w:t>
      </w:r>
      <w:r w:rsidRPr="0081173F">
        <w:rPr>
          <w:sz w:val="18"/>
          <w:szCs w:val="18"/>
        </w:rPr>
        <w:t>.</w:t>
      </w:r>
    </w:p>
    <w:p w:rsidR="0081173F" w:rsidRPr="00BB3D4A" w:rsidRDefault="00761CC6" w:rsidP="00761CC6">
      <w:pPr>
        <w:pStyle w:val="ListParagraph"/>
        <w:ind w:left="1985"/>
        <w:rPr>
          <w:rStyle w:val="SubtleEmphasis"/>
          <w:i w:val="0"/>
          <w:color w:val="auto"/>
          <w:sz w:val="18"/>
          <w:szCs w:val="18"/>
        </w:rPr>
      </w:pPr>
      <w:r w:rsidRPr="00761CC6">
        <w:rPr>
          <w:sz w:val="18"/>
          <w:szCs w:val="18"/>
        </w:rPr>
        <w:t xml:space="preserve">Rare anatomical variants may exist where the testicular vein and its tributaries empty into blood vessels which are not commonly part of the testicular venous drainage system.  </w:t>
      </w:r>
    </w:p>
    <w:p w:rsidR="0081173F" w:rsidRPr="00046E67" w:rsidRDefault="0081173F" w:rsidP="0081173F">
      <w:pPr>
        <w:pStyle w:val="Note2"/>
      </w:pPr>
      <w:r>
        <w:t>Note</w:t>
      </w:r>
      <w:r w:rsidR="00C65D09">
        <w:t xml:space="preserve"> 2</w:t>
      </w:r>
      <w:r>
        <w:t xml:space="preserve">: </w:t>
      </w:r>
      <w:r w:rsidRPr="00C65D09">
        <w:rPr>
          <w:b/>
          <w:i/>
        </w:rPr>
        <w:t>occlusion or stenosis</w:t>
      </w:r>
      <w:r w:rsidRPr="004F1F86">
        <w:t xml:space="preserve"> </w:t>
      </w:r>
      <w:r w:rsidRPr="00046E67">
        <w:t xml:space="preserve">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234DE1" w:rsidRDefault="00234DE1" w:rsidP="000B4494">
      <w:pPr>
        <w:pStyle w:val="LV2"/>
      </w:pPr>
      <w:r w:rsidRPr="00234DE1">
        <w:t>having a nephrectomy within the one year before the clinical onset of the ipsilateral varicocoele;</w:t>
      </w:r>
      <w:r>
        <w:t xml:space="preserve"> </w:t>
      </w:r>
    </w:p>
    <w:p w:rsidR="00234DE1" w:rsidRDefault="00234DE1" w:rsidP="000B4494">
      <w:pPr>
        <w:pStyle w:val="LV2"/>
      </w:pPr>
      <w:r w:rsidRPr="00234DE1">
        <w:t>having an arterio-venous fistula between any of the arteries supplying the testis and a vein of the pampiniform plexus at</w:t>
      </w:r>
      <w:r w:rsidR="000B4494">
        <w:t xml:space="preserve"> the time of the clinical onset</w:t>
      </w:r>
      <w:r w:rsidRPr="00234DE1">
        <w:t xml:space="preserve"> of varicocoele;</w:t>
      </w:r>
    </w:p>
    <w:p w:rsidR="00234DE1" w:rsidRDefault="00234DE1" w:rsidP="00234DE1">
      <w:pPr>
        <w:pStyle w:val="Note2"/>
      </w:pPr>
      <w:r w:rsidRPr="00234DE1">
        <w:t xml:space="preserve">Note: </w:t>
      </w:r>
      <w:r w:rsidRPr="00C65D09">
        <w:rPr>
          <w:b/>
          <w:i/>
        </w:rPr>
        <w:t>arteries supplying the testis</w:t>
      </w:r>
      <w:r w:rsidRPr="00234DE1">
        <w:t xml:space="preserve"> is defined in the Schedule 1 - Dictionary.</w:t>
      </w:r>
    </w:p>
    <w:p w:rsidR="00AB74B5" w:rsidRDefault="00AB74B5" w:rsidP="00AB74B5">
      <w:pPr>
        <w:pStyle w:val="LV2"/>
      </w:pPr>
      <w:r w:rsidRPr="00AB74B5">
        <w:lastRenderedPageBreak/>
        <w:t>having ankylosing spondylitis at</w:t>
      </w:r>
      <w:r>
        <w:t xml:space="preserve"> the time of the clinical onset</w:t>
      </w:r>
      <w:r w:rsidRPr="00AB74B5">
        <w:t xml:space="preserve"> of varicocoele;</w:t>
      </w:r>
    </w:p>
    <w:p w:rsidR="00C453B1" w:rsidRDefault="00C453B1" w:rsidP="00C453B1">
      <w:pPr>
        <w:pStyle w:val="LV2"/>
      </w:pPr>
      <w:r w:rsidRPr="00C453B1">
        <w:t>having Behcet disease at</w:t>
      </w:r>
      <w:r>
        <w:t xml:space="preserve"> the time of the clinical onset</w:t>
      </w:r>
      <w:r w:rsidRPr="00C453B1">
        <w:t xml:space="preserve"> of varicocoele;</w:t>
      </w:r>
    </w:p>
    <w:p w:rsidR="000B4494" w:rsidRPr="008D1B8B" w:rsidRDefault="000B4494" w:rsidP="000B4494">
      <w:pPr>
        <w:pStyle w:val="LV2"/>
      </w:pPr>
      <w:r w:rsidRPr="004F1F86">
        <w:t>having an occlusion or stenosis of the testicular venous drainage system before the clinical worsening of varicocoele;</w:t>
      </w:r>
    </w:p>
    <w:p w:rsidR="000B4494" w:rsidRDefault="000B4494" w:rsidP="00976A51">
      <w:pPr>
        <w:pStyle w:val="Note2"/>
        <w:spacing w:after="60"/>
        <w:ind w:left="1985" w:hanging="567"/>
      </w:pPr>
      <w:r>
        <w:t>Note</w:t>
      </w:r>
      <w:r w:rsidR="00C65D09">
        <w:t xml:space="preserve"> 1</w:t>
      </w:r>
      <w:r>
        <w:t xml:space="preserve">: Blood vessels of the testicular venous drainage system </w:t>
      </w:r>
      <w:r w:rsidR="004E0E0B">
        <w:t xml:space="preserve">may </w:t>
      </w:r>
      <w:r>
        <w:t>include, but are not limited to:</w:t>
      </w:r>
    </w:p>
    <w:p w:rsidR="000B4494" w:rsidRPr="0081173F" w:rsidRDefault="000B4494" w:rsidP="00876154">
      <w:pPr>
        <w:pStyle w:val="ListParagraph"/>
        <w:numPr>
          <w:ilvl w:val="0"/>
          <w:numId w:val="35"/>
        </w:numPr>
        <w:ind w:left="2410" w:hanging="425"/>
        <w:rPr>
          <w:sz w:val="18"/>
          <w:szCs w:val="18"/>
        </w:rPr>
      </w:pPr>
      <w:r>
        <w:tab/>
      </w:r>
      <w:r w:rsidRPr="0081173F">
        <w:rPr>
          <w:sz w:val="18"/>
          <w:szCs w:val="18"/>
        </w:rPr>
        <w:t>inferior vena cava;</w:t>
      </w:r>
    </w:p>
    <w:p w:rsidR="000B4494" w:rsidRPr="00C65D09" w:rsidRDefault="000B4494" w:rsidP="00876154">
      <w:pPr>
        <w:pStyle w:val="ListParagraph"/>
        <w:numPr>
          <w:ilvl w:val="0"/>
          <w:numId w:val="35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ab/>
        <w:t>internal iliac vein;</w:t>
      </w:r>
    </w:p>
    <w:p w:rsidR="000B4494" w:rsidRPr="00C65D09" w:rsidRDefault="000B4494" w:rsidP="00876154">
      <w:pPr>
        <w:pStyle w:val="ListParagraph"/>
        <w:numPr>
          <w:ilvl w:val="0"/>
          <w:numId w:val="35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>left or right renal vein;</w:t>
      </w:r>
    </w:p>
    <w:p w:rsidR="000B4494" w:rsidRPr="00C65D09" w:rsidRDefault="000B4494" w:rsidP="00876154">
      <w:pPr>
        <w:pStyle w:val="ListParagraph"/>
        <w:numPr>
          <w:ilvl w:val="0"/>
          <w:numId w:val="35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ab/>
        <w:t>lumbar vein;</w:t>
      </w:r>
    </w:p>
    <w:p w:rsidR="000B4494" w:rsidRPr="00C65D09" w:rsidRDefault="000B4494" w:rsidP="00876154">
      <w:pPr>
        <w:pStyle w:val="ListParagraph"/>
        <w:numPr>
          <w:ilvl w:val="0"/>
          <w:numId w:val="35"/>
        </w:numPr>
        <w:ind w:left="2410" w:hanging="425"/>
        <w:rPr>
          <w:sz w:val="18"/>
          <w:szCs w:val="18"/>
        </w:rPr>
      </w:pPr>
      <w:r w:rsidRPr="00C65D09">
        <w:rPr>
          <w:sz w:val="18"/>
          <w:szCs w:val="18"/>
        </w:rPr>
        <w:tab/>
        <w:t>pampiniform plexus; and</w:t>
      </w:r>
    </w:p>
    <w:p w:rsidR="0081173F" w:rsidRDefault="0081173F" w:rsidP="00761CC6">
      <w:pPr>
        <w:pStyle w:val="ListParagraph"/>
        <w:numPr>
          <w:ilvl w:val="0"/>
          <w:numId w:val="35"/>
        </w:numPr>
        <w:spacing w:after="60"/>
        <w:ind w:left="2410" w:hanging="425"/>
        <w:contextualSpacing w:val="0"/>
        <w:rPr>
          <w:sz w:val="18"/>
          <w:szCs w:val="18"/>
        </w:rPr>
      </w:pPr>
      <w:r w:rsidRPr="00C65D09">
        <w:rPr>
          <w:sz w:val="18"/>
          <w:szCs w:val="18"/>
        </w:rPr>
        <w:tab/>
      </w:r>
      <w:proofErr w:type="gramStart"/>
      <w:r w:rsidRPr="00C65D09">
        <w:rPr>
          <w:sz w:val="18"/>
          <w:szCs w:val="18"/>
        </w:rPr>
        <w:t>testicular</w:t>
      </w:r>
      <w:proofErr w:type="gramEnd"/>
      <w:r w:rsidRPr="00C65D09">
        <w:rPr>
          <w:sz w:val="18"/>
          <w:szCs w:val="18"/>
        </w:rPr>
        <w:t xml:space="preserve"> vein</w:t>
      </w:r>
      <w:r w:rsidRPr="0081173F">
        <w:rPr>
          <w:sz w:val="18"/>
          <w:szCs w:val="18"/>
        </w:rPr>
        <w:t>.</w:t>
      </w:r>
    </w:p>
    <w:p w:rsidR="00761CC6" w:rsidRPr="00761CC6" w:rsidRDefault="00761CC6" w:rsidP="00761CC6">
      <w:pPr>
        <w:pStyle w:val="ListParagraph"/>
        <w:ind w:left="1985"/>
        <w:rPr>
          <w:sz w:val="18"/>
          <w:szCs w:val="18"/>
        </w:rPr>
      </w:pPr>
      <w:r w:rsidRPr="00761CC6">
        <w:rPr>
          <w:sz w:val="18"/>
          <w:szCs w:val="18"/>
        </w:rPr>
        <w:t xml:space="preserve">Rare anatomical variants may exist where the testicular vein and its tributaries empty into blood vessels which are not commonly part of the testicular venous drainage system.  </w:t>
      </w:r>
    </w:p>
    <w:p w:rsidR="000B4494" w:rsidRPr="00046E67" w:rsidRDefault="000B4494" w:rsidP="000B4494">
      <w:pPr>
        <w:pStyle w:val="Note2"/>
      </w:pPr>
      <w:r>
        <w:t>Note</w:t>
      </w:r>
      <w:r w:rsidR="00061D23">
        <w:t xml:space="preserve"> 2</w:t>
      </w:r>
      <w:r>
        <w:t xml:space="preserve">: </w:t>
      </w:r>
      <w:r w:rsidRPr="00C65D09">
        <w:rPr>
          <w:b/>
          <w:i/>
        </w:rPr>
        <w:t>occlusion or stenosis</w:t>
      </w:r>
      <w:r w:rsidRPr="004F1F86">
        <w:t xml:space="preserve"> </w:t>
      </w:r>
      <w:r w:rsidRPr="00046E67">
        <w:t xml:space="preserve">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0B4494" w:rsidRPr="000B4494" w:rsidRDefault="000B4494" w:rsidP="000B4494">
      <w:pPr>
        <w:pStyle w:val="LV2"/>
      </w:pPr>
      <w:r w:rsidRPr="000B4494">
        <w:t xml:space="preserve">having a nephrectomy within the one year before the clinical worsening of the ipsilateral varicocoele; </w:t>
      </w:r>
    </w:p>
    <w:p w:rsidR="000B4494" w:rsidRDefault="000B4494" w:rsidP="000B4494">
      <w:pPr>
        <w:pStyle w:val="LV2"/>
      </w:pPr>
      <w:r w:rsidRPr="00234DE1">
        <w:t>having an arterio-venous fistula between any of the arteries supplying the testis and a vein of the pampiniform plexus at the time of the clinical worsening of varicocoele;</w:t>
      </w:r>
    </w:p>
    <w:p w:rsidR="000B4494" w:rsidRDefault="000B4494" w:rsidP="000B4494">
      <w:pPr>
        <w:pStyle w:val="Note2"/>
      </w:pPr>
      <w:r w:rsidRPr="00234DE1">
        <w:t xml:space="preserve">Note: </w:t>
      </w:r>
      <w:r w:rsidRPr="00C65D09">
        <w:rPr>
          <w:b/>
          <w:i/>
        </w:rPr>
        <w:t>arteries supplying the testis</w:t>
      </w:r>
      <w:r w:rsidRPr="00234DE1">
        <w:t xml:space="preserve"> is defined in the Schedule 1 - Dictionary.</w:t>
      </w:r>
    </w:p>
    <w:p w:rsidR="00AB74B5" w:rsidRDefault="00AB74B5" w:rsidP="00AB74B5">
      <w:pPr>
        <w:pStyle w:val="LV2"/>
      </w:pPr>
      <w:r w:rsidRPr="00AB74B5">
        <w:t>having ankylosing spondylitis at the time of the clinical worsening of varicocoele;</w:t>
      </w:r>
    </w:p>
    <w:p w:rsidR="00C453B1" w:rsidRDefault="00C453B1" w:rsidP="00C453B1">
      <w:pPr>
        <w:pStyle w:val="LV2"/>
      </w:pPr>
      <w:r w:rsidRPr="00C453B1">
        <w:t>having Behcet disease at the time of the clinical worsening of varicocoele;</w:t>
      </w:r>
    </w:p>
    <w:p w:rsidR="004F25B2" w:rsidRDefault="004F25B2" w:rsidP="004F25B2">
      <w:pPr>
        <w:pStyle w:val="LV2"/>
      </w:pPr>
      <w:r w:rsidRPr="000B4494">
        <w:t>undertaking physical activity at a minimum intensity of six METs, for at least six hours per week for at least the four weeks before the clinical worsening of varicocoele</w:t>
      </w:r>
      <w:r>
        <w:t>;</w:t>
      </w:r>
      <w:r w:rsidRPr="000B4494">
        <w:t xml:space="preserve"> </w:t>
      </w:r>
    </w:p>
    <w:p w:rsidR="004F25B2" w:rsidRDefault="004F25B2" w:rsidP="004F25B2">
      <w:pPr>
        <w:pStyle w:val="Note2"/>
      </w:pPr>
      <w:r w:rsidRPr="00234DE1">
        <w:t xml:space="preserve">Note: </w:t>
      </w:r>
      <w:r w:rsidRPr="00C65D09">
        <w:rPr>
          <w:b/>
          <w:i/>
        </w:rPr>
        <w:t>MET</w:t>
      </w:r>
      <w:r w:rsidRPr="000B4494">
        <w:t xml:space="preserve"> </w:t>
      </w:r>
      <w:r w:rsidRPr="00234DE1">
        <w:t>is defined in the Schedule 1 - Dictionary.</w:t>
      </w:r>
    </w:p>
    <w:p w:rsidR="00AF389D" w:rsidRDefault="005748DC" w:rsidP="005748DC">
      <w:pPr>
        <w:pStyle w:val="LV2"/>
      </w:pPr>
      <w:r w:rsidRPr="005748DC">
        <w:t>for rupture of varicocoele only</w:t>
      </w:r>
      <w:r w:rsidR="00AF389D">
        <w:t>:</w:t>
      </w:r>
    </w:p>
    <w:p w:rsidR="005748DC" w:rsidRDefault="005748DC" w:rsidP="003862B1">
      <w:pPr>
        <w:pStyle w:val="LV3"/>
      </w:pPr>
      <w:r w:rsidRPr="005748DC">
        <w:t>having sexual intercourse at the time of the clinical worsening of varicocoele;</w:t>
      </w:r>
      <w:r w:rsidR="00061D23">
        <w:t xml:space="preserve"> or</w:t>
      </w:r>
    </w:p>
    <w:p w:rsidR="005748DC" w:rsidRDefault="005748DC" w:rsidP="003862B1">
      <w:pPr>
        <w:pStyle w:val="LV3"/>
      </w:pPr>
      <w:r w:rsidRPr="005748DC">
        <w:t>having increased intra-abdominal pressure as specified, which has resulted in a scrotal or spermatic cord haematoma, within the seven days before the clinical worsening of varicocoele;</w:t>
      </w:r>
    </w:p>
    <w:p w:rsidR="005748DC" w:rsidRDefault="005748DC" w:rsidP="00061D23">
      <w:pPr>
        <w:pStyle w:val="Note2"/>
        <w:ind w:left="1843" w:hanging="425"/>
      </w:pPr>
      <w:r w:rsidRPr="00234DE1">
        <w:t xml:space="preserve">Note: </w:t>
      </w:r>
      <w:r w:rsidRPr="00C65D09">
        <w:rPr>
          <w:b/>
          <w:i/>
        </w:rPr>
        <w:t>increased intra-abdominal pressure</w:t>
      </w:r>
      <w:r w:rsidRPr="005748DC">
        <w:t xml:space="preserve"> </w:t>
      </w:r>
      <w:r w:rsidRPr="00C65D09">
        <w:rPr>
          <w:b/>
          <w:i/>
        </w:rPr>
        <w:t>as specified</w:t>
      </w:r>
      <w:r w:rsidRPr="005748DC">
        <w:t xml:space="preserve"> </w:t>
      </w:r>
      <w:r w:rsidRPr="00234DE1">
        <w:t>is defined in the Schedule</w:t>
      </w:r>
      <w:r w:rsidR="00061D23">
        <w:t> </w:t>
      </w:r>
      <w:r w:rsidRPr="00234DE1">
        <w:t>1</w:t>
      </w:r>
      <w:r w:rsidR="00061D23">
        <w:t> </w:t>
      </w:r>
      <w:r w:rsidRPr="00234DE1">
        <w:t>-</w:t>
      </w:r>
      <w:r w:rsidR="00061D23">
        <w:t> </w:t>
      </w:r>
      <w:r w:rsidRPr="00234DE1">
        <w:t>Dictionary.</w:t>
      </w:r>
    </w:p>
    <w:p w:rsidR="007C7DEE" w:rsidRPr="008D1B8B" w:rsidRDefault="007C7DEE" w:rsidP="000B4494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4"/>
      <w:r w:rsidR="007A3989">
        <w:t xml:space="preserve"> </w:t>
      </w:r>
      <w:r w:rsidR="000B4494">
        <w:t>varicocoele</w:t>
      </w:r>
      <w:r w:rsidR="00D5620B" w:rsidRPr="008D1B8B">
        <w:t>.</w:t>
      </w:r>
      <w:bookmarkEnd w:id="25"/>
    </w:p>
    <w:p w:rsidR="000C21A3" w:rsidRPr="00684C0E" w:rsidRDefault="00D32F71" w:rsidP="007C2476">
      <w:pPr>
        <w:pStyle w:val="LV1"/>
        <w:keepNext/>
        <w:keepLines/>
      </w:pPr>
      <w:bookmarkStart w:id="26" w:name="_Toc512513143"/>
      <w:bookmarkStart w:id="27" w:name="_Ref402530057"/>
      <w:r>
        <w:lastRenderedPageBreak/>
        <w:t>Relationship to s</w:t>
      </w:r>
      <w:r w:rsidR="000C21A3" w:rsidRPr="00684C0E">
        <w:t>ervice</w:t>
      </w:r>
      <w:bookmarkEnd w:id="26"/>
    </w:p>
    <w:p w:rsidR="00F03C06" w:rsidRPr="00187DE1" w:rsidRDefault="00F03C06" w:rsidP="007C2476">
      <w:pPr>
        <w:pStyle w:val="LV2"/>
        <w:keepNext/>
        <w:keepLines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7"/>
    <w:p w:rsidR="00CF2367" w:rsidRPr="00187DE1" w:rsidRDefault="00F03C06" w:rsidP="000B4494">
      <w:pPr>
        <w:pStyle w:val="LV2"/>
      </w:pPr>
      <w:r w:rsidRPr="00187DE1">
        <w:t>The factor</w:t>
      </w:r>
      <w:r w:rsidR="000B4494">
        <w:t>s</w:t>
      </w:r>
      <w:r w:rsidRPr="00187DE1">
        <w:t xml:space="preserve"> set out in </w:t>
      </w:r>
      <w:r w:rsidR="00851C4B">
        <w:t>subsections 9(6</w:t>
      </w:r>
      <w:r w:rsidR="000B4494">
        <w:t xml:space="preserve">) to </w:t>
      </w:r>
      <w:r w:rsidR="00DA3996">
        <w:t>9</w:t>
      </w:r>
      <w:r w:rsidR="00FF1D47">
        <w:t>(</w:t>
      </w:r>
      <w:r w:rsidR="003862B1">
        <w:t>13</w:t>
      </w:r>
      <w:r w:rsidR="00FF1D47">
        <w:t xml:space="preserve">) </w:t>
      </w:r>
      <w:r w:rsidRPr="00187DE1">
        <w:t>appl</w:t>
      </w:r>
      <w:r w:rsidR="000B4494">
        <w:t>y</w:t>
      </w:r>
      <w:r w:rsidRPr="00187DE1">
        <w:t xml:space="preserve"> only to material cont</w:t>
      </w:r>
      <w:r w:rsidR="00B25A8A">
        <w:t xml:space="preserve">ribution to, or aggravation of, </w:t>
      </w:r>
      <w:r w:rsidR="000B4494">
        <w:t>varicocoele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0B4494">
        <w:t xml:space="preserve">varicocoele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253D7C">
      <w:pPr>
        <w:pStyle w:val="LV1"/>
      </w:pPr>
      <w:bookmarkStart w:id="28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0B4494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0B4494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2" w:name="_Toc405472918"/>
      <w:bookmarkStart w:id="33" w:name="_Toc512513146"/>
      <w:r w:rsidRPr="00D97BB3">
        <w:t>Definitions</w:t>
      </w:r>
      <w:bookmarkEnd w:id="32"/>
      <w:bookmarkEnd w:id="33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234DE1" w:rsidRDefault="00A64FEC" w:rsidP="000C1987">
      <w:pPr>
        <w:pStyle w:val="SH3"/>
        <w:rPr>
          <w:lang w:val="en-US"/>
        </w:rPr>
      </w:pPr>
      <w:bookmarkStart w:id="34" w:name="_Ref402530810"/>
      <w:proofErr w:type="gramStart"/>
      <w:r>
        <w:rPr>
          <w:b/>
          <w:i/>
          <w:lang w:val="en-US"/>
        </w:rPr>
        <w:t>a</w:t>
      </w:r>
      <w:r w:rsidR="00234DE1" w:rsidRPr="00EF4D8E">
        <w:rPr>
          <w:b/>
          <w:i/>
          <w:lang w:val="en-US"/>
        </w:rPr>
        <w:t>rteries</w:t>
      </w:r>
      <w:proofErr w:type="gramEnd"/>
      <w:r w:rsidR="00234DE1" w:rsidRPr="00EF4D8E">
        <w:rPr>
          <w:b/>
          <w:i/>
          <w:lang w:val="en-US"/>
        </w:rPr>
        <w:t xml:space="preserve"> </w:t>
      </w:r>
      <w:r w:rsidR="00234DE1">
        <w:rPr>
          <w:b/>
          <w:i/>
          <w:lang w:val="en-US"/>
        </w:rPr>
        <w:t xml:space="preserve">supplying the </w:t>
      </w:r>
      <w:r w:rsidR="00234DE1" w:rsidRPr="00EF4D8E">
        <w:rPr>
          <w:b/>
          <w:i/>
          <w:lang w:val="en-US"/>
        </w:rPr>
        <w:t>testis</w:t>
      </w:r>
      <w:r w:rsidR="00234DE1">
        <w:rPr>
          <w:lang w:val="en-US"/>
        </w:rPr>
        <w:t xml:space="preserve"> means the arteries or their branches that supply the testis. </w:t>
      </w:r>
    </w:p>
    <w:p w:rsidR="00234DE1" w:rsidRPr="00234DE1" w:rsidRDefault="00234DE1" w:rsidP="000C1987">
      <w:pPr>
        <w:pStyle w:val="ScheduleNote"/>
        <w:spacing w:after="60"/>
        <w:rPr>
          <w:lang w:val="en-US"/>
        </w:rPr>
      </w:pPr>
      <w:r w:rsidRPr="000C1987">
        <w:t>Note: Arteries</w:t>
      </w:r>
      <w:r w:rsidRPr="00234DE1">
        <w:rPr>
          <w:lang w:val="en-US"/>
        </w:rPr>
        <w:t xml:space="preserve"> supplying the testis include, but are not limited to: </w:t>
      </w:r>
    </w:p>
    <w:p w:rsidR="00976A51" w:rsidRDefault="00976A51" w:rsidP="00982261">
      <w:pPr>
        <w:pStyle w:val="ListParagraph"/>
        <w:numPr>
          <w:ilvl w:val="0"/>
          <w:numId w:val="34"/>
        </w:numPr>
        <w:ind w:left="1701" w:hanging="425"/>
        <w:rPr>
          <w:sz w:val="18"/>
          <w:szCs w:val="18"/>
        </w:rPr>
      </w:pPr>
      <w:r w:rsidRPr="00976A51">
        <w:rPr>
          <w:sz w:val="18"/>
          <w:szCs w:val="18"/>
        </w:rPr>
        <w:t>cremasteric artery;</w:t>
      </w:r>
    </w:p>
    <w:p w:rsidR="00234DE1" w:rsidRPr="00234DE1" w:rsidRDefault="00234DE1" w:rsidP="00982261">
      <w:pPr>
        <w:pStyle w:val="ListParagraph"/>
        <w:numPr>
          <w:ilvl w:val="0"/>
          <w:numId w:val="34"/>
        </w:numPr>
        <w:ind w:left="1701" w:hanging="425"/>
        <w:rPr>
          <w:sz w:val="18"/>
          <w:szCs w:val="18"/>
        </w:rPr>
      </w:pPr>
      <w:r w:rsidRPr="00234DE1">
        <w:rPr>
          <w:sz w:val="18"/>
          <w:szCs w:val="18"/>
        </w:rPr>
        <w:t xml:space="preserve">deferential artery; </w:t>
      </w:r>
    </w:p>
    <w:p w:rsidR="00234DE1" w:rsidRPr="00234DE1" w:rsidRDefault="00234DE1" w:rsidP="00982261">
      <w:pPr>
        <w:pStyle w:val="ListParagraph"/>
        <w:numPr>
          <w:ilvl w:val="0"/>
          <w:numId w:val="34"/>
        </w:numPr>
        <w:ind w:left="1701" w:hanging="425"/>
        <w:rPr>
          <w:sz w:val="18"/>
          <w:szCs w:val="18"/>
        </w:rPr>
      </w:pPr>
      <w:r w:rsidRPr="00234DE1">
        <w:rPr>
          <w:sz w:val="18"/>
          <w:szCs w:val="18"/>
        </w:rPr>
        <w:t xml:space="preserve">external pudendal artery; and </w:t>
      </w:r>
    </w:p>
    <w:p w:rsidR="00234DE1" w:rsidRPr="00234DE1" w:rsidRDefault="00234DE1" w:rsidP="00982261">
      <w:pPr>
        <w:pStyle w:val="ListParagraph"/>
        <w:numPr>
          <w:ilvl w:val="0"/>
          <w:numId w:val="34"/>
        </w:numPr>
        <w:ind w:left="1701" w:hanging="425"/>
        <w:rPr>
          <w:b/>
          <w:sz w:val="18"/>
          <w:szCs w:val="18"/>
        </w:rPr>
      </w:pPr>
      <w:proofErr w:type="gramStart"/>
      <w:r w:rsidRPr="00234DE1">
        <w:rPr>
          <w:sz w:val="18"/>
          <w:szCs w:val="18"/>
        </w:rPr>
        <w:t>testicular</w:t>
      </w:r>
      <w:proofErr w:type="gramEnd"/>
      <w:r w:rsidRPr="00234DE1">
        <w:rPr>
          <w:sz w:val="18"/>
          <w:szCs w:val="18"/>
        </w:rPr>
        <w:t xml:space="preserve"> artery.</w:t>
      </w:r>
    </w:p>
    <w:p w:rsidR="005748DC" w:rsidRDefault="007B52F6" w:rsidP="000C1987">
      <w:pPr>
        <w:pStyle w:val="SH3"/>
      </w:pPr>
      <w:r w:rsidRPr="005748DC">
        <w:rPr>
          <w:b/>
          <w:i/>
          <w:lang w:val="en-US"/>
        </w:rPr>
        <w:tab/>
      </w:r>
      <w:r w:rsidR="005748DC" w:rsidRPr="005748DC">
        <w:rPr>
          <w:b/>
          <w:i/>
          <w:lang w:val="en-US"/>
        </w:rPr>
        <w:t xml:space="preserve">increased intra-abdominal pressure as specified </w:t>
      </w:r>
      <w:r w:rsidR="005748DC" w:rsidRPr="005748DC">
        <w:rPr>
          <w:lang w:val="en-US"/>
        </w:rPr>
        <w:t>means acute elevation of</w:t>
      </w:r>
      <w:r w:rsidR="005748DC" w:rsidRPr="005748DC">
        <w:t xml:space="preserve"> pressure within the lower abdominal region due to various activities, including, but not limited to:</w:t>
      </w:r>
    </w:p>
    <w:p w:rsidR="005748DC" w:rsidRPr="005748DC" w:rsidRDefault="005748DC" w:rsidP="000C1987">
      <w:pPr>
        <w:pStyle w:val="SH4"/>
        <w:ind w:left="1418"/>
      </w:pPr>
      <w:r w:rsidRPr="005748DC">
        <w:tab/>
        <w:t>lifting heavy weights;</w:t>
      </w:r>
    </w:p>
    <w:p w:rsidR="005748DC" w:rsidRDefault="005748DC" w:rsidP="000C1987">
      <w:pPr>
        <w:pStyle w:val="SH4"/>
        <w:ind w:left="1418"/>
      </w:pPr>
      <w:r w:rsidRPr="005748DC">
        <w:tab/>
      </w:r>
      <w:r w:rsidRPr="00483C68">
        <w:t xml:space="preserve">physical trauma to the </w:t>
      </w:r>
      <w:r>
        <w:t xml:space="preserve">lower </w:t>
      </w:r>
      <w:r w:rsidRPr="00483C68">
        <w:t>abdomen involving a direct blow to the lower abdominal region</w:t>
      </w:r>
      <w:r w:rsidRPr="005748DC">
        <w:t>;</w:t>
      </w:r>
    </w:p>
    <w:p w:rsidR="005748DC" w:rsidRDefault="005748DC" w:rsidP="000C1987">
      <w:pPr>
        <w:pStyle w:val="SH4"/>
        <w:ind w:left="1418"/>
      </w:pPr>
      <w:r w:rsidRPr="00483C68">
        <w:t>straining at stool due to constipation; and</w:t>
      </w:r>
    </w:p>
    <w:p w:rsidR="005748DC" w:rsidRPr="005748DC" w:rsidRDefault="005748DC" w:rsidP="000C1987">
      <w:pPr>
        <w:pStyle w:val="SH4"/>
        <w:ind w:left="1418"/>
      </w:pPr>
      <w:proofErr w:type="gramStart"/>
      <w:r w:rsidRPr="00483C68">
        <w:t>using</w:t>
      </w:r>
      <w:proofErr w:type="gramEnd"/>
      <w:r w:rsidRPr="00483C68">
        <w:t xml:space="preserve"> manual tools requiring excessive force such as pulling forcefully on a large spanner or socket wrench.</w:t>
      </w:r>
    </w:p>
    <w:p w:rsidR="007C2476" w:rsidRDefault="007C2476" w:rsidP="000C1987">
      <w:pPr>
        <w:pStyle w:val="SH3"/>
      </w:pPr>
      <w:r w:rsidRPr="00A74201">
        <w:rPr>
          <w:b/>
          <w:i/>
        </w:rPr>
        <w:t>MET</w:t>
      </w:r>
      <w:r w:rsidRPr="00E11177">
        <w:t xml:space="preserve"> means a unit of measurement of the level of physical exertion.  1 MET = 3.5 ml of oxygen/kg of body weight per minute, or 1.0 kcal/kg of body weight per hour, or resting metabolic rate.</w:t>
      </w:r>
    </w:p>
    <w:p w:rsidR="00885EAB" w:rsidRDefault="00885EAB" w:rsidP="000C1987">
      <w:pPr>
        <w:pStyle w:val="SH3"/>
      </w:pPr>
      <w:r w:rsidRPr="00982261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0C1987">
        <w:rPr>
          <w:i/>
        </w:rPr>
        <w:t>Military Rehabilitation and Compensation Act 2004</w:t>
      </w:r>
      <w:r w:rsidRPr="009C404D">
        <w:t>.</w:t>
      </w:r>
    </w:p>
    <w:p w:rsidR="004F1F86" w:rsidRPr="00181578" w:rsidRDefault="00A64FEC" w:rsidP="000C1987">
      <w:pPr>
        <w:pStyle w:val="SH3"/>
      </w:pPr>
      <w:proofErr w:type="gramStart"/>
      <w:r>
        <w:rPr>
          <w:b/>
          <w:i/>
        </w:rPr>
        <w:t>o</w:t>
      </w:r>
      <w:r w:rsidR="004F1F86" w:rsidRPr="00483C68">
        <w:rPr>
          <w:b/>
          <w:i/>
        </w:rPr>
        <w:t>cclusion</w:t>
      </w:r>
      <w:proofErr w:type="gramEnd"/>
      <w:r w:rsidR="004F1F86" w:rsidRPr="00483C68">
        <w:rPr>
          <w:b/>
          <w:i/>
        </w:rPr>
        <w:t xml:space="preserve"> or ste</w:t>
      </w:r>
      <w:r w:rsidR="004F1F86" w:rsidRPr="00FA599B">
        <w:rPr>
          <w:b/>
          <w:i/>
        </w:rPr>
        <w:t>nosis</w:t>
      </w:r>
      <w:r w:rsidR="004F1F86" w:rsidRPr="00FA599B">
        <w:rPr>
          <w:b/>
        </w:rPr>
        <w:t xml:space="preserve"> </w:t>
      </w:r>
      <w:r w:rsidR="004F1F86" w:rsidRPr="00FA599B">
        <w:t xml:space="preserve">means </w:t>
      </w:r>
      <w:r w:rsidR="004F1F86">
        <w:t xml:space="preserve">complete or partial </w:t>
      </w:r>
      <w:r w:rsidR="004F1F86" w:rsidRPr="00FA599B">
        <w:t xml:space="preserve">obstruction to the blood flow </w:t>
      </w:r>
      <w:r w:rsidR="004F1F86">
        <w:t>of a blood vessel</w:t>
      </w:r>
      <w:r w:rsidR="004F7DC4">
        <w:t>,</w:t>
      </w:r>
      <w:r w:rsidR="00234DE1">
        <w:t xml:space="preserve"> which</w:t>
      </w:r>
      <w:r w:rsidR="004F1F86">
        <w:t xml:space="preserve"> may be </w:t>
      </w:r>
      <w:r w:rsidR="004F1F86" w:rsidRPr="00FA599B">
        <w:t xml:space="preserve">due to a </w:t>
      </w:r>
      <w:r w:rsidR="004F1F86">
        <w:t xml:space="preserve">number of causes including, but not limited to, </w:t>
      </w:r>
      <w:r w:rsidR="004F1F86" w:rsidRPr="00FA599B">
        <w:t>thrombosis</w:t>
      </w:r>
      <w:r w:rsidR="004F1F86">
        <w:t>, tumour invasion</w:t>
      </w:r>
      <w:r w:rsidR="004F1F86" w:rsidRPr="00FA599B">
        <w:t xml:space="preserve"> or external compression of a vein.</w:t>
      </w:r>
    </w:p>
    <w:p w:rsidR="004F1F86" w:rsidRPr="00F82EAC" w:rsidRDefault="004F1F86" w:rsidP="00876154">
      <w:pPr>
        <w:pStyle w:val="ScheduleNote"/>
        <w:spacing w:after="60"/>
        <w:ind w:left="1276" w:hanging="425"/>
      </w:pPr>
      <w:r w:rsidRPr="000C1987">
        <w:rPr>
          <w:rStyle w:val="ScheduleNoteChar"/>
        </w:rPr>
        <w:t>Note: External compression of a vein may be due to a disease process or impingement by an anatomical structure</w:t>
      </w:r>
      <w:r w:rsidRPr="00F82EAC">
        <w:t>, including, but not limited to:</w:t>
      </w:r>
    </w:p>
    <w:p w:rsidR="004F1F86" w:rsidRPr="00F82EAC" w:rsidRDefault="004F1F86" w:rsidP="00982261">
      <w:pPr>
        <w:pStyle w:val="ListParagraph"/>
        <w:numPr>
          <w:ilvl w:val="0"/>
          <w:numId w:val="22"/>
        </w:numPr>
        <w:tabs>
          <w:tab w:val="num" w:pos="1701"/>
        </w:tabs>
        <w:ind w:left="1701" w:hanging="425"/>
        <w:jc w:val="both"/>
        <w:rPr>
          <w:sz w:val="18"/>
          <w:szCs w:val="18"/>
        </w:rPr>
      </w:pPr>
      <w:r w:rsidRPr="00F82EAC">
        <w:rPr>
          <w:sz w:val="18"/>
          <w:szCs w:val="18"/>
        </w:rPr>
        <w:t>cyst;</w:t>
      </w:r>
    </w:p>
    <w:p w:rsidR="004F1F86" w:rsidRDefault="004F1F86" w:rsidP="00982261">
      <w:pPr>
        <w:pStyle w:val="ListParagraph"/>
        <w:numPr>
          <w:ilvl w:val="0"/>
          <w:numId w:val="22"/>
        </w:numPr>
        <w:tabs>
          <w:tab w:val="num" w:pos="1701"/>
        </w:tabs>
        <w:ind w:left="1701" w:hanging="425"/>
        <w:jc w:val="both"/>
        <w:rPr>
          <w:sz w:val="18"/>
          <w:szCs w:val="18"/>
        </w:rPr>
      </w:pPr>
      <w:r>
        <w:rPr>
          <w:sz w:val="18"/>
          <w:szCs w:val="18"/>
        </w:rPr>
        <w:t>left renal vein entrapment syndrome</w:t>
      </w:r>
      <w:r w:rsidRPr="00F82EAC">
        <w:rPr>
          <w:sz w:val="18"/>
          <w:szCs w:val="18"/>
        </w:rPr>
        <w:t xml:space="preserve"> (</w:t>
      </w:r>
      <w:r>
        <w:rPr>
          <w:sz w:val="18"/>
          <w:szCs w:val="18"/>
        </w:rPr>
        <w:t>"nutcracker" syndrome</w:t>
      </w:r>
      <w:r w:rsidRPr="00F82EAC">
        <w:rPr>
          <w:sz w:val="18"/>
          <w:szCs w:val="18"/>
        </w:rPr>
        <w:t>);</w:t>
      </w:r>
    </w:p>
    <w:p w:rsidR="004F1F86" w:rsidRPr="00F82EAC" w:rsidRDefault="004F1F86" w:rsidP="00982261">
      <w:pPr>
        <w:pStyle w:val="ListParagraph"/>
        <w:numPr>
          <w:ilvl w:val="0"/>
          <w:numId w:val="22"/>
        </w:numPr>
        <w:tabs>
          <w:tab w:val="num" w:pos="1701"/>
        </w:tabs>
        <w:ind w:left="1701" w:hanging="425"/>
        <w:jc w:val="both"/>
        <w:rPr>
          <w:sz w:val="18"/>
          <w:szCs w:val="18"/>
        </w:rPr>
      </w:pPr>
      <w:r w:rsidRPr="00F82EAC">
        <w:rPr>
          <w:sz w:val="18"/>
          <w:szCs w:val="18"/>
        </w:rPr>
        <w:t>neoplasm;</w:t>
      </w:r>
    </w:p>
    <w:p w:rsidR="004F1F86" w:rsidRPr="00F82EAC" w:rsidRDefault="004F1F86" w:rsidP="00982261">
      <w:pPr>
        <w:pStyle w:val="ListParagraph"/>
        <w:numPr>
          <w:ilvl w:val="0"/>
          <w:numId w:val="22"/>
        </w:numPr>
        <w:tabs>
          <w:tab w:val="num" w:pos="1701"/>
        </w:tabs>
        <w:ind w:left="1701" w:hanging="425"/>
        <w:rPr>
          <w:sz w:val="18"/>
          <w:szCs w:val="18"/>
          <w:lang w:val="en-US"/>
        </w:rPr>
      </w:pPr>
      <w:r w:rsidRPr="00F82EAC">
        <w:rPr>
          <w:sz w:val="18"/>
          <w:szCs w:val="18"/>
          <w:lang w:val="en-US"/>
        </w:rPr>
        <w:t xml:space="preserve">pseudocyst; </w:t>
      </w:r>
    </w:p>
    <w:p w:rsidR="004F1F86" w:rsidRPr="00F82EAC" w:rsidRDefault="004F1F86" w:rsidP="00982261">
      <w:pPr>
        <w:pStyle w:val="ListParagraph"/>
        <w:numPr>
          <w:ilvl w:val="0"/>
          <w:numId w:val="22"/>
        </w:numPr>
        <w:tabs>
          <w:tab w:val="num" w:pos="1701"/>
        </w:tabs>
        <w:ind w:left="1701" w:hanging="425"/>
        <w:rPr>
          <w:sz w:val="18"/>
          <w:szCs w:val="18"/>
          <w:lang w:val="en-US"/>
        </w:rPr>
      </w:pPr>
      <w:r w:rsidRPr="00F82EAC">
        <w:rPr>
          <w:sz w:val="18"/>
          <w:szCs w:val="18"/>
          <w:lang w:val="en-US"/>
        </w:rPr>
        <w:t>renal arteriovenous malformation;</w:t>
      </w:r>
    </w:p>
    <w:p w:rsidR="004F1F86" w:rsidRPr="0081173F" w:rsidRDefault="004F1F86" w:rsidP="00982261">
      <w:pPr>
        <w:pStyle w:val="ListParagraph"/>
        <w:numPr>
          <w:ilvl w:val="0"/>
          <w:numId w:val="22"/>
        </w:numPr>
        <w:tabs>
          <w:tab w:val="num" w:pos="1701"/>
        </w:tabs>
        <w:ind w:left="1701" w:hanging="425"/>
        <w:jc w:val="both"/>
        <w:rPr>
          <w:b/>
          <w:sz w:val="18"/>
          <w:szCs w:val="18"/>
        </w:rPr>
      </w:pPr>
      <w:r w:rsidRPr="00F82EAC">
        <w:rPr>
          <w:sz w:val="18"/>
          <w:szCs w:val="18"/>
        </w:rPr>
        <w:t xml:space="preserve">retroperitoneal fibrosis; </w:t>
      </w:r>
      <w:r>
        <w:rPr>
          <w:sz w:val="18"/>
          <w:szCs w:val="18"/>
        </w:rPr>
        <w:t>and</w:t>
      </w:r>
    </w:p>
    <w:p w:rsidR="004F1F86" w:rsidRPr="0081173F" w:rsidRDefault="004F1F86" w:rsidP="00982261">
      <w:pPr>
        <w:pStyle w:val="ListParagraph"/>
        <w:numPr>
          <w:ilvl w:val="0"/>
          <w:numId w:val="22"/>
        </w:numPr>
        <w:tabs>
          <w:tab w:val="num" w:pos="1701"/>
        </w:tabs>
        <w:ind w:left="1701" w:hanging="425"/>
        <w:jc w:val="both"/>
        <w:rPr>
          <w:b/>
          <w:sz w:val="18"/>
          <w:szCs w:val="18"/>
        </w:rPr>
      </w:pPr>
      <w:proofErr w:type="gramStart"/>
      <w:r w:rsidRPr="0081173F">
        <w:rPr>
          <w:sz w:val="18"/>
          <w:szCs w:val="18"/>
        </w:rPr>
        <w:t>retroperitoneal</w:t>
      </w:r>
      <w:proofErr w:type="gramEnd"/>
      <w:r w:rsidRPr="0081173F">
        <w:rPr>
          <w:sz w:val="18"/>
          <w:szCs w:val="18"/>
        </w:rPr>
        <w:t xml:space="preserve"> mass.</w:t>
      </w:r>
    </w:p>
    <w:p w:rsidR="0090262E" w:rsidRPr="0090262E" w:rsidRDefault="0090262E" w:rsidP="000C1987">
      <w:pPr>
        <w:pStyle w:val="SH3"/>
      </w:pPr>
      <w:bookmarkStart w:id="35" w:name="_Ref402529607"/>
      <w:bookmarkEnd w:id="34"/>
      <w:r w:rsidRPr="00982261">
        <w:rPr>
          <w:b/>
          <w:i/>
        </w:rPr>
        <w:t>relevant service</w:t>
      </w:r>
      <w:r w:rsidRPr="004F7DC4">
        <w:t xml:space="preserve"> means</w:t>
      </w:r>
      <w:r w:rsidRPr="0090262E">
        <w:t>:</w:t>
      </w:r>
    </w:p>
    <w:p w:rsidR="0090262E" w:rsidRPr="0090262E" w:rsidRDefault="0090262E" w:rsidP="00982261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982261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982261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982261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982261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982261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885EAB" w:rsidRPr="009C404D" w:rsidRDefault="00054930" w:rsidP="000C1987">
      <w:pPr>
        <w:pStyle w:val="SH3"/>
      </w:pPr>
      <w:r>
        <w:rPr>
          <w:b/>
          <w:i/>
        </w:rPr>
        <w:lastRenderedPageBreak/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2261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2261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2261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2261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2261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A74201" w:rsidRPr="00513D05" w:rsidRDefault="00A74201" w:rsidP="000C1987">
      <w:pPr>
        <w:pStyle w:val="SH3"/>
      </w:pPr>
      <w:proofErr w:type="gramStart"/>
      <w:r w:rsidRPr="00A64FEC">
        <w:rPr>
          <w:b/>
          <w:i/>
        </w:rPr>
        <w:t>varicocoele</w:t>
      </w:r>
      <w:proofErr w:type="gramEnd"/>
      <w:r>
        <w:rPr>
          <w:b/>
          <w:i/>
        </w:rPr>
        <w:t xml:space="preserve"> </w:t>
      </w:r>
      <w:r w:rsidRPr="00513D05">
        <w:t>—</w:t>
      </w:r>
      <w:r>
        <w:t xml:space="preserve"> </w:t>
      </w:r>
      <w:r w:rsidRPr="00513D05">
        <w:t>see subsection</w:t>
      </w:r>
      <w:r>
        <w:t xml:space="preserve"> 7(2).</w:t>
      </w:r>
    </w:p>
    <w:p w:rsidR="00225CBD" w:rsidRPr="0019084F" w:rsidRDefault="00885EAB" w:rsidP="000C1987">
      <w:pPr>
        <w:pStyle w:val="SH3"/>
      </w:pPr>
      <w:r w:rsidRPr="00982261">
        <w:rPr>
          <w:b/>
          <w:i/>
        </w:rPr>
        <w:t>VEA</w:t>
      </w:r>
      <w:r w:rsidRPr="0019084F">
        <w:t xml:space="preserve"> means the </w:t>
      </w:r>
      <w:r w:rsidRPr="00982261">
        <w:rPr>
          <w:i/>
        </w:rPr>
        <w:t>Veterans</w:t>
      </w:r>
      <w:r w:rsidR="00ED21FE" w:rsidRPr="00982261">
        <w:rPr>
          <w:i/>
        </w:rPr>
        <w:t>'</w:t>
      </w:r>
      <w:r w:rsidRPr="00982261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4F1F86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F1F86">
            <w:rPr>
              <w:i/>
              <w:sz w:val="18"/>
              <w:szCs w:val="18"/>
            </w:rPr>
            <w:t>Varicocoele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061D23">
            <w:rPr>
              <w:i/>
              <w:sz w:val="18"/>
            </w:rPr>
            <w:t>79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="00C65D09">
            <w:rPr>
              <w:i/>
              <w:sz w:val="18"/>
              <w:szCs w:val="18"/>
            </w:rPr>
            <w:t>2019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A2F72">
            <w:rPr>
              <w:i/>
              <w:noProof/>
              <w:sz w:val="18"/>
            </w:rPr>
            <w:t>8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A2F72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4F1F86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F1F86">
            <w:rPr>
              <w:i/>
              <w:sz w:val="18"/>
              <w:szCs w:val="18"/>
            </w:rPr>
            <w:t>Varicocoele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061D23">
            <w:rPr>
              <w:i/>
              <w:sz w:val="18"/>
            </w:rPr>
            <w:t>79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="00C65D09">
            <w:rPr>
              <w:i/>
              <w:sz w:val="18"/>
              <w:szCs w:val="18"/>
            </w:rPr>
            <w:t>2019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A2F72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A2F72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1F8496C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01A09450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4F57959"/>
    <w:multiLevelType w:val="hybridMultilevel"/>
    <w:tmpl w:val="CAB8AF1A"/>
    <w:lvl w:ilvl="0" w:tplc="F65CB878">
      <w:start w:val="1"/>
      <w:numFmt w:val="lowerLetter"/>
      <w:lvlText w:val="(%1)"/>
      <w:lvlJc w:val="left"/>
      <w:pPr>
        <w:ind w:left="2204" w:hanging="360"/>
      </w:pPr>
      <w:rPr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924" w:hanging="360"/>
      </w:pPr>
    </w:lvl>
    <w:lvl w:ilvl="2" w:tplc="0C09001B" w:tentative="1">
      <w:start w:val="1"/>
      <w:numFmt w:val="lowerRoman"/>
      <w:lvlText w:val="%3."/>
      <w:lvlJc w:val="right"/>
      <w:pPr>
        <w:ind w:left="3644" w:hanging="180"/>
      </w:pPr>
    </w:lvl>
    <w:lvl w:ilvl="3" w:tplc="0C09000F" w:tentative="1">
      <w:start w:val="1"/>
      <w:numFmt w:val="decimal"/>
      <w:lvlText w:val="%4."/>
      <w:lvlJc w:val="left"/>
      <w:pPr>
        <w:ind w:left="4364" w:hanging="360"/>
      </w:pPr>
    </w:lvl>
    <w:lvl w:ilvl="4" w:tplc="0C090019" w:tentative="1">
      <w:start w:val="1"/>
      <w:numFmt w:val="lowerLetter"/>
      <w:lvlText w:val="%5."/>
      <w:lvlJc w:val="left"/>
      <w:pPr>
        <w:ind w:left="5084" w:hanging="360"/>
      </w:pPr>
    </w:lvl>
    <w:lvl w:ilvl="5" w:tplc="0C09001B" w:tentative="1">
      <w:start w:val="1"/>
      <w:numFmt w:val="lowerRoman"/>
      <w:lvlText w:val="%6."/>
      <w:lvlJc w:val="right"/>
      <w:pPr>
        <w:ind w:left="5804" w:hanging="180"/>
      </w:pPr>
    </w:lvl>
    <w:lvl w:ilvl="6" w:tplc="0C09000F" w:tentative="1">
      <w:start w:val="1"/>
      <w:numFmt w:val="decimal"/>
      <w:lvlText w:val="%7."/>
      <w:lvlJc w:val="left"/>
      <w:pPr>
        <w:ind w:left="6524" w:hanging="360"/>
      </w:pPr>
    </w:lvl>
    <w:lvl w:ilvl="7" w:tplc="0C090019" w:tentative="1">
      <w:start w:val="1"/>
      <w:numFmt w:val="lowerLetter"/>
      <w:lvlText w:val="%8."/>
      <w:lvlJc w:val="left"/>
      <w:pPr>
        <w:ind w:left="7244" w:hanging="360"/>
      </w:pPr>
    </w:lvl>
    <w:lvl w:ilvl="8" w:tplc="0C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 w15:restartNumberingAfterBreak="0">
    <w:nsid w:val="57360965"/>
    <w:multiLevelType w:val="hybridMultilevel"/>
    <w:tmpl w:val="CAB8AF1A"/>
    <w:lvl w:ilvl="0" w:tplc="F65CB878">
      <w:start w:val="1"/>
      <w:numFmt w:val="lowerLetter"/>
      <w:lvlText w:val="(%1)"/>
      <w:lvlJc w:val="left"/>
      <w:pPr>
        <w:ind w:left="2204" w:hanging="360"/>
      </w:pPr>
      <w:rPr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924" w:hanging="360"/>
      </w:pPr>
    </w:lvl>
    <w:lvl w:ilvl="2" w:tplc="0C09001B" w:tentative="1">
      <w:start w:val="1"/>
      <w:numFmt w:val="lowerRoman"/>
      <w:lvlText w:val="%3."/>
      <w:lvlJc w:val="right"/>
      <w:pPr>
        <w:ind w:left="3644" w:hanging="180"/>
      </w:pPr>
    </w:lvl>
    <w:lvl w:ilvl="3" w:tplc="0C09000F" w:tentative="1">
      <w:start w:val="1"/>
      <w:numFmt w:val="decimal"/>
      <w:lvlText w:val="%4."/>
      <w:lvlJc w:val="left"/>
      <w:pPr>
        <w:ind w:left="4364" w:hanging="360"/>
      </w:pPr>
    </w:lvl>
    <w:lvl w:ilvl="4" w:tplc="0C090019" w:tentative="1">
      <w:start w:val="1"/>
      <w:numFmt w:val="lowerLetter"/>
      <w:lvlText w:val="%5."/>
      <w:lvlJc w:val="left"/>
      <w:pPr>
        <w:ind w:left="5084" w:hanging="360"/>
      </w:pPr>
    </w:lvl>
    <w:lvl w:ilvl="5" w:tplc="0C09001B" w:tentative="1">
      <w:start w:val="1"/>
      <w:numFmt w:val="lowerRoman"/>
      <w:lvlText w:val="%6."/>
      <w:lvlJc w:val="right"/>
      <w:pPr>
        <w:ind w:left="5804" w:hanging="180"/>
      </w:pPr>
    </w:lvl>
    <w:lvl w:ilvl="6" w:tplc="0C09000F" w:tentative="1">
      <w:start w:val="1"/>
      <w:numFmt w:val="decimal"/>
      <w:lvlText w:val="%7."/>
      <w:lvlJc w:val="left"/>
      <w:pPr>
        <w:ind w:left="6524" w:hanging="360"/>
      </w:pPr>
    </w:lvl>
    <w:lvl w:ilvl="7" w:tplc="0C090019" w:tentative="1">
      <w:start w:val="1"/>
      <w:numFmt w:val="lowerLetter"/>
      <w:lvlText w:val="%8."/>
      <w:lvlJc w:val="left"/>
      <w:pPr>
        <w:ind w:left="7244" w:hanging="360"/>
      </w:pPr>
    </w:lvl>
    <w:lvl w:ilvl="8" w:tplc="0C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577D19B5"/>
    <w:multiLevelType w:val="hybridMultilevel"/>
    <w:tmpl w:val="CAB8AF1A"/>
    <w:lvl w:ilvl="0" w:tplc="F65CB878">
      <w:start w:val="1"/>
      <w:numFmt w:val="lowerLetter"/>
      <w:lvlText w:val="(%1)"/>
      <w:lvlJc w:val="left"/>
      <w:pPr>
        <w:ind w:left="2204" w:hanging="360"/>
      </w:pPr>
      <w:rPr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924" w:hanging="360"/>
      </w:pPr>
    </w:lvl>
    <w:lvl w:ilvl="2" w:tplc="0C09001B" w:tentative="1">
      <w:start w:val="1"/>
      <w:numFmt w:val="lowerRoman"/>
      <w:lvlText w:val="%3."/>
      <w:lvlJc w:val="right"/>
      <w:pPr>
        <w:ind w:left="3644" w:hanging="180"/>
      </w:pPr>
    </w:lvl>
    <w:lvl w:ilvl="3" w:tplc="0C09000F" w:tentative="1">
      <w:start w:val="1"/>
      <w:numFmt w:val="decimal"/>
      <w:lvlText w:val="%4."/>
      <w:lvlJc w:val="left"/>
      <w:pPr>
        <w:ind w:left="4364" w:hanging="360"/>
      </w:pPr>
    </w:lvl>
    <w:lvl w:ilvl="4" w:tplc="0C090019" w:tentative="1">
      <w:start w:val="1"/>
      <w:numFmt w:val="lowerLetter"/>
      <w:lvlText w:val="%5."/>
      <w:lvlJc w:val="left"/>
      <w:pPr>
        <w:ind w:left="5084" w:hanging="360"/>
      </w:pPr>
    </w:lvl>
    <w:lvl w:ilvl="5" w:tplc="0C09001B" w:tentative="1">
      <w:start w:val="1"/>
      <w:numFmt w:val="lowerRoman"/>
      <w:lvlText w:val="%6."/>
      <w:lvlJc w:val="right"/>
      <w:pPr>
        <w:ind w:left="5804" w:hanging="180"/>
      </w:pPr>
    </w:lvl>
    <w:lvl w:ilvl="6" w:tplc="0C09000F" w:tentative="1">
      <w:start w:val="1"/>
      <w:numFmt w:val="decimal"/>
      <w:lvlText w:val="%7."/>
      <w:lvlJc w:val="left"/>
      <w:pPr>
        <w:ind w:left="6524" w:hanging="360"/>
      </w:pPr>
    </w:lvl>
    <w:lvl w:ilvl="7" w:tplc="0C090019" w:tentative="1">
      <w:start w:val="1"/>
      <w:numFmt w:val="lowerLetter"/>
      <w:lvlText w:val="%8."/>
      <w:lvlJc w:val="left"/>
      <w:pPr>
        <w:ind w:left="7244" w:hanging="360"/>
      </w:pPr>
    </w:lvl>
    <w:lvl w:ilvl="8" w:tplc="0C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73991674"/>
    <w:multiLevelType w:val="hybridMultilevel"/>
    <w:tmpl w:val="2A243598"/>
    <w:lvl w:ilvl="0" w:tplc="73AE75D6">
      <w:start w:val="1"/>
      <w:numFmt w:val="lowerLetter"/>
      <w:lvlText w:val="(%1)"/>
      <w:lvlJc w:val="left"/>
      <w:pPr>
        <w:ind w:left="163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2"/>
  </w:num>
  <w:num w:numId="21">
    <w:abstractNumId w:val="10"/>
  </w:num>
  <w:num w:numId="22">
    <w:abstractNumId w:val="19"/>
  </w:num>
  <w:num w:numId="23">
    <w:abstractNumId w:val="14"/>
  </w:num>
  <w:num w:numId="24">
    <w:abstractNumId w:val="16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8"/>
  </w:num>
  <w:num w:numId="35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D23"/>
    <w:rsid w:val="00061E3E"/>
    <w:rsid w:val="00081B7C"/>
    <w:rsid w:val="0008368E"/>
    <w:rsid w:val="00085567"/>
    <w:rsid w:val="0008674F"/>
    <w:rsid w:val="00097FDF"/>
    <w:rsid w:val="000A3D68"/>
    <w:rsid w:val="000A651F"/>
    <w:rsid w:val="000B1350"/>
    <w:rsid w:val="000B4494"/>
    <w:rsid w:val="000B58FA"/>
    <w:rsid w:val="000C1987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4DC1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74D73"/>
    <w:rsid w:val="001809D7"/>
    <w:rsid w:val="00181578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4DE1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862B1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0E0B"/>
    <w:rsid w:val="004E40C0"/>
    <w:rsid w:val="004E7BEC"/>
    <w:rsid w:val="004F1F86"/>
    <w:rsid w:val="004F23E0"/>
    <w:rsid w:val="004F25B2"/>
    <w:rsid w:val="004F7DC4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8DC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21CF"/>
    <w:rsid w:val="006B5789"/>
    <w:rsid w:val="006C0F1F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1CC6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2476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3F"/>
    <w:rsid w:val="008117E9"/>
    <w:rsid w:val="00824498"/>
    <w:rsid w:val="008321ED"/>
    <w:rsid w:val="00832C32"/>
    <w:rsid w:val="00842EA3"/>
    <w:rsid w:val="00850A63"/>
    <w:rsid w:val="00851C4B"/>
    <w:rsid w:val="0085384C"/>
    <w:rsid w:val="00856A31"/>
    <w:rsid w:val="00860BB7"/>
    <w:rsid w:val="0086644D"/>
    <w:rsid w:val="00867ABD"/>
    <w:rsid w:val="00867B37"/>
    <w:rsid w:val="00873081"/>
    <w:rsid w:val="008754D0"/>
    <w:rsid w:val="00876154"/>
    <w:rsid w:val="00877AE3"/>
    <w:rsid w:val="008855C9"/>
    <w:rsid w:val="00885EAB"/>
    <w:rsid w:val="00886456"/>
    <w:rsid w:val="008A2F72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0C80"/>
    <w:rsid w:val="009532A5"/>
    <w:rsid w:val="00956922"/>
    <w:rsid w:val="009612CF"/>
    <w:rsid w:val="009724F4"/>
    <w:rsid w:val="00973808"/>
    <w:rsid w:val="00976A51"/>
    <w:rsid w:val="00982242"/>
    <w:rsid w:val="00982261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0DB5"/>
    <w:rsid w:val="00A515BC"/>
    <w:rsid w:val="00A56C3D"/>
    <w:rsid w:val="00A6070D"/>
    <w:rsid w:val="00A64912"/>
    <w:rsid w:val="00A64BA1"/>
    <w:rsid w:val="00A64FEC"/>
    <w:rsid w:val="00A70A74"/>
    <w:rsid w:val="00A74201"/>
    <w:rsid w:val="00A77E0D"/>
    <w:rsid w:val="00A931D7"/>
    <w:rsid w:val="00AA64D6"/>
    <w:rsid w:val="00AA6D8B"/>
    <w:rsid w:val="00AB74B5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AF389D"/>
    <w:rsid w:val="00B05CF4"/>
    <w:rsid w:val="00B07CDB"/>
    <w:rsid w:val="00B166C8"/>
    <w:rsid w:val="00B16A31"/>
    <w:rsid w:val="00B177FE"/>
    <w:rsid w:val="00B17DFD"/>
    <w:rsid w:val="00B24368"/>
    <w:rsid w:val="00B25A8A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3D4A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453B1"/>
    <w:rsid w:val="00C50043"/>
    <w:rsid w:val="00C5731E"/>
    <w:rsid w:val="00C65D09"/>
    <w:rsid w:val="00C670B0"/>
    <w:rsid w:val="00C738B9"/>
    <w:rsid w:val="00C7573B"/>
    <w:rsid w:val="00C77046"/>
    <w:rsid w:val="00C84FCF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23B6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177"/>
    <w:rsid w:val="00E11E44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0323"/>
    <w:rsid w:val="00F4350D"/>
    <w:rsid w:val="00F567F7"/>
    <w:rsid w:val="00F5723F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57C9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0B4494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0C1987"/>
    <w:pPr>
      <w:numPr>
        <w:ilvl w:val="2"/>
        <w:numId w:val="5"/>
      </w:numPr>
      <w:spacing w:before="100" w:after="100"/>
      <w:ind w:left="851" w:firstLine="0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C84FCF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C1987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4F1F86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character" w:styleId="SubtleEmphasis">
    <w:name w:val="Subtle Emphasis"/>
    <w:basedOn w:val="DefaultParagraphFont"/>
    <w:uiPriority w:val="2"/>
    <w:qFormat/>
    <w:rsid w:val="00C65D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1503</Words>
  <Characters>8571</Characters>
  <Application>Microsoft Office Word</Application>
  <DocSecurity>0</DocSecurity>
  <PresentationFormat/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2019-07-14T04:14:00Z</dcterms:created>
  <dcterms:modified xsi:type="dcterms:W3CDTF">2019-08-20T04:59:00Z</dcterms:modified>
  <cp:category/>
  <cp:contentStatus/>
  <dc:language/>
  <cp:version/>
</cp:coreProperties>
</file>