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0160FD" w:rsidP="006647B7">
      <w:pPr>
        <w:pStyle w:val="Plainheader"/>
      </w:pPr>
      <w:r>
        <w:t xml:space="preserve">DE QUERVAIN </w:t>
      </w:r>
      <w:proofErr w:type="gramStart"/>
      <w:r>
        <w:t>TENDINOPATHY</w:t>
      </w:r>
      <w:proofErr w:type="gramEnd"/>
      <w:r w:rsidR="00997416">
        <w:br/>
        <w:t xml:space="preserve">(Balance of Probabilities) </w:t>
      </w:r>
    </w:p>
    <w:p w:rsidR="00715914" w:rsidRPr="00024911" w:rsidRDefault="00E55F66" w:rsidP="006647B7">
      <w:pPr>
        <w:pStyle w:val="Plainheader"/>
      </w:pPr>
      <w:r w:rsidRPr="00024911">
        <w:t xml:space="preserve">(No. </w:t>
      </w:r>
      <w:r w:rsidR="00ED1B01">
        <w:t>42</w:t>
      </w:r>
      <w:r w:rsidRPr="00024911">
        <w:t xml:space="preserve"> of</w:t>
      </w:r>
      <w:r w:rsidR="00085567">
        <w:t xml:space="preserve"> </w:t>
      </w:r>
      <w:r w:rsidR="00C179A1">
        <w:t>2019</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693F5A">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C52FA9">
        <w:t>1 March 2019</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C47DCC" w:rsidTr="0034373D">
        <w:tc>
          <w:tcPr>
            <w:tcW w:w="4116" w:type="dxa"/>
          </w:tcPr>
          <w:p w:rsidR="00C47DCC" w:rsidRDefault="00C47DCC"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C47DCC" w:rsidRDefault="00C47DCC" w:rsidP="0034373D">
            <w:pPr>
              <w:pStyle w:val="Plain"/>
            </w:pPr>
          </w:p>
        </w:tc>
      </w:tr>
      <w:tr w:rsidR="00C47DCC" w:rsidTr="0034373D">
        <w:tc>
          <w:tcPr>
            <w:tcW w:w="4116" w:type="dxa"/>
          </w:tcPr>
          <w:p w:rsidR="00C47DCC" w:rsidRDefault="00F10CDA" w:rsidP="0034373D">
            <w:pPr>
              <w:pStyle w:val="Plain"/>
            </w:pPr>
            <w:bookmarkStart w:id="0" w:name="_GoBack"/>
            <w:r>
              <w:rPr>
                <w:noProof/>
              </w:rPr>
              <w:drawing>
                <wp:anchor distT="0" distB="0" distL="114300" distR="114300" simplePos="0" relativeHeight="251659264" behindDoc="1" locked="0" layoutInCell="1" allowOverlap="1" wp14:anchorId="3EF16919" wp14:editId="4E59B47B">
                  <wp:simplePos x="0" y="0"/>
                  <wp:positionH relativeFrom="column">
                    <wp:posOffset>0</wp:posOffset>
                  </wp:positionH>
                  <wp:positionV relativeFrom="paragraph">
                    <wp:posOffset>177165</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C47DCC" w:rsidRDefault="00C47DCC" w:rsidP="0034373D">
            <w:pPr>
              <w:pStyle w:val="Plain"/>
            </w:pPr>
          </w:p>
          <w:p w:rsidR="00C47DCC" w:rsidRPr="007527C1" w:rsidRDefault="00C47DCC" w:rsidP="0034373D">
            <w:pPr>
              <w:pStyle w:val="Plain"/>
            </w:pPr>
            <w:r w:rsidRPr="007527C1">
              <w:t>Professor Nicholas Saunders AO</w:t>
            </w:r>
          </w:p>
          <w:p w:rsidR="00C47DCC" w:rsidRDefault="00C47DCC" w:rsidP="0034373D">
            <w:pPr>
              <w:pStyle w:val="Plain"/>
            </w:pPr>
            <w:r w:rsidRPr="007527C1">
              <w:t>Chairperson</w:t>
            </w:r>
          </w:p>
          <w:p w:rsidR="00C47DCC" w:rsidRDefault="00C47DCC"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3E14DA"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3E14DA">
        <w:rPr>
          <w:noProof/>
        </w:rPr>
        <w:t>1</w:t>
      </w:r>
      <w:r w:rsidR="003E14DA">
        <w:rPr>
          <w:rFonts w:asciiTheme="minorHAnsi" w:eastAsiaTheme="minorEastAsia" w:hAnsiTheme="minorHAnsi" w:cstheme="minorBidi"/>
          <w:noProof/>
          <w:kern w:val="0"/>
          <w:sz w:val="22"/>
          <w:szCs w:val="22"/>
        </w:rPr>
        <w:tab/>
      </w:r>
      <w:r w:rsidR="003E14DA">
        <w:rPr>
          <w:noProof/>
        </w:rPr>
        <w:t>Name</w:t>
      </w:r>
      <w:r w:rsidR="003E14DA">
        <w:rPr>
          <w:noProof/>
        </w:rPr>
        <w:tab/>
      </w:r>
      <w:r w:rsidR="003E14DA">
        <w:rPr>
          <w:noProof/>
        </w:rPr>
        <w:fldChar w:fldCharType="begin"/>
      </w:r>
      <w:r w:rsidR="003E14DA">
        <w:rPr>
          <w:noProof/>
        </w:rPr>
        <w:instrText xml:space="preserve"> PAGEREF _Toc432153670 \h </w:instrText>
      </w:r>
      <w:r w:rsidR="003E14DA">
        <w:rPr>
          <w:noProof/>
        </w:rPr>
      </w:r>
      <w:r w:rsidR="003E14DA">
        <w:rPr>
          <w:noProof/>
        </w:rPr>
        <w:fldChar w:fldCharType="separate"/>
      </w:r>
      <w:r w:rsidR="003E14DA">
        <w:rPr>
          <w:noProof/>
        </w:rPr>
        <w:t>3</w:t>
      </w:r>
      <w:r w:rsidR="003E14DA">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_Toc432153671 \h </w:instrText>
      </w:r>
      <w:r>
        <w:rPr>
          <w:noProof/>
        </w:rPr>
      </w:r>
      <w:r>
        <w:rPr>
          <w:noProof/>
        </w:rPr>
        <w:fldChar w:fldCharType="separate"/>
      </w:r>
      <w:r>
        <w:rPr>
          <w:noProof/>
        </w:rPr>
        <w:t>3</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_Toc432153672 \h </w:instrText>
      </w:r>
      <w:r>
        <w:rPr>
          <w:noProof/>
        </w:rPr>
      </w:r>
      <w:r>
        <w:rPr>
          <w:noProof/>
        </w:rPr>
        <w:fldChar w:fldCharType="separate"/>
      </w:r>
      <w:r>
        <w:rPr>
          <w:noProof/>
        </w:rPr>
        <w:t>3</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_Toc432153673 \h </w:instrText>
      </w:r>
      <w:r>
        <w:rPr>
          <w:noProof/>
        </w:rPr>
      </w:r>
      <w:r>
        <w:rPr>
          <w:noProof/>
        </w:rPr>
        <w:fldChar w:fldCharType="separate"/>
      </w:r>
      <w:r>
        <w:rPr>
          <w:noProof/>
        </w:rPr>
        <w:t>3</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_Toc432153674 \h </w:instrText>
      </w:r>
      <w:r>
        <w:rPr>
          <w:noProof/>
        </w:rPr>
      </w:r>
      <w:r>
        <w:rPr>
          <w:noProof/>
        </w:rPr>
        <w:fldChar w:fldCharType="separate"/>
      </w:r>
      <w:r>
        <w:rPr>
          <w:noProof/>
        </w:rPr>
        <w:t>3</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_Toc432153675 \h </w:instrText>
      </w:r>
      <w:r>
        <w:rPr>
          <w:noProof/>
        </w:rPr>
      </w:r>
      <w:r>
        <w:rPr>
          <w:noProof/>
        </w:rPr>
        <w:fldChar w:fldCharType="separate"/>
      </w:r>
      <w:r>
        <w:rPr>
          <w:noProof/>
        </w:rPr>
        <w:t>3</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_Toc432153676 \h </w:instrText>
      </w:r>
      <w:r>
        <w:rPr>
          <w:noProof/>
        </w:rPr>
      </w:r>
      <w:r>
        <w:rPr>
          <w:noProof/>
        </w:rPr>
        <w:fldChar w:fldCharType="separate"/>
      </w:r>
      <w:r>
        <w:rPr>
          <w:noProof/>
        </w:rPr>
        <w:t>4</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_Toc432153677 \h </w:instrText>
      </w:r>
      <w:r>
        <w:rPr>
          <w:noProof/>
        </w:rPr>
      </w:r>
      <w:r>
        <w:rPr>
          <w:noProof/>
        </w:rPr>
        <w:fldChar w:fldCharType="separate"/>
      </w:r>
      <w:r>
        <w:rPr>
          <w:noProof/>
        </w:rPr>
        <w:t>4</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_Toc432153678 \h </w:instrText>
      </w:r>
      <w:r>
        <w:rPr>
          <w:noProof/>
        </w:rPr>
      </w:r>
      <w:r>
        <w:rPr>
          <w:noProof/>
        </w:rPr>
        <w:fldChar w:fldCharType="separate"/>
      </w:r>
      <w:r>
        <w:rPr>
          <w:noProof/>
        </w:rPr>
        <w:t>4</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_Toc432153679 \h </w:instrText>
      </w:r>
      <w:r>
        <w:rPr>
          <w:noProof/>
        </w:rPr>
      </w:r>
      <w:r>
        <w:rPr>
          <w:noProof/>
        </w:rPr>
        <w:fldChar w:fldCharType="separate"/>
      </w:r>
      <w:r>
        <w:rPr>
          <w:noProof/>
        </w:rPr>
        <w:t>4</w:t>
      </w:r>
      <w:r>
        <w:rPr>
          <w:noProof/>
        </w:rPr>
        <w:fldChar w:fldCharType="end"/>
      </w:r>
    </w:p>
    <w:p w:rsidR="003E14DA" w:rsidRDefault="003E14DA">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_Toc432153680 \h </w:instrText>
      </w:r>
      <w:r>
        <w:rPr>
          <w:noProof/>
        </w:rPr>
      </w:r>
      <w:r>
        <w:rPr>
          <w:noProof/>
        </w:rPr>
        <w:fldChar w:fldCharType="separate"/>
      </w:r>
      <w:r>
        <w:rPr>
          <w:noProof/>
        </w:rPr>
        <w:t>6</w:t>
      </w:r>
      <w:r>
        <w:rPr>
          <w:noProof/>
        </w:rPr>
        <w:fldChar w:fldCharType="end"/>
      </w:r>
    </w:p>
    <w:p w:rsidR="003E14DA" w:rsidRDefault="003E14DA">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_Toc432153681 \h </w:instrText>
      </w:r>
      <w:r>
        <w:rPr>
          <w:noProof/>
        </w:rPr>
      </w:r>
      <w:r>
        <w:rPr>
          <w:noProof/>
        </w:rPr>
        <w:fldChar w:fldCharType="separate"/>
      </w:r>
      <w:r>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452B52">
      <w:pPr>
        <w:pStyle w:val="LV1"/>
      </w:pPr>
      <w:bookmarkStart w:id="2" w:name="_Toc432153670"/>
      <w:r>
        <w:lastRenderedPageBreak/>
        <w:t>Name</w:t>
      </w:r>
      <w:bookmarkEnd w:id="2"/>
    </w:p>
    <w:p w:rsidR="00237471" w:rsidRPr="00F97A62" w:rsidRDefault="00715914" w:rsidP="0061476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0160FD">
        <w:rPr>
          <w:i/>
        </w:rPr>
        <w:t>de Quervain tendinopathy</w:t>
      </w:r>
      <w:r w:rsidR="00E55F66" w:rsidRPr="00F97A62">
        <w:t xml:space="preserve"> </w:t>
      </w:r>
      <w:r w:rsidR="00997416">
        <w:rPr>
          <w:i/>
        </w:rPr>
        <w:t xml:space="preserve">(Balance of Probabilities) </w:t>
      </w:r>
      <w:r w:rsidR="00E55F66" w:rsidRPr="00F97A62">
        <w:t xml:space="preserve">(No. </w:t>
      </w:r>
      <w:r w:rsidR="00ED1B01">
        <w:t>42</w:t>
      </w:r>
      <w:r w:rsidR="00085567">
        <w:t xml:space="preserve"> </w:t>
      </w:r>
      <w:r w:rsidR="00E55F66" w:rsidRPr="00F97A62">
        <w:t>of</w:t>
      </w:r>
      <w:r w:rsidR="00085567">
        <w:t xml:space="preserve"> </w:t>
      </w:r>
      <w:r w:rsidR="00C179A1">
        <w:t>2019</w:t>
      </w:r>
      <w:r w:rsidR="00E55F66" w:rsidRPr="00F97A62">
        <w:t>)</w:t>
      </w:r>
      <w:r w:rsidRPr="00F97A62">
        <w:t>.</w:t>
      </w:r>
    </w:p>
    <w:p w:rsidR="00F67B67" w:rsidRPr="00684C0E" w:rsidRDefault="00F67B67" w:rsidP="00452B52">
      <w:pPr>
        <w:pStyle w:val="LV1"/>
      </w:pPr>
      <w:bookmarkStart w:id="4" w:name="_Toc432153671"/>
      <w:r w:rsidRPr="00684C0E">
        <w:t>Commencement</w:t>
      </w:r>
      <w:bookmarkEnd w:id="4"/>
    </w:p>
    <w:p w:rsidR="00F67B67" w:rsidRPr="007527C1" w:rsidRDefault="007527C1" w:rsidP="0061476C">
      <w:pPr>
        <w:pStyle w:val="PlainIndent"/>
      </w:pPr>
      <w:r w:rsidRPr="007527C1">
        <w:tab/>
      </w:r>
      <w:r w:rsidR="00F67B67" w:rsidRPr="007527C1">
        <w:t xml:space="preserve">This instrument commences on </w:t>
      </w:r>
      <w:r w:rsidR="00ED1B01">
        <w:t>25 March 2019</w:t>
      </w:r>
      <w:r w:rsidR="00F67B67" w:rsidRPr="007527C1">
        <w:t>.</w:t>
      </w:r>
    </w:p>
    <w:p w:rsidR="00F67B67" w:rsidRPr="00684C0E" w:rsidRDefault="00F67B67" w:rsidP="00452B52">
      <w:pPr>
        <w:pStyle w:val="LV1"/>
      </w:pPr>
      <w:bookmarkStart w:id="5" w:name="_Toc432153672"/>
      <w:r w:rsidRPr="00684C0E">
        <w:t>Authority</w:t>
      </w:r>
      <w:bookmarkEnd w:id="5"/>
    </w:p>
    <w:p w:rsidR="00F67B67" w:rsidRPr="007527C1" w:rsidRDefault="00F67B67" w:rsidP="0061476C">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693F5A">
        <w:rPr>
          <w:i/>
        </w:rPr>
        <w:t>'</w:t>
      </w:r>
      <w:r w:rsidRPr="007527C1">
        <w:rPr>
          <w:i/>
        </w:rPr>
        <w:t xml:space="preserve"> Entitlements Act 1986</w:t>
      </w:r>
      <w:r w:rsidRPr="007527C1">
        <w:t>.</w:t>
      </w:r>
    </w:p>
    <w:p w:rsidR="007C7DEE" w:rsidRPr="00684C0E" w:rsidRDefault="007C7DEE" w:rsidP="00452B52">
      <w:pPr>
        <w:pStyle w:val="LV1"/>
      </w:pPr>
      <w:bookmarkStart w:id="6" w:name="_Toc432153673"/>
      <w:r w:rsidRPr="00684C0E">
        <w:t>Application</w:t>
      </w:r>
      <w:bookmarkEnd w:id="6"/>
    </w:p>
    <w:p w:rsidR="007C7DEE" w:rsidRPr="007527C1" w:rsidRDefault="007C7DEE" w:rsidP="0061476C">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452B52">
      <w:pPr>
        <w:pStyle w:val="LV1"/>
      </w:pPr>
      <w:bookmarkStart w:id="7" w:name="_Ref410129949"/>
      <w:bookmarkStart w:id="8" w:name="_Toc432153674"/>
      <w:r w:rsidRPr="00684C0E">
        <w:t>Definitions</w:t>
      </w:r>
      <w:bookmarkEnd w:id="7"/>
      <w:bookmarkEnd w:id="8"/>
    </w:p>
    <w:p w:rsidR="00237471" w:rsidRPr="00D5620B" w:rsidRDefault="007142FB" w:rsidP="0061476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452B52">
      <w:pPr>
        <w:pStyle w:val="LV1"/>
      </w:pPr>
      <w:bookmarkStart w:id="9" w:name="_Ref409687573"/>
      <w:bookmarkStart w:id="10" w:name="_Ref409687579"/>
      <w:bookmarkStart w:id="11" w:name="_Ref409687725"/>
      <w:bookmarkStart w:id="12" w:name="_Toc432153675"/>
      <w:r w:rsidRPr="00684C0E">
        <w:t>Kind of injury, disease or death</w:t>
      </w:r>
      <w:r w:rsidR="00215860" w:rsidRPr="00684C0E">
        <w:t xml:space="preserve"> to which this Statement of Principles relates</w:t>
      </w:r>
      <w:bookmarkEnd w:id="9"/>
      <w:bookmarkEnd w:id="10"/>
      <w:bookmarkEnd w:id="11"/>
      <w:bookmarkEnd w:id="12"/>
    </w:p>
    <w:p w:rsidR="007C7DEE" w:rsidRPr="00D5620B" w:rsidRDefault="007C7DEE" w:rsidP="0061476C">
      <w:pPr>
        <w:pStyle w:val="LV2"/>
      </w:pPr>
      <w:bookmarkStart w:id="13" w:name="_Ref403053584"/>
      <w:r w:rsidRPr="00D5620B">
        <w:t xml:space="preserve">This Statement of Principles is </w:t>
      </w:r>
      <w:r w:rsidRPr="002F77A1">
        <w:t xml:space="preserve">about </w:t>
      </w:r>
      <w:r w:rsidR="000160FD">
        <w:t>de Quervain tendinopathy</w:t>
      </w:r>
      <w:r w:rsidR="00D5620B" w:rsidRPr="002F77A1">
        <w:t xml:space="preserve"> </w:t>
      </w:r>
      <w:r w:rsidRPr="002F77A1">
        <w:t>and death</w:t>
      </w:r>
      <w:r w:rsidRPr="00D5620B">
        <w:t xml:space="preserve"> from</w:t>
      </w:r>
      <w:r w:rsidR="002F77A1">
        <w:t xml:space="preserve"> </w:t>
      </w:r>
      <w:r w:rsidR="000160FD">
        <w:t>de Quervain tendinopathy</w:t>
      </w:r>
      <w:r w:rsidRPr="00D5620B">
        <w:t>.</w:t>
      </w:r>
      <w:bookmarkEnd w:id="13"/>
    </w:p>
    <w:p w:rsidR="00215860" w:rsidRPr="007142FB" w:rsidRDefault="00215860" w:rsidP="0083517B">
      <w:pPr>
        <w:pStyle w:val="LVtext"/>
      </w:pPr>
      <w:r w:rsidRPr="007142FB">
        <w:t>Meaning of</w:t>
      </w:r>
      <w:r w:rsidR="00D60FC8" w:rsidRPr="007142FB">
        <w:t xml:space="preserve"> </w:t>
      </w:r>
      <w:r w:rsidR="000160FD">
        <w:rPr>
          <w:b/>
        </w:rPr>
        <w:t>de Quervain tendinopathy</w:t>
      </w:r>
    </w:p>
    <w:p w:rsidR="000160FD" w:rsidRPr="00237BAF" w:rsidRDefault="000160FD" w:rsidP="000160FD">
      <w:pPr>
        <w:pStyle w:val="LV2"/>
      </w:pPr>
      <w:bookmarkStart w:id="14" w:name="_Ref409598124"/>
      <w:bookmarkStart w:id="15" w:name="_Ref402529683"/>
      <w:r w:rsidRPr="00237BAF">
        <w:t>For the purposes of this Statement of Principles,</w:t>
      </w:r>
      <w:r w:rsidRPr="002F77A1">
        <w:t xml:space="preserve"> </w:t>
      </w:r>
      <w:r>
        <w:t>de Quervain tendinopathy</w:t>
      </w:r>
      <w:bookmarkEnd w:id="14"/>
      <w:r>
        <w:t xml:space="preserve"> </w:t>
      </w:r>
      <w:r w:rsidR="009509CA">
        <w:t xml:space="preserve">means </w:t>
      </w:r>
      <w:r w:rsidRPr="00946BC0">
        <w:t>entrapment of one or both tendons in the first extensor compartment of the radial side of the wrist, producing localised pain and tenderness that is exacerbated by movement of the thumb or wrist.</w:t>
      </w:r>
    </w:p>
    <w:bookmarkEnd w:id="15"/>
    <w:p w:rsidR="000160FD" w:rsidRPr="00237BAF" w:rsidRDefault="000160FD" w:rsidP="000160FD">
      <w:pPr>
        <w:pStyle w:val="LV2"/>
      </w:pPr>
      <w:r w:rsidRPr="00237BAF">
        <w:t xml:space="preserve">While </w:t>
      </w:r>
      <w:r>
        <w:t xml:space="preserve">de Quervain tendinopathy </w:t>
      </w:r>
      <w:r w:rsidRPr="00237BAF">
        <w:t>attracts ICD</w:t>
      </w:r>
      <w:r w:rsidRPr="00237BAF">
        <w:noBreakHyphen/>
        <w:t>10</w:t>
      </w:r>
      <w:r w:rsidRPr="00237BAF">
        <w:noBreakHyphen/>
        <w:t xml:space="preserve">AM </w:t>
      </w:r>
      <w:r w:rsidRPr="00EB2BC4">
        <w:t xml:space="preserve">code </w:t>
      </w:r>
      <w:r>
        <w:t>M65.4</w:t>
      </w:r>
      <w:r w:rsidRPr="00EB2BC4">
        <w:t>,</w:t>
      </w:r>
      <w:r w:rsidRPr="00237BAF">
        <w:t xml:space="preserve"> in applying this Statement of Principles the </w:t>
      </w:r>
      <w:r w:rsidRPr="00D5620B">
        <w:t xml:space="preserve">meaning of </w:t>
      </w:r>
      <w:r>
        <w:t xml:space="preserve">de Quervain tendinopathy </w:t>
      </w:r>
      <w:r w:rsidRPr="00D5620B">
        <w:t>is that</w:t>
      </w:r>
      <w:r w:rsidRPr="00237BAF">
        <w:t xml:space="preserve"> given in subsection (2)</w:t>
      </w:r>
      <w:proofErr w:type="gramStart"/>
      <w:r w:rsidRPr="00237BAF">
        <w:t>.</w:t>
      </w:r>
      <w:proofErr w:type="gramEnd"/>
    </w:p>
    <w:p w:rsidR="000F76FA" w:rsidRPr="0053697E" w:rsidRDefault="00727B4E" w:rsidP="0061476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8F572A" w:rsidRPr="00FA33FB" w:rsidRDefault="00237BAF" w:rsidP="000160FD">
      <w:pPr>
        <w:pStyle w:val="LVtext"/>
        <w:keepNext/>
      </w:pPr>
      <w:r w:rsidRPr="003A5C26">
        <w:lastRenderedPageBreak/>
        <w:t>Death from</w:t>
      </w:r>
      <w:r w:rsidR="008F572A" w:rsidRPr="00237BAF">
        <w:t xml:space="preserve"> </w:t>
      </w:r>
      <w:r w:rsidR="000160FD">
        <w:rPr>
          <w:b/>
        </w:rPr>
        <w:t>de Quervain tendinopathy</w:t>
      </w:r>
    </w:p>
    <w:p w:rsidR="008F572A" w:rsidRPr="00237BAF" w:rsidRDefault="008F572A" w:rsidP="0061476C">
      <w:pPr>
        <w:pStyle w:val="LV2"/>
      </w:pPr>
      <w:r w:rsidRPr="00237BAF">
        <w:t xml:space="preserve">For the purposes of this Statement of </w:t>
      </w:r>
      <w:r w:rsidR="00D5620B">
        <w:t xml:space="preserve">Principles, </w:t>
      </w:r>
      <w:r w:rsidR="000160FD">
        <w:t>de Quervain tendinopathy</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693F5A">
        <w:t>'</w:t>
      </w:r>
      <w:r w:rsidRPr="00D5620B">
        <w:t>s</w:t>
      </w:r>
      <w:r w:rsidR="002F77A1">
        <w:t xml:space="preserve"> </w:t>
      </w:r>
      <w:r w:rsidR="000160FD">
        <w:t>de Quervain tendinopathy</w:t>
      </w:r>
      <w:r w:rsidRPr="00D5620B">
        <w:t>.</w:t>
      </w:r>
    </w:p>
    <w:p w:rsidR="007C7DEE" w:rsidRPr="00046E67" w:rsidRDefault="00046E67" w:rsidP="00C71759">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48486E">
        <w:t>–</w:t>
      </w:r>
      <w:r w:rsidR="00D32F71">
        <w:t xml:space="preserve"> </w:t>
      </w:r>
      <w:r w:rsidR="00885EAB" w:rsidRPr="00046E67">
        <w:t>Dictionary</w:t>
      </w:r>
      <w:r w:rsidR="0048486E">
        <w:t>.</w:t>
      </w:r>
    </w:p>
    <w:p w:rsidR="007C7DEE" w:rsidRPr="00A20CA1" w:rsidRDefault="007C7DEE" w:rsidP="00452B52">
      <w:pPr>
        <w:pStyle w:val="LV1"/>
      </w:pPr>
      <w:bookmarkStart w:id="16" w:name="_Toc432153676"/>
      <w:r w:rsidRPr="00A20CA1">
        <w:t>Basis for determining the factors</w:t>
      </w:r>
      <w:bookmarkEnd w:id="16"/>
    </w:p>
    <w:p w:rsidR="007C7DEE" w:rsidRPr="00237BAF" w:rsidRDefault="007C7DEE" w:rsidP="0061476C">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0160FD">
        <w:t>de Quervain tendinopathy</w:t>
      </w:r>
      <w:r w:rsidR="007A3989">
        <w:t xml:space="preserve"> </w:t>
      </w:r>
      <w:r w:rsidRPr="00D5620B">
        <w:t>and death from</w:t>
      </w:r>
      <w:r w:rsidR="007A3989">
        <w:t xml:space="preserve"> </w:t>
      </w:r>
      <w:r w:rsidR="000160FD">
        <w:t>de Quervain tendinopathy</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C15950">
      <w:pPr>
        <w:pStyle w:val="ScheduleNote"/>
      </w:pPr>
      <w:r>
        <w:t xml:space="preserve">Note: </w:t>
      </w:r>
      <w:r w:rsidR="007C5353" w:rsidRPr="007C5353">
        <w:rPr>
          <w:b/>
          <w:i/>
        </w:rPr>
        <w:t>MRCA</w:t>
      </w:r>
      <w:r w:rsidR="007C5353">
        <w:t xml:space="preserve">, </w:t>
      </w:r>
      <w:r w:rsidR="00C9794D" w:rsidRPr="007C5353">
        <w:rPr>
          <w:b/>
          <w:i/>
        </w:rPr>
        <w:t>r</w:t>
      </w:r>
      <w:r w:rsidR="000E4183" w:rsidRPr="007C5353">
        <w:rPr>
          <w:b/>
          <w:i/>
        </w:rPr>
        <w:t>elevant</w:t>
      </w:r>
      <w:r w:rsidR="000E4183" w:rsidRPr="00FA33FB">
        <w:rPr>
          <w:b/>
          <w:i/>
        </w:rPr>
        <w:t xml:space="preserve"> service</w:t>
      </w:r>
      <w:r w:rsidR="000E4183" w:rsidRPr="00FA33FB">
        <w:t xml:space="preserve"> </w:t>
      </w:r>
      <w:r w:rsidR="007C5353">
        <w:t xml:space="preserve">and </w:t>
      </w:r>
      <w:r w:rsidR="007C5353" w:rsidRPr="007C5353">
        <w:rPr>
          <w:b/>
          <w:i/>
        </w:rPr>
        <w:t>VEA</w:t>
      </w:r>
      <w:r w:rsidR="007C5353">
        <w:t xml:space="preserve"> are</w:t>
      </w:r>
      <w:r w:rsidR="00885EAB" w:rsidRPr="00046E67">
        <w:t xml:space="preserve">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452B52">
      <w:pPr>
        <w:pStyle w:val="LV1"/>
      </w:pPr>
      <w:bookmarkStart w:id="17" w:name="_Ref411946955"/>
      <w:bookmarkStart w:id="18" w:name="_Ref411946997"/>
      <w:bookmarkStart w:id="19" w:name="_Ref412032503"/>
      <w:bookmarkStart w:id="20" w:name="_Toc432153677"/>
      <w:r w:rsidRPr="00301C54">
        <w:t xml:space="preserve">Factors that must </w:t>
      </w:r>
      <w:r w:rsidR="00D32F71">
        <w:t>exist</w:t>
      </w:r>
      <w:bookmarkEnd w:id="17"/>
      <w:bookmarkEnd w:id="18"/>
      <w:bookmarkEnd w:id="19"/>
      <w:bookmarkEnd w:id="20"/>
    </w:p>
    <w:p w:rsidR="007C7DEE" w:rsidRPr="00AA6D8B" w:rsidRDefault="002716E4" w:rsidP="0061476C">
      <w:pPr>
        <w:pStyle w:val="PlainIndent"/>
      </w:pPr>
      <w:bookmarkStart w:id="21"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0160FD">
        <w:t>de Quervain tendinopathy</w:t>
      </w:r>
      <w:r w:rsidR="007A3989">
        <w:t xml:space="preserve"> </w:t>
      </w:r>
      <w:r w:rsidR="007C7DEE" w:rsidRPr="00AA6D8B">
        <w:t xml:space="preserve">or death from </w:t>
      </w:r>
      <w:r w:rsidR="000160FD">
        <w:t>de Quervain tendinopathy</w:t>
      </w:r>
      <w:r w:rsidR="007A3989">
        <w:t xml:space="preserve"> </w:t>
      </w:r>
      <w:r w:rsidR="007C7DEE" w:rsidRPr="00AA6D8B">
        <w:t>is connected with the circumstances of a pers</w:t>
      </w:r>
      <w:r w:rsidR="002A1ECC" w:rsidRPr="00AA6D8B">
        <w:t>on</w:t>
      </w:r>
      <w:r w:rsidR="00693F5A">
        <w:t>'</w:t>
      </w:r>
      <w:r w:rsidR="002A1ECC" w:rsidRPr="00AA6D8B">
        <w:t>s relevant service</w:t>
      </w:r>
      <w:r w:rsidR="007C7DEE" w:rsidRPr="00AA6D8B">
        <w:t>:</w:t>
      </w:r>
      <w:bookmarkEnd w:id="21"/>
    </w:p>
    <w:p w:rsidR="000160FD" w:rsidRPr="008D1B8B" w:rsidRDefault="000160FD" w:rsidP="000160FD">
      <w:pPr>
        <w:pStyle w:val="LV2"/>
        <w:numPr>
          <w:ilvl w:val="1"/>
          <w:numId w:val="4"/>
        </w:numPr>
        <w:ind w:left="1418"/>
      </w:pPr>
      <w:bookmarkStart w:id="22" w:name="_Ref402530260"/>
      <w:bookmarkStart w:id="23" w:name="_Ref409598844"/>
      <w:r w:rsidRPr="00946BC0">
        <w:t>performing repetitive activities or forceful activities using the affected hand or wrist, for a cumulative period of at least 500 hours within the six months before the clinical onset of de Quervain tendinopathy;</w:t>
      </w:r>
    </w:p>
    <w:p w:rsidR="000160FD" w:rsidRPr="00046E67" w:rsidRDefault="000160FD" w:rsidP="000160FD">
      <w:pPr>
        <w:pStyle w:val="Note2"/>
      </w:pPr>
      <w:r>
        <w:t xml:space="preserve">Note:  </w:t>
      </w:r>
      <w:r>
        <w:rPr>
          <w:b/>
          <w:i/>
        </w:rPr>
        <w:t>forceful activities</w:t>
      </w:r>
      <w:r w:rsidRPr="00217913">
        <w:t xml:space="preserve"> and </w:t>
      </w:r>
      <w:r>
        <w:rPr>
          <w:b/>
          <w:i/>
        </w:rPr>
        <w:t>repetitive activities</w:t>
      </w:r>
      <w:r w:rsidRPr="00046E67">
        <w:t xml:space="preserve"> </w:t>
      </w:r>
      <w:r>
        <w:t>are</w:t>
      </w:r>
      <w:r w:rsidRPr="00046E67">
        <w:t xml:space="preserve"> defined in the </w:t>
      </w:r>
      <w:r>
        <w:t>Schedule 1 - </w:t>
      </w:r>
      <w:r w:rsidRPr="002717B2">
        <w:t>Dictionary</w:t>
      </w:r>
      <w:r w:rsidRPr="00046E67">
        <w:t>.</w:t>
      </w:r>
      <w:r w:rsidRPr="00046E67">
        <w:tab/>
      </w:r>
    </w:p>
    <w:p w:rsidR="000160FD" w:rsidRDefault="000160FD" w:rsidP="000160FD">
      <w:pPr>
        <w:pStyle w:val="LV2"/>
        <w:numPr>
          <w:ilvl w:val="1"/>
          <w:numId w:val="4"/>
        </w:numPr>
        <w:ind w:left="1418"/>
      </w:pPr>
      <w:r>
        <w:t>having acute trauma involving the affected wrist or tendon, within the one year before the clinical onset of de Quervain tendinopathy;</w:t>
      </w:r>
    </w:p>
    <w:p w:rsidR="000160FD" w:rsidRDefault="000160FD" w:rsidP="000160FD">
      <w:pPr>
        <w:pStyle w:val="Note2"/>
      </w:pPr>
      <w:r>
        <w:t>Note:  Examples of acute trauma include, but are not limited to, a laceration, puncture, heavy blow, fracture and crush injury.</w:t>
      </w:r>
    </w:p>
    <w:p w:rsidR="000160FD" w:rsidRDefault="000160FD" w:rsidP="000160FD">
      <w:pPr>
        <w:pStyle w:val="LV2"/>
        <w:numPr>
          <w:ilvl w:val="1"/>
          <w:numId w:val="4"/>
        </w:numPr>
        <w:ind w:left="1418"/>
      </w:pPr>
      <w:r w:rsidRPr="00782E55">
        <w:t>being treated with or using growth hormone within the one year before the clinical onset of de Quervain tendinopathy;</w:t>
      </w:r>
    </w:p>
    <w:p w:rsidR="000160FD" w:rsidRDefault="000160FD" w:rsidP="000160FD">
      <w:pPr>
        <w:pStyle w:val="LV2"/>
        <w:numPr>
          <w:ilvl w:val="1"/>
          <w:numId w:val="4"/>
        </w:numPr>
        <w:ind w:left="1418"/>
      </w:pPr>
      <w:r>
        <w:t>being treated with a fluoroquinolone antibiotic within the six months before the clinical onset of de Quervain tendinopathy;</w:t>
      </w:r>
    </w:p>
    <w:p w:rsidR="000160FD" w:rsidRDefault="000160FD" w:rsidP="000160FD">
      <w:pPr>
        <w:pStyle w:val="Note2"/>
      </w:pPr>
      <w:r>
        <w:t>Note:  Examples of fluoroquinolone antibiotics include, but are not limited to, ciprofloxacin, moxifloxacin, norfloxacin and ofloxacin.</w:t>
      </w:r>
    </w:p>
    <w:p w:rsidR="000160FD" w:rsidRDefault="000160FD" w:rsidP="000160FD">
      <w:pPr>
        <w:pStyle w:val="LV2"/>
        <w:numPr>
          <w:ilvl w:val="1"/>
          <w:numId w:val="4"/>
        </w:numPr>
        <w:ind w:left="1418"/>
      </w:pPr>
      <w:r>
        <w:t>being treated with an aromatase inhibitor within the one year before the clinical onset of de Quervain tendinopathy;</w:t>
      </w:r>
    </w:p>
    <w:p w:rsidR="000160FD" w:rsidRDefault="000160FD" w:rsidP="000160FD">
      <w:pPr>
        <w:pStyle w:val="Note2"/>
      </w:pPr>
      <w:r>
        <w:t>Note:  Examples of aromatase inhibitors include, but are not limited to, anastrozole, exemestane and letrozole.</w:t>
      </w:r>
    </w:p>
    <w:p w:rsidR="000160FD" w:rsidRPr="008D1B8B" w:rsidRDefault="000160FD" w:rsidP="000160FD">
      <w:pPr>
        <w:pStyle w:val="LV2"/>
        <w:keepNext/>
        <w:numPr>
          <w:ilvl w:val="1"/>
          <w:numId w:val="4"/>
        </w:numPr>
        <w:ind w:left="1418"/>
      </w:pPr>
      <w:r w:rsidRPr="00946BC0">
        <w:lastRenderedPageBreak/>
        <w:t>performing repetitive activities or forceful activities using the affected hand or wrist, for a cumulative period of at least 500 hours within the six months before the clinical worsening of de Quervain tendinopathy;</w:t>
      </w:r>
    </w:p>
    <w:p w:rsidR="000160FD" w:rsidRPr="00046E67" w:rsidRDefault="000160FD" w:rsidP="000160FD">
      <w:pPr>
        <w:pStyle w:val="Note2"/>
      </w:pPr>
      <w:r>
        <w:t xml:space="preserve">Note:  </w:t>
      </w:r>
      <w:r>
        <w:rPr>
          <w:b/>
          <w:i/>
        </w:rPr>
        <w:t>forceful activities</w:t>
      </w:r>
      <w:r w:rsidRPr="00217913">
        <w:t xml:space="preserve"> and </w:t>
      </w:r>
      <w:r>
        <w:rPr>
          <w:b/>
          <w:i/>
        </w:rPr>
        <w:t>repetitive activities</w:t>
      </w:r>
      <w:r w:rsidRPr="00046E67">
        <w:t xml:space="preserve"> </w:t>
      </w:r>
      <w:r>
        <w:t>are</w:t>
      </w:r>
      <w:r w:rsidRPr="00046E67">
        <w:t xml:space="preserve"> defined in the </w:t>
      </w:r>
      <w:r>
        <w:t>Schedule 1 - </w:t>
      </w:r>
      <w:r w:rsidRPr="002717B2">
        <w:t>Dictionary</w:t>
      </w:r>
      <w:r w:rsidRPr="00046E67">
        <w:t>.</w:t>
      </w:r>
      <w:r w:rsidRPr="00046E67">
        <w:tab/>
      </w:r>
    </w:p>
    <w:p w:rsidR="000160FD" w:rsidRDefault="000160FD" w:rsidP="000160FD">
      <w:pPr>
        <w:pStyle w:val="LV2"/>
        <w:numPr>
          <w:ilvl w:val="1"/>
          <w:numId w:val="4"/>
        </w:numPr>
        <w:ind w:left="1418"/>
      </w:pPr>
      <w:r>
        <w:t>having acute trauma involving the affected wrist or tendon, within the one year before the clinical worsening of de Quervain tendinopathy;</w:t>
      </w:r>
    </w:p>
    <w:p w:rsidR="000160FD" w:rsidRDefault="000160FD" w:rsidP="000160FD">
      <w:pPr>
        <w:pStyle w:val="Note2"/>
      </w:pPr>
      <w:r>
        <w:t>Note:  Examples of acute trauma include, but are not limited to, a laceration, puncture, heavy blow, fracture and crush injury.</w:t>
      </w:r>
    </w:p>
    <w:p w:rsidR="000160FD" w:rsidRDefault="000160FD" w:rsidP="000160FD">
      <w:pPr>
        <w:pStyle w:val="LV2"/>
        <w:numPr>
          <w:ilvl w:val="1"/>
          <w:numId w:val="4"/>
        </w:numPr>
        <w:ind w:left="1418"/>
      </w:pPr>
      <w:r w:rsidRPr="00782E55">
        <w:t>being treated with or using growth hormone within the one year before the clinical worsening of de Quervain tendinopathy;</w:t>
      </w:r>
    </w:p>
    <w:p w:rsidR="000160FD" w:rsidRDefault="000160FD" w:rsidP="000160FD">
      <w:pPr>
        <w:pStyle w:val="LV2"/>
        <w:numPr>
          <w:ilvl w:val="1"/>
          <w:numId w:val="4"/>
        </w:numPr>
        <w:ind w:left="1418"/>
      </w:pPr>
      <w:r>
        <w:t>being treated with a fluoroquinolone antibiotic within the six months before the clinical worsening of de Quervain tendinopathy;</w:t>
      </w:r>
    </w:p>
    <w:p w:rsidR="000160FD" w:rsidRDefault="000160FD" w:rsidP="000160FD">
      <w:pPr>
        <w:pStyle w:val="Note2"/>
      </w:pPr>
      <w:r>
        <w:t>Note:  Examples of fluoroquinolone antibiotics include, but are not limited to, ciprofloxacin, moxifloxacin, norfloxacin and ofloxacin.</w:t>
      </w:r>
    </w:p>
    <w:p w:rsidR="000160FD" w:rsidRDefault="000160FD" w:rsidP="000160FD">
      <w:pPr>
        <w:pStyle w:val="LV2"/>
        <w:numPr>
          <w:ilvl w:val="1"/>
          <w:numId w:val="4"/>
        </w:numPr>
        <w:ind w:left="1418"/>
      </w:pPr>
      <w:r>
        <w:t>being treated with an aromatase inhibitor within the one year before the clinical worsening of de Quervain tendinopathy;</w:t>
      </w:r>
    </w:p>
    <w:p w:rsidR="000160FD" w:rsidRDefault="000160FD" w:rsidP="000160FD">
      <w:pPr>
        <w:pStyle w:val="Note2"/>
      </w:pPr>
      <w:r>
        <w:t>Note:  Examples of aromatase inhibitors include, but are not limited to, anastrozole, exemestane and letrozole.</w:t>
      </w:r>
    </w:p>
    <w:p w:rsidR="007C7DEE" w:rsidRPr="008D1B8B" w:rsidRDefault="007C7DEE" w:rsidP="0061476C">
      <w:pPr>
        <w:pStyle w:val="LV2"/>
      </w:pPr>
      <w:proofErr w:type="gramStart"/>
      <w:r w:rsidRPr="008D1B8B">
        <w:t>inability</w:t>
      </w:r>
      <w:proofErr w:type="gramEnd"/>
      <w:r w:rsidRPr="008D1B8B">
        <w:t xml:space="preserve"> to obtain appropriate clinical management for</w:t>
      </w:r>
      <w:bookmarkEnd w:id="22"/>
      <w:r w:rsidR="007A3989">
        <w:t xml:space="preserve"> </w:t>
      </w:r>
      <w:r w:rsidR="000160FD">
        <w:t>de Quervain tendinopathy</w:t>
      </w:r>
      <w:r w:rsidR="00D5620B" w:rsidRPr="008D1B8B">
        <w:t>.</w:t>
      </w:r>
      <w:bookmarkEnd w:id="23"/>
    </w:p>
    <w:p w:rsidR="000C21A3" w:rsidRPr="00684C0E" w:rsidRDefault="00D32F71" w:rsidP="00452B52">
      <w:pPr>
        <w:pStyle w:val="LV1"/>
      </w:pPr>
      <w:bookmarkStart w:id="24" w:name="_Toc432153678"/>
      <w:bookmarkStart w:id="25" w:name="_Ref402530057"/>
      <w:r>
        <w:t>Relationship to s</w:t>
      </w:r>
      <w:r w:rsidR="000C21A3" w:rsidRPr="00684C0E">
        <w:t>ervice</w:t>
      </w:r>
      <w:bookmarkEnd w:id="24"/>
    </w:p>
    <w:p w:rsidR="00F03C06" w:rsidRPr="00187DE1" w:rsidRDefault="00F03C06" w:rsidP="0061476C">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5"/>
    <w:p w:rsidR="00CF2367" w:rsidRPr="00187DE1" w:rsidRDefault="00F03C06" w:rsidP="0061476C">
      <w:pPr>
        <w:pStyle w:val="LV2"/>
      </w:pPr>
      <w:r w:rsidRPr="00187DE1">
        <w:t>The factor</w:t>
      </w:r>
      <w:r w:rsidR="00FF1D47">
        <w:t>s</w:t>
      </w:r>
      <w:r w:rsidRPr="00187DE1">
        <w:t xml:space="preserve"> set out in </w:t>
      </w:r>
      <w:r w:rsidR="000160FD">
        <w:t>subsection</w:t>
      </w:r>
      <w:r w:rsidR="009056AF">
        <w:t>s</w:t>
      </w:r>
      <w:r w:rsidR="00FF1D47">
        <w:t xml:space="preserve"> 8(</w:t>
      </w:r>
      <w:r w:rsidR="000160FD">
        <w:t>6</w:t>
      </w:r>
      <w:r w:rsidR="00FF1D47">
        <w:t xml:space="preserve">) </w:t>
      </w:r>
      <w:r w:rsidR="000160FD">
        <w:t xml:space="preserve">to 8(11) </w:t>
      </w:r>
      <w:r w:rsidRPr="00187DE1">
        <w:t>appl</w:t>
      </w:r>
      <w:r w:rsidR="00FF1D47">
        <w:t>y</w:t>
      </w:r>
      <w:r w:rsidRPr="00187DE1">
        <w:t xml:space="preserve"> only to material contribution to, or aggravation of, </w:t>
      </w:r>
      <w:r w:rsidR="000160FD">
        <w:t>de Quervain tendinopathy</w:t>
      </w:r>
      <w:r w:rsidR="007A3989">
        <w:t xml:space="preserve"> </w:t>
      </w:r>
      <w:r w:rsidRPr="00187DE1">
        <w:t>where the person</w:t>
      </w:r>
      <w:r w:rsidR="00693F5A">
        <w:t>'</w:t>
      </w:r>
      <w:r w:rsidRPr="00187DE1">
        <w:t xml:space="preserve">s </w:t>
      </w:r>
      <w:r w:rsidR="000160FD">
        <w:t>de Quervain tendinopathy</w:t>
      </w:r>
      <w:r w:rsidR="007A3989">
        <w:t xml:space="preserve"> </w:t>
      </w:r>
      <w:r w:rsidRPr="00187DE1">
        <w:t>was suffered or contracted before or during (but did not arise out of) the person</w:t>
      </w:r>
      <w:r w:rsidR="00693F5A">
        <w:t>'</w:t>
      </w:r>
      <w:r w:rsidRPr="00187DE1">
        <w:t xml:space="preserve">s relevant service. </w:t>
      </w:r>
    </w:p>
    <w:p w:rsidR="00774897" w:rsidRPr="00301C54" w:rsidRDefault="00774897" w:rsidP="00452B52">
      <w:pPr>
        <w:pStyle w:val="LV1"/>
      </w:pPr>
      <w:bookmarkStart w:id="26" w:name="_Toc432153679"/>
      <w:r w:rsidRPr="00301C54">
        <w:t>Factors referring to an injury or disea</w:t>
      </w:r>
      <w:r w:rsidR="008B2204">
        <w:t>se covered by another Statement</w:t>
      </w:r>
      <w:r w:rsidRPr="00301C54">
        <w:t xml:space="preserve"> of Principles</w:t>
      </w:r>
      <w:bookmarkEnd w:id="26"/>
    </w:p>
    <w:p w:rsidR="00F03C06" w:rsidRPr="00E64EE4" w:rsidRDefault="00F03C06" w:rsidP="0061476C">
      <w:pPr>
        <w:pStyle w:val="PlainIndent"/>
      </w:pPr>
      <w:r w:rsidRPr="00E64EE4">
        <w:t>In this Statement of Principles:</w:t>
      </w:r>
    </w:p>
    <w:p w:rsidR="00F03C06" w:rsidRPr="00E64EE4" w:rsidRDefault="00F03C06" w:rsidP="0061476C">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61476C">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61476C">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61476C">
      <w:pPr>
        <w:pStyle w:val="PlainIndent"/>
      </w:pPr>
    </w:p>
    <w:p w:rsidR="00081B7C" w:rsidRPr="00FA33FB" w:rsidRDefault="00081B7C" w:rsidP="0061476C">
      <w:pPr>
        <w:pStyle w:val="PlainIndent"/>
        <w:sectPr w:rsidR="00081B7C" w:rsidRPr="00FA33FB" w:rsidSect="006F2D64">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61476C">
      <w:pPr>
        <w:pStyle w:val="PlainIndent"/>
      </w:pPr>
    </w:p>
    <w:p w:rsidR="00CF2367" w:rsidRPr="00FA33FB" w:rsidRDefault="00CF2367" w:rsidP="002A3436">
      <w:pPr>
        <w:pStyle w:val="SHHeader"/>
      </w:pPr>
      <w:bookmarkStart w:id="27" w:name="opcAmSched"/>
      <w:bookmarkStart w:id="28" w:name="opcCurrentFind"/>
      <w:bookmarkStart w:id="29" w:name="_Toc432153680"/>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7"/>
      <w:bookmarkEnd w:id="28"/>
      <w:bookmarkEnd w:id="29"/>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5</w:t>
      </w:r>
    </w:p>
    <w:p w:rsidR="00BD3334" w:rsidRDefault="00702C42" w:rsidP="00516768">
      <w:pPr>
        <w:pStyle w:val="SH1"/>
      </w:pPr>
      <w:bookmarkStart w:id="30" w:name="_Toc405472918"/>
      <w:bookmarkStart w:id="31" w:name="_Toc432153681"/>
      <w:r w:rsidRPr="00D97BB3">
        <w:t>Definitions</w:t>
      </w:r>
      <w:bookmarkEnd w:id="30"/>
      <w:bookmarkEnd w:id="31"/>
    </w:p>
    <w:p w:rsidR="00702C42" w:rsidRPr="00516768" w:rsidRDefault="00702C42" w:rsidP="0061476C">
      <w:pPr>
        <w:pStyle w:val="SH2"/>
      </w:pPr>
      <w:r w:rsidRPr="00516768">
        <w:t>In this instrument:</w:t>
      </w:r>
    </w:p>
    <w:p w:rsidR="000160FD" w:rsidRPr="00513D05" w:rsidRDefault="000160FD" w:rsidP="000160FD">
      <w:pPr>
        <w:pStyle w:val="SH3"/>
        <w:ind w:left="851" w:hanging="851"/>
      </w:pPr>
      <w:bookmarkStart w:id="32" w:name="_Ref402530810"/>
      <w:proofErr w:type="gramStart"/>
      <w:r>
        <w:rPr>
          <w:b/>
          <w:i/>
        </w:rPr>
        <w:t>de</w:t>
      </w:r>
      <w:proofErr w:type="gramEnd"/>
      <w:r>
        <w:rPr>
          <w:b/>
          <w:i/>
        </w:rPr>
        <w:t xml:space="preserve"> Quervain tendinopathy</w:t>
      </w:r>
      <w:r w:rsidRPr="00513D05">
        <w:t>—see subsection</w:t>
      </w:r>
      <w:r>
        <w:t xml:space="preserve"> 6(2).</w:t>
      </w:r>
    </w:p>
    <w:p w:rsidR="000160FD" w:rsidRPr="00217913" w:rsidRDefault="000160FD" w:rsidP="000160FD">
      <w:pPr>
        <w:pStyle w:val="SH3"/>
        <w:ind w:left="851" w:hanging="851"/>
        <w:rPr>
          <w:lang w:val="en-US"/>
        </w:rPr>
      </w:pPr>
      <w:r w:rsidRPr="00217913">
        <w:rPr>
          <w:b/>
          <w:i/>
          <w:lang w:val="en-US"/>
        </w:rPr>
        <w:t>forceful activities</w:t>
      </w:r>
      <w:r w:rsidRPr="00217913">
        <w:rPr>
          <w:lang w:val="en-US"/>
        </w:rPr>
        <w:t xml:space="preserve"> means tasks requiring the generation of force by the hand which: </w:t>
      </w:r>
    </w:p>
    <w:p w:rsidR="000160FD" w:rsidRPr="00217913" w:rsidRDefault="000160FD" w:rsidP="000160FD">
      <w:pPr>
        <w:pStyle w:val="SH4"/>
        <w:ind w:left="1418"/>
      </w:pPr>
      <w:r w:rsidRPr="00217913">
        <w:t>are equivalent to lifting or carrying loads of more than three kilograms; or</w:t>
      </w:r>
    </w:p>
    <w:p w:rsidR="000160FD" w:rsidRPr="00217913" w:rsidRDefault="000160FD" w:rsidP="000160FD">
      <w:pPr>
        <w:pStyle w:val="SH4"/>
        <w:ind w:left="1418"/>
      </w:pPr>
      <w:proofErr w:type="gramStart"/>
      <w:r w:rsidRPr="00217913">
        <w:t>involve</w:t>
      </w:r>
      <w:proofErr w:type="gramEnd"/>
      <w:r w:rsidRPr="00217913">
        <w:t xml:space="preserve"> lifting or carrying an object in the hand greater than one kilogram in excess of ten times per hour.</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2"/>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3"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Default="00C77046" w:rsidP="00984EE9">
      <w:pPr>
        <w:pStyle w:val="SH4"/>
        <w:ind w:left="1418"/>
      </w:pPr>
      <w:proofErr w:type="gramStart"/>
      <w:r>
        <w:t>peacetime</w:t>
      </w:r>
      <w:proofErr w:type="gramEnd"/>
      <w:r>
        <w:t xml:space="preserve"> service under the MRCA.</w:t>
      </w:r>
    </w:p>
    <w:p w:rsidR="00970E5E" w:rsidRPr="00513D05" w:rsidRDefault="00970E5E" w:rsidP="00C71759">
      <w:pPr>
        <w:pStyle w:val="ScheduleNote"/>
      </w:pPr>
      <w:r>
        <w:t xml:space="preserve">Note: </w:t>
      </w:r>
      <w:r>
        <w:rPr>
          <w:b/>
          <w:i/>
        </w:rPr>
        <w:t>MRCA</w:t>
      </w:r>
      <w:r w:rsidRPr="00DE72B1">
        <w:t xml:space="preserve"> </w:t>
      </w:r>
      <w:r w:rsidRPr="00D3768C">
        <w:t>and</w:t>
      </w:r>
      <w:r w:rsidRPr="00DE72B1">
        <w:t xml:space="preserve"> </w:t>
      </w:r>
      <w:r>
        <w:rPr>
          <w:b/>
          <w:i/>
        </w:rPr>
        <w:t>VEA</w:t>
      </w:r>
      <w:r>
        <w:t xml:space="preserve"> are also</w:t>
      </w:r>
      <w:r w:rsidRPr="00046E67">
        <w:t xml:space="preserve"> defined in the </w:t>
      </w:r>
      <w:r>
        <w:t xml:space="preserve">Schedule 1 - </w:t>
      </w:r>
      <w:r w:rsidRPr="00046E67">
        <w:t>Dictionary.</w:t>
      </w:r>
      <w:r w:rsidRPr="00046E67">
        <w:tab/>
      </w:r>
    </w:p>
    <w:p w:rsidR="000160FD" w:rsidRPr="00217913" w:rsidRDefault="000160FD" w:rsidP="000160FD">
      <w:pPr>
        <w:pStyle w:val="SH3"/>
        <w:ind w:left="851" w:hanging="851"/>
        <w:rPr>
          <w:lang w:val="en-US"/>
        </w:rPr>
      </w:pPr>
      <w:r w:rsidRPr="00217913">
        <w:rPr>
          <w:b/>
          <w:i/>
          <w:lang w:val="en-US"/>
        </w:rPr>
        <w:t>repetitive activities</w:t>
      </w:r>
      <w:r w:rsidRPr="00217913">
        <w:rPr>
          <w:lang w:val="en-US"/>
        </w:rPr>
        <w:t xml:space="preserve"> means:</w:t>
      </w:r>
    </w:p>
    <w:p w:rsidR="000160FD" w:rsidRPr="00217913" w:rsidRDefault="000160FD" w:rsidP="000160FD">
      <w:pPr>
        <w:pStyle w:val="SH4"/>
        <w:ind w:left="1418"/>
      </w:pPr>
      <w:r w:rsidRPr="00217913">
        <w:t xml:space="preserve">bending or twisting of the hand </w:t>
      </w:r>
      <w:r w:rsidR="009509CA">
        <w:t xml:space="preserve">or wrist </w:t>
      </w:r>
      <w:r w:rsidRPr="00217913">
        <w:t>at least 50 times an hour; or</w:t>
      </w:r>
    </w:p>
    <w:p w:rsidR="000160FD" w:rsidRDefault="000160FD" w:rsidP="000160FD">
      <w:pPr>
        <w:pStyle w:val="SH4"/>
        <w:ind w:left="1418"/>
      </w:pPr>
      <w:proofErr w:type="gramStart"/>
      <w:r w:rsidRPr="00217913">
        <w:t>carrying</w:t>
      </w:r>
      <w:proofErr w:type="gramEnd"/>
      <w:r w:rsidRPr="00217913">
        <w:t xml:space="preserve"> out the same or similar movements in the hand </w:t>
      </w:r>
      <w:r w:rsidR="009509CA">
        <w:t xml:space="preserve">or wrist </w:t>
      </w:r>
      <w:r w:rsidRPr="00217913">
        <w:t>at least 50 times an hour.</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3"/>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D64E0A">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D7" w:rsidRPr="00E33C1C" w:rsidRDefault="00035BD7" w:rsidP="00035BD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35BD7" w:rsidRPr="00C01863" w:rsidTr="00CC061E">
      <w:tc>
        <w:tcPr>
          <w:tcW w:w="709" w:type="dxa"/>
          <w:tcBorders>
            <w:top w:val="nil"/>
            <w:left w:val="nil"/>
            <w:bottom w:val="nil"/>
            <w:right w:val="nil"/>
          </w:tcBorders>
          <w:shd w:val="clear" w:color="auto" w:fill="auto"/>
        </w:tcPr>
        <w:p w:rsidR="00035BD7" w:rsidRPr="00C01863" w:rsidRDefault="00035BD7" w:rsidP="00035BD7">
          <w:pPr>
            <w:spacing w:line="0" w:lineRule="atLeast"/>
            <w:rPr>
              <w:sz w:val="18"/>
            </w:rPr>
          </w:pPr>
        </w:p>
      </w:tc>
      <w:tc>
        <w:tcPr>
          <w:tcW w:w="7088" w:type="dxa"/>
          <w:tcBorders>
            <w:top w:val="nil"/>
            <w:left w:val="nil"/>
            <w:bottom w:val="nil"/>
            <w:right w:val="nil"/>
          </w:tcBorders>
          <w:shd w:val="clear" w:color="auto" w:fill="auto"/>
        </w:tcPr>
        <w:p w:rsidR="00035BD7" w:rsidRDefault="00035BD7" w:rsidP="00035BD7">
          <w:pPr>
            <w:spacing w:line="0" w:lineRule="atLeast"/>
            <w:jc w:val="center"/>
            <w:rPr>
              <w:i/>
              <w:sz w:val="18"/>
            </w:rPr>
          </w:pPr>
          <w:r w:rsidRPr="007C5CE0">
            <w:rPr>
              <w:i/>
              <w:sz w:val="18"/>
            </w:rPr>
            <w:t>Statement of Principles concerning</w:t>
          </w:r>
        </w:p>
        <w:p w:rsidR="00035BD7" w:rsidRDefault="000160FD" w:rsidP="00035BD7">
          <w:pPr>
            <w:spacing w:line="0" w:lineRule="atLeast"/>
            <w:jc w:val="center"/>
            <w:rPr>
              <w:i/>
              <w:sz w:val="18"/>
              <w:szCs w:val="18"/>
            </w:rPr>
          </w:pPr>
          <w:r>
            <w:rPr>
              <w:i/>
              <w:sz w:val="18"/>
              <w:szCs w:val="18"/>
            </w:rPr>
            <w:t xml:space="preserve">De Quervain </w:t>
          </w:r>
          <w:r w:rsidR="0051450D">
            <w:rPr>
              <w:i/>
              <w:sz w:val="18"/>
              <w:szCs w:val="18"/>
            </w:rPr>
            <w:t>T</w:t>
          </w:r>
          <w:r>
            <w:rPr>
              <w:i/>
              <w:sz w:val="18"/>
              <w:szCs w:val="18"/>
            </w:rPr>
            <w:t>endinopathy</w:t>
          </w:r>
          <w:r w:rsidR="00035BD7">
            <w:rPr>
              <w:i/>
              <w:sz w:val="18"/>
              <w:szCs w:val="18"/>
            </w:rPr>
            <w:t xml:space="preserve"> (Balance of Probabilities) </w:t>
          </w:r>
          <w:r w:rsidR="00035BD7" w:rsidRPr="007C5CE0">
            <w:rPr>
              <w:i/>
              <w:sz w:val="18"/>
            </w:rPr>
            <w:t xml:space="preserve">(No. </w:t>
          </w:r>
          <w:r w:rsidR="00ED1B01">
            <w:rPr>
              <w:i/>
              <w:sz w:val="18"/>
              <w:szCs w:val="18"/>
            </w:rPr>
            <w:t>42</w:t>
          </w:r>
          <w:r w:rsidR="00035BD7" w:rsidRPr="007C5CE0">
            <w:rPr>
              <w:i/>
              <w:sz w:val="18"/>
              <w:szCs w:val="18"/>
            </w:rPr>
            <w:t xml:space="preserve"> of </w:t>
          </w:r>
          <w:r w:rsidR="00C179A1">
            <w:rPr>
              <w:i/>
              <w:sz w:val="18"/>
              <w:szCs w:val="18"/>
            </w:rPr>
            <w:t>2019</w:t>
          </w:r>
          <w:r w:rsidR="00035BD7" w:rsidRPr="007C5CE0">
            <w:rPr>
              <w:i/>
              <w:sz w:val="18"/>
              <w:szCs w:val="18"/>
            </w:rPr>
            <w:t>)</w:t>
          </w:r>
        </w:p>
        <w:p w:rsidR="00035BD7" w:rsidRPr="007C5CE0" w:rsidRDefault="00035BD7" w:rsidP="00035BD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35BD7" w:rsidRPr="00C01863" w:rsidRDefault="00035BD7" w:rsidP="00035BD7">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6515C">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26515C">
            <w:rPr>
              <w:i/>
              <w:noProof/>
              <w:sz w:val="18"/>
            </w:rPr>
            <w:t>6</w:t>
          </w:r>
          <w:r>
            <w:rPr>
              <w:i/>
              <w:sz w:val="18"/>
            </w:rPr>
            <w:fldChar w:fldCharType="end"/>
          </w:r>
        </w:p>
      </w:tc>
    </w:tr>
  </w:tbl>
  <w:p w:rsidR="00F03C06" w:rsidRPr="00035BD7" w:rsidRDefault="00F03C06" w:rsidP="00035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D7" w:rsidRPr="00E33C1C" w:rsidRDefault="00035BD7" w:rsidP="00035BD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35BD7" w:rsidRPr="00C01863" w:rsidTr="00CC061E">
      <w:tc>
        <w:tcPr>
          <w:tcW w:w="709" w:type="dxa"/>
          <w:tcBorders>
            <w:top w:val="nil"/>
            <w:left w:val="nil"/>
            <w:bottom w:val="nil"/>
            <w:right w:val="nil"/>
          </w:tcBorders>
          <w:shd w:val="clear" w:color="auto" w:fill="auto"/>
        </w:tcPr>
        <w:p w:rsidR="00035BD7" w:rsidRPr="00C01863" w:rsidRDefault="00035BD7" w:rsidP="00035BD7">
          <w:pPr>
            <w:spacing w:line="0" w:lineRule="atLeast"/>
            <w:rPr>
              <w:sz w:val="18"/>
            </w:rPr>
          </w:pPr>
        </w:p>
      </w:tc>
      <w:tc>
        <w:tcPr>
          <w:tcW w:w="7088" w:type="dxa"/>
          <w:tcBorders>
            <w:top w:val="nil"/>
            <w:left w:val="nil"/>
            <w:bottom w:val="nil"/>
            <w:right w:val="nil"/>
          </w:tcBorders>
          <w:shd w:val="clear" w:color="auto" w:fill="auto"/>
        </w:tcPr>
        <w:p w:rsidR="00035BD7" w:rsidRDefault="00035BD7" w:rsidP="00035BD7">
          <w:pPr>
            <w:spacing w:line="0" w:lineRule="atLeast"/>
            <w:jc w:val="center"/>
            <w:rPr>
              <w:i/>
              <w:sz w:val="18"/>
            </w:rPr>
          </w:pPr>
          <w:r w:rsidRPr="007C5CE0">
            <w:rPr>
              <w:i/>
              <w:sz w:val="18"/>
            </w:rPr>
            <w:t>Statement of Principles concerning</w:t>
          </w:r>
        </w:p>
        <w:p w:rsidR="00035BD7" w:rsidRDefault="000160FD" w:rsidP="00035BD7">
          <w:pPr>
            <w:spacing w:line="0" w:lineRule="atLeast"/>
            <w:jc w:val="center"/>
            <w:rPr>
              <w:i/>
              <w:sz w:val="18"/>
              <w:szCs w:val="18"/>
            </w:rPr>
          </w:pPr>
          <w:r>
            <w:rPr>
              <w:i/>
              <w:sz w:val="18"/>
              <w:szCs w:val="18"/>
            </w:rPr>
            <w:t xml:space="preserve">De Quervain </w:t>
          </w:r>
          <w:r w:rsidR="0051450D">
            <w:rPr>
              <w:i/>
              <w:sz w:val="18"/>
              <w:szCs w:val="18"/>
            </w:rPr>
            <w:t>T</w:t>
          </w:r>
          <w:r>
            <w:rPr>
              <w:i/>
              <w:sz w:val="18"/>
              <w:szCs w:val="18"/>
            </w:rPr>
            <w:t>endinopathy</w:t>
          </w:r>
          <w:r w:rsidR="00035BD7">
            <w:rPr>
              <w:i/>
              <w:sz w:val="18"/>
              <w:szCs w:val="18"/>
            </w:rPr>
            <w:t xml:space="preserve"> (Balance of Probabilities) </w:t>
          </w:r>
          <w:r w:rsidR="00035BD7" w:rsidRPr="007C5CE0">
            <w:rPr>
              <w:i/>
              <w:sz w:val="18"/>
            </w:rPr>
            <w:t xml:space="preserve">(No. </w:t>
          </w:r>
          <w:r w:rsidR="00ED1B01">
            <w:rPr>
              <w:i/>
              <w:sz w:val="18"/>
              <w:szCs w:val="18"/>
            </w:rPr>
            <w:t>42</w:t>
          </w:r>
          <w:r w:rsidR="00035BD7" w:rsidRPr="007C5CE0">
            <w:rPr>
              <w:i/>
              <w:sz w:val="18"/>
              <w:szCs w:val="18"/>
            </w:rPr>
            <w:t xml:space="preserve"> of </w:t>
          </w:r>
          <w:r w:rsidR="00C179A1">
            <w:rPr>
              <w:i/>
              <w:sz w:val="18"/>
              <w:szCs w:val="18"/>
            </w:rPr>
            <w:t>2019</w:t>
          </w:r>
          <w:r w:rsidR="00035BD7" w:rsidRPr="007C5CE0">
            <w:rPr>
              <w:i/>
              <w:sz w:val="18"/>
              <w:szCs w:val="18"/>
            </w:rPr>
            <w:t>)</w:t>
          </w:r>
        </w:p>
        <w:p w:rsidR="00035BD7" w:rsidRPr="007C5CE0" w:rsidRDefault="00035BD7" w:rsidP="00035BD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35BD7" w:rsidRPr="00C01863" w:rsidRDefault="00035BD7" w:rsidP="00035BD7">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6515C">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26515C">
            <w:rPr>
              <w:i/>
              <w:noProof/>
              <w:sz w:val="18"/>
            </w:rPr>
            <w:t>6</w:t>
          </w:r>
          <w:r>
            <w:rPr>
              <w:i/>
              <w:sz w:val="18"/>
            </w:rPr>
            <w:fldChar w:fldCharType="end"/>
          </w:r>
        </w:p>
      </w:tc>
    </w:tr>
  </w:tbl>
  <w:p w:rsidR="00035BD7" w:rsidRDefault="00035BD7" w:rsidP="00035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35BD7" w:rsidRDefault="00885EAB" w:rsidP="00035B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35BD7" w:rsidRDefault="00885EAB" w:rsidP="00035B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35BD7" w:rsidRDefault="00885EAB" w:rsidP="00035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35BD7" w:rsidRDefault="00885EAB" w:rsidP="00035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0DC" w:rsidRDefault="007D20DC" w:rsidP="007D20DC">
    <w:pPr>
      <w:rPr>
        <w:sz w:val="20"/>
      </w:rPr>
    </w:pPr>
    <w:r>
      <w:rPr>
        <w:b/>
        <w:noProof/>
        <w:sz w:val="20"/>
      </w:rPr>
      <w:t>Schedule 1</w:t>
    </w:r>
    <w:r>
      <w:rPr>
        <w:sz w:val="20"/>
      </w:rPr>
      <w:t xml:space="preserve"> - </w:t>
    </w:r>
    <w:r>
      <w:rPr>
        <w:noProof/>
        <w:sz w:val="20"/>
      </w:rPr>
      <w:t>Dictionary</w:t>
    </w:r>
  </w:p>
  <w:p w:rsidR="007D20DC" w:rsidRDefault="007D20DC" w:rsidP="007D20DC">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35BD7" w:rsidRDefault="00885EAB" w:rsidP="00035B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35BD7" w:rsidRDefault="00885EAB" w:rsidP="00035B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DB54D10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160FD"/>
    <w:rsid w:val="00024911"/>
    <w:rsid w:val="00032E05"/>
    <w:rsid w:val="00035BD7"/>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51E6"/>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515C"/>
    <w:rsid w:val="0026736C"/>
    <w:rsid w:val="002716E4"/>
    <w:rsid w:val="002717B2"/>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771F2"/>
    <w:rsid w:val="003802D6"/>
    <w:rsid w:val="00385187"/>
    <w:rsid w:val="003A189F"/>
    <w:rsid w:val="003A2FFE"/>
    <w:rsid w:val="003A5C26"/>
    <w:rsid w:val="003B3E42"/>
    <w:rsid w:val="003C4C02"/>
    <w:rsid w:val="003C6231"/>
    <w:rsid w:val="003D0BFE"/>
    <w:rsid w:val="003D5700"/>
    <w:rsid w:val="003E14DA"/>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2B52"/>
    <w:rsid w:val="00456CE5"/>
    <w:rsid w:val="00467661"/>
    <w:rsid w:val="004705B7"/>
    <w:rsid w:val="00472DBE"/>
    <w:rsid w:val="00474A19"/>
    <w:rsid w:val="004834A1"/>
    <w:rsid w:val="004840A6"/>
    <w:rsid w:val="0048486E"/>
    <w:rsid w:val="004916B9"/>
    <w:rsid w:val="00496F97"/>
    <w:rsid w:val="004A4764"/>
    <w:rsid w:val="004A5E4B"/>
    <w:rsid w:val="004C2F25"/>
    <w:rsid w:val="004C6AE8"/>
    <w:rsid w:val="004C6D55"/>
    <w:rsid w:val="004D10CF"/>
    <w:rsid w:val="004D4BCA"/>
    <w:rsid w:val="004E063A"/>
    <w:rsid w:val="004E7BEC"/>
    <w:rsid w:val="004F23E0"/>
    <w:rsid w:val="00505D3D"/>
    <w:rsid w:val="00505F6E"/>
    <w:rsid w:val="00506AF6"/>
    <w:rsid w:val="00513D05"/>
    <w:rsid w:val="0051450D"/>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7FC2"/>
    <w:rsid w:val="00600219"/>
    <w:rsid w:val="006013B7"/>
    <w:rsid w:val="00603D01"/>
    <w:rsid w:val="00603DC4"/>
    <w:rsid w:val="0061476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3F5A"/>
    <w:rsid w:val="00695023"/>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27B4E"/>
    <w:rsid w:val="00731E00"/>
    <w:rsid w:val="00733269"/>
    <w:rsid w:val="00741718"/>
    <w:rsid w:val="00741BDE"/>
    <w:rsid w:val="007440B7"/>
    <w:rsid w:val="007500C8"/>
    <w:rsid w:val="007527C1"/>
    <w:rsid w:val="007534B2"/>
    <w:rsid w:val="00756272"/>
    <w:rsid w:val="00757544"/>
    <w:rsid w:val="007600D4"/>
    <w:rsid w:val="007615E2"/>
    <w:rsid w:val="00763D94"/>
    <w:rsid w:val="00764D43"/>
    <w:rsid w:val="0076681A"/>
    <w:rsid w:val="007715C9"/>
    <w:rsid w:val="00771613"/>
    <w:rsid w:val="00774897"/>
    <w:rsid w:val="00774EDD"/>
    <w:rsid w:val="007757EC"/>
    <w:rsid w:val="00782F4E"/>
    <w:rsid w:val="00783E89"/>
    <w:rsid w:val="007904DB"/>
    <w:rsid w:val="00793915"/>
    <w:rsid w:val="00795F0E"/>
    <w:rsid w:val="007A15B1"/>
    <w:rsid w:val="007A3989"/>
    <w:rsid w:val="007B132E"/>
    <w:rsid w:val="007C2253"/>
    <w:rsid w:val="007C5353"/>
    <w:rsid w:val="007C5CE0"/>
    <w:rsid w:val="007C7DEE"/>
    <w:rsid w:val="007D20DC"/>
    <w:rsid w:val="007D3BA2"/>
    <w:rsid w:val="007E163D"/>
    <w:rsid w:val="007E667A"/>
    <w:rsid w:val="007F2378"/>
    <w:rsid w:val="007F28C9"/>
    <w:rsid w:val="00803587"/>
    <w:rsid w:val="00806368"/>
    <w:rsid w:val="008117E9"/>
    <w:rsid w:val="00824498"/>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69C7"/>
    <w:rsid w:val="00947D5A"/>
    <w:rsid w:val="009509CA"/>
    <w:rsid w:val="009532A5"/>
    <w:rsid w:val="00956922"/>
    <w:rsid w:val="009612CF"/>
    <w:rsid w:val="00965B1F"/>
    <w:rsid w:val="00970E5E"/>
    <w:rsid w:val="009724F4"/>
    <w:rsid w:val="00973808"/>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39D8"/>
    <w:rsid w:val="00A931D7"/>
    <w:rsid w:val="00AA64D6"/>
    <w:rsid w:val="00AA6D8B"/>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40B23"/>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05469"/>
    <w:rsid w:val="00C11D03"/>
    <w:rsid w:val="00C15950"/>
    <w:rsid w:val="00C179A1"/>
    <w:rsid w:val="00C25E7F"/>
    <w:rsid w:val="00C2746F"/>
    <w:rsid w:val="00C324A0"/>
    <w:rsid w:val="00C3300F"/>
    <w:rsid w:val="00C349C5"/>
    <w:rsid w:val="00C42BF8"/>
    <w:rsid w:val="00C47DCC"/>
    <w:rsid w:val="00C50043"/>
    <w:rsid w:val="00C52FA9"/>
    <w:rsid w:val="00C571E9"/>
    <w:rsid w:val="00C5731E"/>
    <w:rsid w:val="00C71759"/>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2C14"/>
    <w:rsid w:val="00CF3EE8"/>
    <w:rsid w:val="00D050E6"/>
    <w:rsid w:val="00D13441"/>
    <w:rsid w:val="00D150E7"/>
    <w:rsid w:val="00D32F65"/>
    <w:rsid w:val="00D32F71"/>
    <w:rsid w:val="00D3768C"/>
    <w:rsid w:val="00D377E3"/>
    <w:rsid w:val="00D50484"/>
    <w:rsid w:val="00D527C9"/>
    <w:rsid w:val="00D52DC2"/>
    <w:rsid w:val="00D53BCC"/>
    <w:rsid w:val="00D5599D"/>
    <w:rsid w:val="00D5620B"/>
    <w:rsid w:val="00D60FC8"/>
    <w:rsid w:val="00D64E0A"/>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E72B1"/>
    <w:rsid w:val="00DF24DC"/>
    <w:rsid w:val="00DF5291"/>
    <w:rsid w:val="00DF6D11"/>
    <w:rsid w:val="00E05704"/>
    <w:rsid w:val="00E11E44"/>
    <w:rsid w:val="00E3270E"/>
    <w:rsid w:val="00E338EF"/>
    <w:rsid w:val="00E35C4E"/>
    <w:rsid w:val="00E50B14"/>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1B01"/>
    <w:rsid w:val="00ED2BB6"/>
    <w:rsid w:val="00ED34E1"/>
    <w:rsid w:val="00ED3B8D"/>
    <w:rsid w:val="00ED46FF"/>
    <w:rsid w:val="00ED4913"/>
    <w:rsid w:val="00EF2E3A"/>
    <w:rsid w:val="00F03C06"/>
    <w:rsid w:val="00F072A7"/>
    <w:rsid w:val="00F078DC"/>
    <w:rsid w:val="00F10CDA"/>
    <w:rsid w:val="00F32BA8"/>
    <w:rsid w:val="00F349F1"/>
    <w:rsid w:val="00F4350D"/>
    <w:rsid w:val="00F567F7"/>
    <w:rsid w:val="00F62036"/>
    <w:rsid w:val="00F65B52"/>
    <w:rsid w:val="00F67B67"/>
    <w:rsid w:val="00F67BCA"/>
    <w:rsid w:val="00F737EA"/>
    <w:rsid w:val="00F73BD6"/>
    <w:rsid w:val="00F75B5F"/>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61476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link w:val="NOTEChar"/>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452B52"/>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61476C"/>
    <w:pPr>
      <w:numPr>
        <w:ilvl w:val="1"/>
        <w:numId w:val="19"/>
      </w:numPr>
      <w:ind w:left="1418"/>
    </w:pPr>
  </w:style>
  <w:style w:type="paragraph" w:customStyle="1" w:styleId="LV3">
    <w:name w:val="LV 3"/>
    <w:basedOn w:val="PlainIndent"/>
    <w:autoRedefine/>
    <w:qFormat/>
    <w:rsid w:val="007C5353"/>
    <w:pPr>
      <w:numPr>
        <w:ilvl w:val="2"/>
        <w:numId w:val="4"/>
      </w:numPr>
      <w:ind w:left="1985"/>
      <w:contextualSpacing/>
    </w:pPr>
  </w:style>
  <w:style w:type="paragraph" w:customStyle="1" w:styleId="LV4">
    <w:name w:val="LV 4"/>
    <w:basedOn w:val="PlainIndent"/>
    <w:autoRedefine/>
    <w:qFormat/>
    <w:rsid w:val="007C5353"/>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C15950"/>
    <w:pPr>
      <w:ind w:left="1985" w:firstLine="0"/>
    </w:pPr>
  </w:style>
  <w:style w:type="paragraph" w:customStyle="1" w:styleId="Note2">
    <w:name w:val="Note 2"/>
    <w:basedOn w:val="NOTE"/>
    <w:link w:val="Note2Char"/>
    <w:uiPriority w:val="2"/>
    <w:qFormat/>
    <w:rsid w:val="00C15950"/>
    <w:pPr>
      <w:ind w:hanging="510"/>
    </w:pPr>
  </w:style>
  <w:style w:type="character" w:customStyle="1" w:styleId="NOTEChar">
    <w:name w:val="NOTE Char"/>
    <w:basedOn w:val="DefaultParagraphFont"/>
    <w:link w:val="NOTE"/>
    <w:rsid w:val="00C15950"/>
    <w:rPr>
      <w:rFonts w:eastAsia="Times New Roman"/>
      <w:sz w:val="18"/>
    </w:rPr>
  </w:style>
  <w:style w:type="character" w:customStyle="1" w:styleId="Note1Char">
    <w:name w:val="Note 1 Char"/>
    <w:basedOn w:val="NOTEChar"/>
    <w:link w:val="Note1"/>
    <w:uiPriority w:val="2"/>
    <w:rsid w:val="00C15950"/>
    <w:rPr>
      <w:rFonts w:eastAsia="Times New Roman"/>
      <w:sz w:val="18"/>
    </w:rPr>
  </w:style>
  <w:style w:type="paragraph" w:customStyle="1" w:styleId="ScheduleNote">
    <w:name w:val="Schedule Note"/>
    <w:basedOn w:val="NOTE"/>
    <w:link w:val="ScheduleNoteChar"/>
    <w:uiPriority w:val="2"/>
    <w:qFormat/>
    <w:rsid w:val="00C15950"/>
    <w:pPr>
      <w:ind w:left="851" w:firstLine="0"/>
    </w:pPr>
  </w:style>
  <w:style w:type="character" w:customStyle="1" w:styleId="Note2Char">
    <w:name w:val="Note 2 Char"/>
    <w:basedOn w:val="NOTEChar"/>
    <w:link w:val="Note2"/>
    <w:uiPriority w:val="2"/>
    <w:rsid w:val="00C15950"/>
    <w:rPr>
      <w:rFonts w:eastAsia="Times New Roman"/>
      <w:sz w:val="18"/>
    </w:rPr>
  </w:style>
  <w:style w:type="paragraph" w:customStyle="1" w:styleId="Note3">
    <w:name w:val="Note 3"/>
    <w:basedOn w:val="NOTE"/>
    <w:link w:val="Note3Char"/>
    <w:uiPriority w:val="2"/>
    <w:qFormat/>
    <w:rsid w:val="00C15950"/>
    <w:pPr>
      <w:ind w:left="2977" w:hanging="425"/>
    </w:pPr>
  </w:style>
  <w:style w:type="character" w:customStyle="1" w:styleId="ScheduleNoteChar">
    <w:name w:val="Schedule Note Char"/>
    <w:basedOn w:val="NOTEChar"/>
    <w:link w:val="ScheduleNote"/>
    <w:uiPriority w:val="2"/>
    <w:rsid w:val="00C15950"/>
    <w:rPr>
      <w:rFonts w:eastAsia="Times New Roman"/>
      <w:sz w:val="18"/>
    </w:rPr>
  </w:style>
  <w:style w:type="character" w:customStyle="1" w:styleId="Note3Char">
    <w:name w:val="Note 3 Char"/>
    <w:basedOn w:val="NOTEChar"/>
    <w:link w:val="Note3"/>
    <w:uiPriority w:val="2"/>
    <w:rsid w:val="00C15950"/>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1282</Words>
  <Characters>7308</Characters>
  <Application>Microsoft Office Word</Application>
  <DocSecurity>0</DocSecurity>
  <PresentationFormat/>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2019-01-09T23:14:00Z</dcterms:created>
  <dcterms:modified xsi:type="dcterms:W3CDTF">2019-02-26T00:06:00Z</dcterms:modified>
  <cp:category/>
  <cp:contentStatus/>
  <dc:language/>
  <cp:version/>
</cp:coreProperties>
</file>