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3802D6" w:rsidP="006647B7">
      <w:pPr>
        <w:pStyle w:val="Plainheader"/>
      </w:pPr>
      <w:bookmarkStart w:id="0" w:name="SoP_Name_Title"/>
      <w:r>
        <w:t>S</w:t>
      </w:r>
      <w:r w:rsidR="007F3BD3">
        <w:t>ICKLE-CELL DISORDER</w:t>
      </w:r>
      <w:bookmarkEnd w:id="0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7537CF">
        <w:t>41</w:t>
      </w:r>
      <w:r w:rsidR="004A2088">
        <w:t xml:space="preserve"> </w:t>
      </w:r>
      <w:r w:rsidRPr="00024911">
        <w:t>of</w:t>
      </w:r>
      <w:r w:rsidR="00085567">
        <w:t xml:space="preserve"> </w:t>
      </w:r>
      <w:bookmarkStart w:id="1" w:name="year"/>
      <w:r w:rsidR="007F3BD3">
        <w:t>2017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1213D5" w:rsidRDefault="001213D5" w:rsidP="001213D5">
      <w:pPr>
        <w:pStyle w:val="Plain"/>
        <w:tabs>
          <w:tab w:val="clear" w:pos="567"/>
          <w:tab w:val="left" w:pos="851"/>
        </w:tabs>
      </w:pPr>
      <w:r w:rsidRPr="007527C1">
        <w:t>Dated</w:t>
      </w:r>
      <w:r>
        <w:tab/>
      </w:r>
      <w:r w:rsidR="007537CF">
        <w:t>30 June 2017</w:t>
      </w:r>
    </w:p>
    <w:p w:rsidR="001213D5" w:rsidRDefault="001213D5" w:rsidP="001213D5">
      <w:pPr>
        <w:pStyle w:val="Plain"/>
      </w:pPr>
    </w:p>
    <w:p w:rsidR="001213D5" w:rsidRDefault="001213D5" w:rsidP="001213D5">
      <w:pPr>
        <w:pStyle w:val="Plain"/>
      </w:pPr>
    </w:p>
    <w:p w:rsidR="001213D5" w:rsidRDefault="001213D5" w:rsidP="001213D5">
      <w:pPr>
        <w:pStyle w:val="Plain"/>
      </w:pPr>
    </w:p>
    <w:p w:rsidR="001213D5" w:rsidRDefault="001213D5" w:rsidP="001213D5">
      <w:pPr>
        <w:pStyle w:val="Plain"/>
      </w:pPr>
    </w:p>
    <w:p w:rsidR="007537CF" w:rsidRPr="007527C1" w:rsidRDefault="007537CF" w:rsidP="007537CF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7537CF" w:rsidTr="000A2B4C">
        <w:tc>
          <w:tcPr>
            <w:tcW w:w="4116" w:type="dxa"/>
          </w:tcPr>
          <w:p w:rsidR="007537CF" w:rsidRDefault="007537CF" w:rsidP="000A2B4C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7537CF" w:rsidRDefault="007537CF" w:rsidP="000A2B4C">
            <w:pPr>
              <w:pStyle w:val="Plain"/>
            </w:pPr>
          </w:p>
        </w:tc>
      </w:tr>
      <w:tr w:rsidR="007537CF" w:rsidTr="000A2B4C">
        <w:tc>
          <w:tcPr>
            <w:tcW w:w="4116" w:type="dxa"/>
          </w:tcPr>
          <w:p w:rsidR="007537CF" w:rsidRDefault="007537CF" w:rsidP="000A2B4C">
            <w:pPr>
              <w:pStyle w:val="Plain"/>
            </w:pPr>
            <w:r w:rsidRPr="0032605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FB7206" wp14:editId="05525435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37CF" w:rsidRDefault="007537CF" w:rsidP="000A2B4C">
            <w:pPr>
              <w:pStyle w:val="Plain"/>
            </w:pPr>
          </w:p>
          <w:p w:rsidR="007537CF" w:rsidRPr="007527C1" w:rsidRDefault="007537CF" w:rsidP="000A2B4C">
            <w:pPr>
              <w:pStyle w:val="Plain"/>
            </w:pPr>
            <w:r w:rsidRPr="007527C1">
              <w:t>Professor Nicholas Saunders AO</w:t>
            </w:r>
          </w:p>
          <w:p w:rsidR="007537CF" w:rsidRDefault="007537CF" w:rsidP="000A2B4C">
            <w:pPr>
              <w:pStyle w:val="Plain"/>
            </w:pPr>
            <w:r w:rsidRPr="007527C1">
              <w:t>Chairperson</w:t>
            </w:r>
          </w:p>
          <w:p w:rsidR="007537CF" w:rsidRDefault="007537CF" w:rsidP="000A2B4C"/>
        </w:tc>
      </w:tr>
    </w:tbl>
    <w:p w:rsidR="007537CF" w:rsidRPr="00FA33FB" w:rsidRDefault="007537CF" w:rsidP="007537CF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7F3BD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7F3BD3">
        <w:rPr>
          <w:noProof/>
        </w:rPr>
        <w:t>1</w:t>
      </w:r>
      <w:r w:rsidR="007F3BD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7F3BD3">
        <w:rPr>
          <w:noProof/>
        </w:rPr>
        <w:t>Name</w:t>
      </w:r>
      <w:r w:rsidR="007F3BD3">
        <w:rPr>
          <w:noProof/>
        </w:rPr>
        <w:tab/>
      </w:r>
      <w:r w:rsidR="007F3BD3">
        <w:rPr>
          <w:noProof/>
        </w:rPr>
        <w:fldChar w:fldCharType="begin"/>
      </w:r>
      <w:r w:rsidR="007F3BD3">
        <w:rPr>
          <w:noProof/>
        </w:rPr>
        <w:instrText xml:space="preserve"> PAGEREF _Toc469665650 \h </w:instrText>
      </w:r>
      <w:r w:rsidR="007F3BD3">
        <w:rPr>
          <w:noProof/>
        </w:rPr>
      </w:r>
      <w:r w:rsidR="007F3BD3">
        <w:rPr>
          <w:noProof/>
        </w:rPr>
        <w:fldChar w:fldCharType="separate"/>
      </w:r>
      <w:r w:rsidR="00F25B19">
        <w:rPr>
          <w:noProof/>
        </w:rPr>
        <w:t>3</w:t>
      </w:r>
      <w:r w:rsidR="007F3BD3"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_Toc469665651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_Toc469665652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_Toc469665653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_Toc469665654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_Toc469665655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_Toc469665656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3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_Toc469665657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4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_Toc469665658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4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_Toc469665659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5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_Toc469665660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5</w:t>
      </w:r>
      <w:r>
        <w:rPr>
          <w:noProof/>
        </w:rPr>
        <w:fldChar w:fldCharType="end"/>
      </w:r>
    </w:p>
    <w:p w:rsidR="007F3BD3" w:rsidRDefault="007F3B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_Toc469665661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6</w:t>
      </w:r>
      <w:r>
        <w:rPr>
          <w:noProof/>
        </w:rPr>
        <w:fldChar w:fldCharType="end"/>
      </w:r>
    </w:p>
    <w:p w:rsidR="007F3BD3" w:rsidRDefault="007F3BD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_Toc469665662 \h </w:instrText>
      </w:r>
      <w:r>
        <w:rPr>
          <w:noProof/>
        </w:rPr>
      </w:r>
      <w:r>
        <w:rPr>
          <w:noProof/>
        </w:rPr>
        <w:fldChar w:fldCharType="separate"/>
      </w:r>
      <w:r w:rsidR="00F25B19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3" w:name="_Toc469665650"/>
      <w:r>
        <w:lastRenderedPageBreak/>
        <w:t>Name</w:t>
      </w:r>
      <w:bookmarkStart w:id="4" w:name="_GoBack"/>
      <w:bookmarkEnd w:id="3"/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A3989">
        <w:rPr>
          <w:i/>
        </w:rPr>
        <w:t>s</w:t>
      </w:r>
      <w:r w:rsidR="007F3BD3">
        <w:rPr>
          <w:i/>
        </w:rPr>
        <w:t>ickle-cell disorder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7537CF">
        <w:t>41</w:t>
      </w:r>
      <w:r w:rsidR="004A2088">
        <w:t xml:space="preserve"> </w:t>
      </w:r>
      <w:r w:rsidR="00E55F66" w:rsidRPr="00F97A62">
        <w:t>of</w:t>
      </w:r>
      <w:r w:rsidR="00085567">
        <w:t xml:space="preserve"> </w:t>
      </w:r>
      <w:r w:rsidR="007F3BD3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69665651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537CF" w:rsidRPr="00D54061">
        <w:t>31 July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69665652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69665653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7F3BD3" w:rsidRPr="007F3BD3">
        <w:t>sickle-cell disorder</w:t>
      </w:r>
      <w:r>
        <w:t xml:space="preserve"> No. </w:t>
      </w:r>
      <w:r w:rsidR="007F3BD3">
        <w:t>44</w:t>
      </w:r>
      <w:r>
        <w:t xml:space="preserve"> of </w:t>
      </w:r>
      <w:r w:rsidR="007F3BD3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69665654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69665655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6966565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7F3BD3" w:rsidRPr="007F3BD3">
        <w:t>sickle-cell disorder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7F3BD3" w:rsidRPr="007F3BD3">
        <w:t>sickle-cell disorder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7F3BD3" w:rsidRPr="007F3BD3">
        <w:rPr>
          <w:b/>
        </w:rPr>
        <w:t>sickle-cell disorder</w:t>
      </w:r>
    </w:p>
    <w:p w:rsidR="007F3BD3" w:rsidRPr="00237BAF" w:rsidRDefault="007F3BD3" w:rsidP="007F3BD3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6E02A1">
        <w:t>sickle-cell disorder</w:t>
      </w:r>
      <w:r>
        <w:t xml:space="preserve"> means</w:t>
      </w:r>
      <w:r w:rsidRPr="00237BAF">
        <w:t>:</w:t>
      </w:r>
      <w:bookmarkEnd w:id="18"/>
    </w:p>
    <w:p w:rsidR="007F3BD3" w:rsidRDefault="007F3BD3" w:rsidP="007F3BD3">
      <w:pPr>
        <w:pStyle w:val="LV3"/>
      </w:pPr>
      <w:r w:rsidRPr="008E76DC">
        <w:t xml:space="preserve">a </w:t>
      </w:r>
      <w:r w:rsidRPr="006E02A1">
        <w:t>genetic disorder leading to the production of haemoglobin S (HbS), a defective form of haemoglobin</w:t>
      </w:r>
      <w:r w:rsidRPr="008E76DC">
        <w:t>; and</w:t>
      </w:r>
    </w:p>
    <w:p w:rsidR="007F3BD3" w:rsidRPr="008E76DC" w:rsidRDefault="007F3BD3" w:rsidP="007F3BD3">
      <w:pPr>
        <w:pStyle w:val="LV3"/>
        <w:numPr>
          <w:ilvl w:val="0"/>
          <w:numId w:val="0"/>
        </w:numPr>
        <w:spacing w:before="0" w:after="120"/>
        <w:ind w:left="1474"/>
        <w:contextualSpacing w:val="0"/>
      </w:pPr>
      <w:r>
        <w:t>includes:</w:t>
      </w:r>
    </w:p>
    <w:p w:rsidR="007F3BD3" w:rsidRDefault="007F3BD3" w:rsidP="007F3BD3">
      <w:pPr>
        <w:pStyle w:val="LV3"/>
      </w:pPr>
      <w:r w:rsidRPr="006E02A1">
        <w:tab/>
        <w:t>sickle-cell disease, in which there are two copies of the HbS gene (HbSS);</w:t>
      </w:r>
      <w:r>
        <w:t xml:space="preserve"> and</w:t>
      </w:r>
    </w:p>
    <w:p w:rsidR="007F3BD3" w:rsidRDefault="007F3BD3" w:rsidP="007F3BD3">
      <w:pPr>
        <w:pStyle w:val="LV3"/>
      </w:pPr>
      <w:r w:rsidRPr="006E02A1">
        <w:tab/>
        <w:t>sickle-cell trait, in which there is one copy of the HbS gene and one normal gene (HbSA);</w:t>
      </w:r>
      <w:r>
        <w:t xml:space="preserve"> and</w:t>
      </w:r>
    </w:p>
    <w:bookmarkEnd w:id="19"/>
    <w:p w:rsidR="007C7DEE" w:rsidRDefault="007F3BD3" w:rsidP="007F3BD3">
      <w:pPr>
        <w:pStyle w:val="LV3"/>
      </w:pPr>
      <w:r w:rsidRPr="006E02A1">
        <w:tab/>
        <w:t>double heterozygous sickling disorders, in which there is one copy of the HbS gene plus one copy of another β-globin gene variant.</w:t>
      </w:r>
    </w:p>
    <w:p w:rsidR="007F3BD3" w:rsidRDefault="007F3BD3" w:rsidP="007F3BD3">
      <w:pPr>
        <w:pStyle w:val="NOTE"/>
      </w:pPr>
      <w:r>
        <w:lastRenderedPageBreak/>
        <w:t xml:space="preserve">Note 1: </w:t>
      </w:r>
      <w:r w:rsidR="00075778">
        <w:t>S</w:t>
      </w:r>
      <w:r w:rsidRPr="006E02A1">
        <w:t>ickle</w:t>
      </w:r>
      <w:r w:rsidR="00F25B19">
        <w:t>-</w:t>
      </w:r>
      <w:r w:rsidRPr="006E02A1">
        <w:t>cell disorder may involve symptomatic episodes in which red blood cells become deformed, leading to vaso-occlusive, anaemic or infectious events.</w:t>
      </w:r>
    </w:p>
    <w:p w:rsidR="007F3BD3" w:rsidRPr="008E76DC" w:rsidRDefault="007F3BD3" w:rsidP="007F3BD3">
      <w:pPr>
        <w:pStyle w:val="NOTE"/>
      </w:pPr>
      <w:r>
        <w:t xml:space="preserve">Note 2: </w:t>
      </w:r>
      <w:r w:rsidR="00075778">
        <w:t>T</w:t>
      </w:r>
      <w:r w:rsidRPr="006E02A1">
        <w:t>he diagnosis can also be made in asymptomatic individuals by genetic testing</w:t>
      </w:r>
      <w:r>
        <w:t>.</w:t>
      </w:r>
    </w:p>
    <w:p w:rsidR="008F572A" w:rsidRPr="00237BAF" w:rsidRDefault="008F572A" w:rsidP="00836587">
      <w:pPr>
        <w:pStyle w:val="LV2"/>
      </w:pPr>
      <w:r w:rsidRPr="00237BAF">
        <w:t xml:space="preserve">While </w:t>
      </w:r>
      <w:r w:rsidR="007F3BD3" w:rsidRPr="007F3BD3">
        <w:t>sickle-cell disorder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031E5">
        <w:t>D57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7F3BD3" w:rsidRPr="007F3BD3">
        <w:t>sickle-cell disorder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7F3BD3" w:rsidRPr="007F3BD3">
        <w:rPr>
          <w:b/>
        </w:rPr>
        <w:t>sickle-cell disorder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7F3BD3" w:rsidRPr="007F3BD3">
        <w:t>sickle-cell disorder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7F3BD3" w:rsidRPr="007F3BD3">
        <w:t>sickle-cell disorder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69665657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7F3BD3" w:rsidRPr="007F3BD3">
        <w:t>sickle-cell disorder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7F3BD3" w:rsidRPr="007F3BD3">
        <w:t>sickle-cell disorder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6966565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7F3BD3" w:rsidRPr="007F3BD3">
        <w:t>sickle-cell disorder</w:t>
      </w:r>
      <w:r w:rsidR="007A3989">
        <w:t xml:space="preserve"> </w:t>
      </w:r>
      <w:r w:rsidR="007C7DEE" w:rsidRPr="00AA6D8B">
        <w:t xml:space="preserve">or death from </w:t>
      </w:r>
      <w:r w:rsidR="007F3BD3" w:rsidRPr="007F3BD3">
        <w:t>sickle-cell disorder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7F3BD3" w:rsidRPr="008D1B8B" w:rsidRDefault="007F3BD3" w:rsidP="007F3BD3">
      <w:pPr>
        <w:pStyle w:val="LV2"/>
      </w:pPr>
      <w:bookmarkStart w:id="26" w:name="_Ref402530260"/>
      <w:bookmarkStart w:id="27" w:name="_Ref409598844"/>
      <w:r w:rsidRPr="001A3C1D">
        <w:t xml:space="preserve">experiencing a stimulus from </w:t>
      </w:r>
      <w:r>
        <w:t>S</w:t>
      </w:r>
      <w:r w:rsidRPr="001A3C1D">
        <w:t xml:space="preserve">pecified </w:t>
      </w:r>
      <w:r>
        <w:t>L</w:t>
      </w:r>
      <w:r w:rsidRPr="001A3C1D">
        <w:t xml:space="preserve">ist 1 </w:t>
      </w:r>
      <w:r w:rsidR="00F5259A">
        <w:t xml:space="preserve">of stimuli </w:t>
      </w:r>
      <w:r w:rsidRPr="001A3C1D">
        <w:t>within the 24 hours before the clinical worsening of sickle-cell disorder;</w:t>
      </w:r>
    </w:p>
    <w:p w:rsidR="007F3BD3" w:rsidRPr="00046E67" w:rsidRDefault="007F3BD3" w:rsidP="007F3BD3">
      <w:pPr>
        <w:pStyle w:val="NOTE"/>
      </w:pPr>
      <w:r>
        <w:t xml:space="preserve">Note: </w:t>
      </w:r>
      <w:r>
        <w:rPr>
          <w:b/>
          <w:i/>
        </w:rPr>
        <w:t>Sp</w:t>
      </w:r>
      <w:r w:rsidRPr="001A3C1D">
        <w:rPr>
          <w:b/>
          <w:i/>
        </w:rPr>
        <w:t xml:space="preserve">ecified </w:t>
      </w:r>
      <w:r>
        <w:rPr>
          <w:b/>
          <w:i/>
        </w:rPr>
        <w:t>L</w:t>
      </w:r>
      <w:r w:rsidRPr="001A3C1D">
        <w:rPr>
          <w:b/>
          <w:i/>
        </w:rPr>
        <w:t>ist 1</w:t>
      </w:r>
      <w:r w:rsidR="003E10D3">
        <w:rPr>
          <w:b/>
          <w:i/>
        </w:rPr>
        <w:t xml:space="preserve"> </w:t>
      </w:r>
      <w:r w:rsidR="00F5259A">
        <w:rPr>
          <w:b/>
          <w:i/>
        </w:rPr>
        <w:t>of stimuli</w:t>
      </w:r>
      <w:r w:rsidRPr="00046E67">
        <w:t xml:space="preserve"> </w:t>
      </w:r>
      <w:r w:rsidR="005A5E34">
        <w:t xml:space="preserve">and </w:t>
      </w:r>
      <w:r w:rsidR="005A5E34" w:rsidRPr="005A5E34">
        <w:rPr>
          <w:b/>
          <w:i/>
        </w:rPr>
        <w:t>clinical worsening of sickle-cell disorder</w:t>
      </w:r>
      <w:r w:rsidR="005A5E34">
        <w:t xml:space="preserve"> are</w:t>
      </w:r>
      <w:r w:rsidRPr="00046E67">
        <w:t xml:space="preserve">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7F3BD3" w:rsidRDefault="007F3BD3" w:rsidP="007F3BD3">
      <w:pPr>
        <w:pStyle w:val="LV2"/>
      </w:pPr>
      <w:r w:rsidRPr="001A3C1D">
        <w:t xml:space="preserve">experiencing a stimulus from </w:t>
      </w:r>
      <w:r>
        <w:t>S</w:t>
      </w:r>
      <w:r w:rsidRPr="001A3C1D">
        <w:t xml:space="preserve">pecified </w:t>
      </w:r>
      <w:r>
        <w:t>L</w:t>
      </w:r>
      <w:r w:rsidRPr="001A3C1D">
        <w:t xml:space="preserve">ist 2 </w:t>
      </w:r>
      <w:r w:rsidR="00F5259A">
        <w:t xml:space="preserve">of stimuli </w:t>
      </w:r>
      <w:r w:rsidRPr="001A3C1D">
        <w:t>within the seven days before the clinical worsening of sickle-cell disorder;</w:t>
      </w:r>
    </w:p>
    <w:p w:rsidR="007F3BD3" w:rsidRDefault="007F3BD3" w:rsidP="007F3BD3">
      <w:pPr>
        <w:pStyle w:val="NOTE"/>
      </w:pPr>
      <w:r>
        <w:t xml:space="preserve">Note: </w:t>
      </w:r>
      <w:r>
        <w:rPr>
          <w:b/>
          <w:i/>
        </w:rPr>
        <w:t>S</w:t>
      </w:r>
      <w:r w:rsidRPr="001A3C1D">
        <w:rPr>
          <w:b/>
          <w:i/>
        </w:rPr>
        <w:t xml:space="preserve">pecified </w:t>
      </w:r>
      <w:r>
        <w:rPr>
          <w:b/>
          <w:i/>
        </w:rPr>
        <w:t>L</w:t>
      </w:r>
      <w:r w:rsidRPr="001A3C1D">
        <w:rPr>
          <w:b/>
          <w:i/>
        </w:rPr>
        <w:t xml:space="preserve">ist </w:t>
      </w:r>
      <w:r>
        <w:rPr>
          <w:b/>
          <w:i/>
        </w:rPr>
        <w:t>2</w:t>
      </w:r>
      <w:r w:rsidR="00F5259A">
        <w:rPr>
          <w:b/>
          <w:i/>
        </w:rPr>
        <w:t xml:space="preserve"> of stimuli</w:t>
      </w:r>
      <w:r w:rsidRPr="00046E67">
        <w:t xml:space="preserve"> </w:t>
      </w:r>
      <w:r w:rsidR="005A5E34">
        <w:t xml:space="preserve">and </w:t>
      </w:r>
      <w:r w:rsidR="005A5E34" w:rsidRPr="005A5E34">
        <w:rPr>
          <w:b/>
          <w:i/>
        </w:rPr>
        <w:t>clinical worsening of sickle-cell disorder</w:t>
      </w:r>
      <w:r w:rsidR="005A5E34">
        <w:t xml:space="preserve"> are</w:t>
      </w:r>
      <w:r w:rsidR="005A5E34" w:rsidRPr="00046E67">
        <w:t xml:space="preserve"> </w:t>
      </w:r>
      <w:r w:rsidRPr="00046E67">
        <w:t xml:space="preserve">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F3BD3" w:rsidRDefault="007F3BD3" w:rsidP="007537CF">
      <w:pPr>
        <w:pStyle w:val="LV2"/>
        <w:keepNext/>
        <w:keepLines/>
      </w:pPr>
      <w:r w:rsidRPr="00371A3C">
        <w:lastRenderedPageBreak/>
        <w:t>smoking at least one pack-year of cigarettes, or the equivalent thereof in other tobacco products, before the clinical worsening of sickle-cell disorder, and where smoking has ceased, the clinical worsening of sickle-cell disorder has occurred within six months of cessation;</w:t>
      </w:r>
    </w:p>
    <w:p w:rsidR="007F3BD3" w:rsidRDefault="007F3BD3" w:rsidP="007537CF">
      <w:pPr>
        <w:pStyle w:val="NOTE"/>
        <w:keepNext/>
        <w:keepLines/>
      </w:pPr>
      <w:r>
        <w:t xml:space="preserve">Note: </w:t>
      </w:r>
      <w:r w:rsidRPr="00371A3C">
        <w:rPr>
          <w:b/>
          <w:i/>
        </w:rPr>
        <w:t>pack-year of cigarettes, or the equivalent thereof in other tobacco products</w:t>
      </w:r>
      <w:r w:rsidRPr="00046E67">
        <w:t xml:space="preserve"> </w:t>
      </w:r>
      <w:r w:rsidR="005A5E34">
        <w:t xml:space="preserve">and </w:t>
      </w:r>
      <w:r w:rsidR="005A5E34" w:rsidRPr="005A5E34">
        <w:rPr>
          <w:b/>
          <w:i/>
        </w:rPr>
        <w:t>clinical worsening of sickle-cell disorder</w:t>
      </w:r>
      <w:r w:rsidR="005A5E34">
        <w:t xml:space="preserve"> are</w:t>
      </w:r>
      <w:r w:rsidR="005A5E34" w:rsidRPr="00046E67">
        <w:t xml:space="preserve"> </w:t>
      </w:r>
      <w:r w:rsidRPr="00046E67">
        <w:t xml:space="preserve">defined in the </w:t>
      </w:r>
      <w:r>
        <w:t xml:space="preserve">Schedule 1 - </w:t>
      </w:r>
      <w:r w:rsidRPr="002717B2">
        <w:t>Dictionary</w:t>
      </w:r>
      <w:r w:rsidRPr="00046E67">
        <w:t>.</w:t>
      </w:r>
    </w:p>
    <w:p w:rsidR="007F3BD3" w:rsidRDefault="007F3BD3" w:rsidP="007F3BD3">
      <w:pPr>
        <w:pStyle w:val="LV2"/>
      </w:pPr>
      <w:r w:rsidRPr="00371A3C">
        <w:t>being exposed to second-hand smoke for at least 1</w:t>
      </w:r>
      <w:r>
        <w:t> </w:t>
      </w:r>
      <w:r w:rsidRPr="00371A3C">
        <w:t>000 hours before the clinical worsening of sickle-cell disorder, and where the last exposure to second-hand smoke occurred within the six months before the clinical worsening of sickle-cell disorder;</w:t>
      </w:r>
    </w:p>
    <w:p w:rsidR="007F3BD3" w:rsidRDefault="007F3BD3" w:rsidP="007F3BD3">
      <w:pPr>
        <w:pStyle w:val="NOTE"/>
      </w:pPr>
      <w:r>
        <w:t xml:space="preserve">Note: </w:t>
      </w:r>
      <w:r w:rsidRPr="00371A3C">
        <w:rPr>
          <w:b/>
          <w:i/>
        </w:rPr>
        <w:t>being exposed to second-hand smoke</w:t>
      </w:r>
      <w:r w:rsidRPr="00046E67">
        <w:t xml:space="preserve"> </w:t>
      </w:r>
      <w:r w:rsidR="005A5E34">
        <w:t xml:space="preserve">and </w:t>
      </w:r>
      <w:r w:rsidR="005A5E34" w:rsidRPr="005A5E34">
        <w:rPr>
          <w:b/>
          <w:i/>
        </w:rPr>
        <w:t>clinical worsening of sickle-cell disorder</w:t>
      </w:r>
      <w:r w:rsidR="005A5E34">
        <w:t xml:space="preserve"> are</w:t>
      </w:r>
      <w:r w:rsidR="005A5E34" w:rsidRPr="00046E67">
        <w:t xml:space="preserve"> </w:t>
      </w:r>
      <w:r w:rsidRPr="00046E67">
        <w:t xml:space="preserve">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F3BD3" w:rsidRDefault="007F3BD3" w:rsidP="007F3BD3">
      <w:pPr>
        <w:pStyle w:val="LV2"/>
      </w:pPr>
      <w:r w:rsidRPr="00371A3C">
        <w:t>being treated with corticosteroids, other than inhaled or topical corticosteroids, within the 30 days before the clinical worsening of sickle-cell disorder;</w:t>
      </w:r>
    </w:p>
    <w:p w:rsidR="005A5E34" w:rsidRDefault="005A5E34" w:rsidP="005A5E34">
      <w:pPr>
        <w:pStyle w:val="NOTE"/>
      </w:pPr>
      <w:r w:rsidRPr="005A5E34">
        <w:t xml:space="preserve">Note: </w:t>
      </w:r>
      <w:r w:rsidRPr="005A5E34">
        <w:rPr>
          <w:b/>
          <w:i/>
        </w:rPr>
        <w:t>clinical worsening of sickle-cell disorder</w:t>
      </w:r>
      <w:r w:rsidRPr="005A5E34">
        <w:t xml:space="preserve"> </w:t>
      </w:r>
      <w:r>
        <w:t>is</w:t>
      </w:r>
      <w:r w:rsidRPr="005A5E34">
        <w:t xml:space="preserve"> defined in the Schedule 1 - Dictionary.</w:t>
      </w:r>
      <w:r w:rsidRPr="005A5E34"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7F3BD3" w:rsidRPr="007F3BD3">
        <w:t>sickle-cell disorder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6966565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7959B9">
        <w:t>9</w:t>
      </w:r>
      <w:r w:rsidR="00FF1D47">
        <w:t>(</w:t>
      </w:r>
      <w:r w:rsidR="007F3BD3">
        <w:t>1</w:t>
      </w:r>
      <w:r w:rsidR="00FF1D47">
        <w:t>)</w:t>
      </w:r>
      <w:r w:rsidR="007F3BD3">
        <w:t xml:space="preserve"> to 9(6)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7F3BD3" w:rsidRPr="007F3BD3">
        <w:t>sickle-cell disorder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7F3BD3" w:rsidRPr="007F3BD3">
        <w:t>sickle-cell disorder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6966566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6966566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69665662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7F3BD3" w:rsidRPr="00054930" w:rsidRDefault="007F3BD3" w:rsidP="001213D5">
      <w:pPr>
        <w:pStyle w:val="SH3"/>
      </w:pPr>
      <w:bookmarkStart w:id="36" w:name="_Ref402530810"/>
      <w:r w:rsidRPr="001A3C1D">
        <w:rPr>
          <w:b/>
          <w:i/>
        </w:rPr>
        <w:t>a change in ambient temperature</w:t>
      </w:r>
      <w:r w:rsidRPr="001A3C1D">
        <w:t xml:space="preserve"> means a decrease in the mean daily temperature from one day to the next day of at least 5 degrees Celsius.</w:t>
      </w:r>
    </w:p>
    <w:p w:rsidR="007F3BD3" w:rsidRPr="00371A3C" w:rsidRDefault="007F3BD3" w:rsidP="007F3BD3">
      <w:pPr>
        <w:pStyle w:val="SH3"/>
      </w:pPr>
      <w:r w:rsidRPr="00371A3C">
        <w:rPr>
          <w:b/>
          <w:i/>
        </w:rPr>
        <w:t>being exposed to second-hand smoke</w:t>
      </w:r>
      <w:r w:rsidRPr="00371A3C">
        <w:t xml:space="preserve"> means being in an enclosed space and inhaling smoke from burning tobacco products or smoke that has been exhaled by a person who is smoking.</w:t>
      </w:r>
    </w:p>
    <w:p w:rsidR="007F3BD3" w:rsidRDefault="007F3BD3" w:rsidP="007F3BD3">
      <w:pPr>
        <w:pStyle w:val="SH3"/>
      </w:pPr>
      <w:r w:rsidRPr="001A3C1D">
        <w:rPr>
          <w:b/>
          <w:i/>
        </w:rPr>
        <w:t>clinical worsening of sickle-cell disorder</w:t>
      </w:r>
      <w:r>
        <w:t xml:space="preserve"> means permanent worsening of sickle-cell disorder as evidenced by:</w:t>
      </w:r>
    </w:p>
    <w:p w:rsidR="007F3BD3" w:rsidRDefault="007F3BD3" w:rsidP="007F3BD3">
      <w:pPr>
        <w:pStyle w:val="SH4"/>
      </w:pPr>
      <w:r>
        <w:t>a sickle-cell crisis or series of crises resulting in end-organ damage or death; or</w:t>
      </w:r>
    </w:p>
    <w:p w:rsidR="00054930" w:rsidRDefault="007F3BD3" w:rsidP="007F3BD3">
      <w:pPr>
        <w:pStyle w:val="SH4"/>
      </w:pPr>
      <w:r>
        <w:t>an increase in the requirement for management of the manifestations or complications of sickle-cell disorder.</w:t>
      </w:r>
    </w:p>
    <w:p w:rsidR="005A5E34" w:rsidRPr="00054930" w:rsidRDefault="005A5E34" w:rsidP="005A5E34">
      <w:pPr>
        <w:pStyle w:val="NOTE"/>
      </w:pPr>
      <w:r w:rsidRPr="0083683A">
        <w:t xml:space="preserve">Note: </w:t>
      </w:r>
      <w:r>
        <w:rPr>
          <w:b/>
          <w:i/>
        </w:rPr>
        <w:t xml:space="preserve">sickle-cell crisis </w:t>
      </w:r>
      <w:r>
        <w:t xml:space="preserve">is </w:t>
      </w:r>
      <w:r w:rsidRPr="0083683A">
        <w:t>also defined in the Schedule 1 - Dictionary.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7F3BD3" w:rsidRPr="00371A3C" w:rsidRDefault="007F3BD3" w:rsidP="007F3BD3">
      <w:pPr>
        <w:pStyle w:val="SH3"/>
      </w:pPr>
      <w:r w:rsidRPr="00371A3C">
        <w:rPr>
          <w:b/>
          <w:i/>
        </w:rPr>
        <w:t>pack-year of cigarettes, or the equivalent thereof in other tobacco products</w:t>
      </w:r>
      <w:r w:rsidRPr="00371A3C">
        <w:t xml:space="preserve"> means a calculation of consumption where one pack-year of cigarettes equals 20 tailor-made cigarettes per day for a period of one calendar year, or 7300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7F3BD3" w:rsidRPr="007F3BD3" w:rsidRDefault="007F3BD3" w:rsidP="001213D5">
      <w:pPr>
        <w:pStyle w:val="SH3"/>
        <w:ind w:left="851" w:hanging="851"/>
      </w:pPr>
      <w:r w:rsidRPr="001A3C1D">
        <w:rPr>
          <w:b/>
          <w:i/>
        </w:rPr>
        <w:t>puerperal period</w:t>
      </w:r>
      <w:r w:rsidRPr="001A3C1D">
        <w:t xml:space="preserve"> means the 42 days following a birth.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5A5E34" w:rsidRPr="005A5E34" w:rsidRDefault="005A5E34" w:rsidP="00984EE9">
      <w:pPr>
        <w:pStyle w:val="SH3"/>
        <w:ind w:left="851" w:hanging="851"/>
      </w:pPr>
      <w:r w:rsidRPr="0082324A">
        <w:rPr>
          <w:b/>
          <w:i/>
        </w:rPr>
        <w:t>sickle-cell crisis</w:t>
      </w:r>
      <w:r w:rsidRPr="0082324A">
        <w:t xml:space="preserve"> means a vaso-occlusive, anaemic or infectious complication of sickle-cell disorder requiring hospitalisation or management by a medical practitioner.</w:t>
      </w:r>
    </w:p>
    <w:p w:rsidR="00885EAB" w:rsidRPr="00513D05" w:rsidRDefault="007F3BD3" w:rsidP="00984EE9">
      <w:pPr>
        <w:pStyle w:val="SH3"/>
        <w:ind w:left="851" w:hanging="851"/>
      </w:pPr>
      <w:r w:rsidRPr="007F3BD3">
        <w:rPr>
          <w:b/>
          <w:i/>
        </w:rPr>
        <w:t>sickle-cell disorder</w:t>
      </w:r>
      <w:r w:rsidR="00DF6D11" w:rsidRPr="00513D05">
        <w:t>—see subsection</w:t>
      </w:r>
      <w:r w:rsidR="009056AF">
        <w:t xml:space="preserve"> </w:t>
      </w:r>
      <w:r w:rsidR="007959B9">
        <w:t>7</w:t>
      </w:r>
      <w:r w:rsidR="009056AF">
        <w:t>(2)</w:t>
      </w:r>
      <w:r w:rsidR="00051B75">
        <w:t>.</w:t>
      </w:r>
    </w:p>
    <w:p w:rsidR="007F3BD3" w:rsidRPr="001A3C1D" w:rsidRDefault="007F3BD3" w:rsidP="00F25B19">
      <w:pPr>
        <w:pStyle w:val="SH3"/>
        <w:keepNext/>
      </w:pPr>
      <w:r>
        <w:rPr>
          <w:b/>
          <w:i/>
        </w:rPr>
        <w:lastRenderedPageBreak/>
        <w:t>S</w:t>
      </w:r>
      <w:r w:rsidRPr="001A3C1D">
        <w:rPr>
          <w:b/>
          <w:i/>
        </w:rPr>
        <w:t xml:space="preserve">pecified </w:t>
      </w:r>
      <w:r>
        <w:rPr>
          <w:b/>
          <w:i/>
        </w:rPr>
        <w:t>L</w:t>
      </w:r>
      <w:r w:rsidRPr="001A3C1D">
        <w:rPr>
          <w:b/>
          <w:i/>
        </w:rPr>
        <w:t>ist 1</w:t>
      </w:r>
      <w:r w:rsidR="00F5259A">
        <w:rPr>
          <w:b/>
          <w:i/>
        </w:rPr>
        <w:t xml:space="preserve"> of stimuli</w:t>
      </w:r>
      <w:r w:rsidRPr="001A3C1D">
        <w:t xml:space="preserve"> means:</w:t>
      </w:r>
    </w:p>
    <w:p w:rsidR="007F3BD3" w:rsidRDefault="007F3BD3" w:rsidP="00F25B19">
      <w:pPr>
        <w:pStyle w:val="SH4"/>
        <w:keepNext/>
      </w:pPr>
      <w:r>
        <w:t>altitudes above 1 500 metres, including flying;</w:t>
      </w:r>
    </w:p>
    <w:p w:rsidR="007F3BD3" w:rsidRDefault="007F3BD3" w:rsidP="00F25B19">
      <w:pPr>
        <w:pStyle w:val="SH4"/>
        <w:keepNext/>
      </w:pPr>
      <w:r>
        <w:t xml:space="preserve">dehydration; </w:t>
      </w:r>
    </w:p>
    <w:p w:rsidR="007F3BD3" w:rsidRDefault="007F3BD3" w:rsidP="00F25B19">
      <w:pPr>
        <w:pStyle w:val="SH4"/>
        <w:keepNext/>
      </w:pPr>
      <w:r>
        <w:t xml:space="preserve">sleep apnoea or other causes of hypoxia; or  </w:t>
      </w:r>
    </w:p>
    <w:p w:rsidR="007F3BD3" w:rsidRPr="001A3C1D" w:rsidRDefault="007F3BD3" w:rsidP="007F3BD3">
      <w:pPr>
        <w:pStyle w:val="SH4"/>
      </w:pPr>
      <w:r>
        <w:t>strenuous exercise.</w:t>
      </w:r>
    </w:p>
    <w:p w:rsidR="007F3BD3" w:rsidRDefault="007F3BD3" w:rsidP="005A5E34">
      <w:pPr>
        <w:pStyle w:val="SH3"/>
      </w:pPr>
      <w:r>
        <w:rPr>
          <w:b/>
          <w:i/>
        </w:rPr>
        <w:t>S</w:t>
      </w:r>
      <w:r w:rsidRPr="001A3C1D">
        <w:rPr>
          <w:b/>
          <w:i/>
        </w:rPr>
        <w:t xml:space="preserve">pecified </w:t>
      </w:r>
      <w:r>
        <w:rPr>
          <w:b/>
          <w:i/>
        </w:rPr>
        <w:t>L</w:t>
      </w:r>
      <w:r w:rsidRPr="001A3C1D">
        <w:rPr>
          <w:b/>
          <w:i/>
        </w:rPr>
        <w:t>ist 2</w:t>
      </w:r>
      <w:r w:rsidR="00F5259A">
        <w:rPr>
          <w:b/>
          <w:i/>
        </w:rPr>
        <w:t xml:space="preserve"> of stimuli</w:t>
      </w:r>
      <w:r>
        <w:t xml:space="preserve"> means:</w:t>
      </w:r>
    </w:p>
    <w:p w:rsidR="007F3BD3" w:rsidRDefault="007F3BD3" w:rsidP="005A5E34">
      <w:pPr>
        <w:pStyle w:val="SH4"/>
      </w:pPr>
      <w:r>
        <w:t>a change in ambient temperature which results in skin cooling;</w:t>
      </w:r>
    </w:p>
    <w:p w:rsidR="007F3BD3" w:rsidRDefault="007F3BD3" w:rsidP="005A5E34">
      <w:pPr>
        <w:pStyle w:val="SH4"/>
      </w:pPr>
      <w:r>
        <w:t>fever;</w:t>
      </w:r>
    </w:p>
    <w:p w:rsidR="007F3BD3" w:rsidRDefault="007F3BD3" w:rsidP="007F3BD3">
      <w:pPr>
        <w:pStyle w:val="SH4"/>
      </w:pPr>
      <w:r>
        <w:t xml:space="preserve">granulocyte colony-stimulating factors; </w:t>
      </w:r>
    </w:p>
    <w:p w:rsidR="007F3BD3" w:rsidRDefault="007F3BD3" w:rsidP="007F3BD3">
      <w:pPr>
        <w:pStyle w:val="SH4"/>
      </w:pPr>
      <w:r>
        <w:t>immersion in cold water;</w:t>
      </w:r>
    </w:p>
    <w:p w:rsidR="007F3BD3" w:rsidRDefault="007F3BD3" w:rsidP="007F3BD3">
      <w:pPr>
        <w:pStyle w:val="SH4"/>
      </w:pPr>
      <w:r>
        <w:t>infection;</w:t>
      </w:r>
    </w:p>
    <w:p w:rsidR="007F3BD3" w:rsidRDefault="007F3BD3" w:rsidP="007F3BD3">
      <w:pPr>
        <w:pStyle w:val="SH4"/>
      </w:pPr>
      <w:r>
        <w:t xml:space="preserve">iodinated radiological contrast agents; </w:t>
      </w:r>
    </w:p>
    <w:p w:rsidR="007F3BD3" w:rsidRDefault="007F3BD3" w:rsidP="007F3BD3">
      <w:pPr>
        <w:pStyle w:val="SH4"/>
      </w:pPr>
      <w:r>
        <w:t>pregnancy or puerperal period;</w:t>
      </w:r>
    </w:p>
    <w:p w:rsidR="007F3BD3" w:rsidRDefault="007F3BD3" w:rsidP="007F3BD3">
      <w:pPr>
        <w:pStyle w:val="SH4"/>
      </w:pPr>
      <w:r>
        <w:t xml:space="preserve">scuba diving; or </w:t>
      </w:r>
    </w:p>
    <w:p w:rsidR="007F3BD3" w:rsidRPr="001A3C1D" w:rsidRDefault="007F3BD3" w:rsidP="007F3BD3">
      <w:pPr>
        <w:pStyle w:val="SH4"/>
      </w:pPr>
      <w:r>
        <w:t>surgery.</w:t>
      </w:r>
    </w:p>
    <w:p w:rsidR="007F3BD3" w:rsidRPr="001A3C1D" w:rsidRDefault="007F3BD3" w:rsidP="007F3BD3">
      <w:pPr>
        <w:pStyle w:val="NOTE"/>
      </w:pPr>
      <w:r>
        <w:t xml:space="preserve">Note: </w:t>
      </w:r>
      <w:r w:rsidRPr="00371A3C">
        <w:rPr>
          <w:b/>
          <w:i/>
        </w:rPr>
        <w:t>a change in ambient temperature</w:t>
      </w:r>
      <w:r w:rsidRPr="00371A3C">
        <w:t xml:space="preserve"> </w:t>
      </w:r>
      <w:r>
        <w:t xml:space="preserve">and </w:t>
      </w:r>
      <w:r w:rsidRPr="001A3C1D">
        <w:rPr>
          <w:b/>
          <w:i/>
        </w:rPr>
        <w:t>puerperal period</w:t>
      </w:r>
      <w:r w:rsidRPr="001A3C1D">
        <w:t xml:space="preserve"> </w:t>
      </w:r>
      <w:r>
        <w:t xml:space="preserve">are </w:t>
      </w:r>
      <w:r w:rsidRPr="0083683A">
        <w:t>also defined in the Schedule</w:t>
      </w:r>
      <w:r w:rsidR="007537CF">
        <w:t> </w:t>
      </w:r>
      <w:r w:rsidRPr="0083683A">
        <w:t>1</w:t>
      </w:r>
      <w:r w:rsidR="007537CF">
        <w:t> </w:t>
      </w:r>
      <w:r w:rsidRPr="0083683A">
        <w:t>-</w:t>
      </w:r>
      <w:r w:rsidR="007537CF">
        <w:t> </w:t>
      </w:r>
      <w:r w:rsidRPr="0083683A">
        <w:t>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7F3BD3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F3BD3">
            <w:rPr>
              <w:i/>
              <w:sz w:val="18"/>
              <w:szCs w:val="18"/>
            </w:rPr>
            <w:t>Sickle-Cell Disorder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7537CF">
            <w:rPr>
              <w:i/>
              <w:sz w:val="18"/>
            </w:rPr>
            <w:t>41</w:t>
          </w:r>
          <w:r w:rsidR="004A2088">
            <w:rPr>
              <w:i/>
              <w:sz w:val="18"/>
              <w:szCs w:val="18"/>
            </w:rPr>
            <w:t xml:space="preserve">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Pr="007F3BD3"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65B18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65B18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7F3BD3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F3BD3">
            <w:rPr>
              <w:i/>
              <w:sz w:val="18"/>
              <w:szCs w:val="18"/>
            </w:rPr>
            <w:t>Sickle-Cell Disorder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7537CF">
            <w:rPr>
              <w:i/>
              <w:sz w:val="18"/>
            </w:rPr>
            <w:t>41</w:t>
          </w:r>
          <w:r w:rsidR="004A2088">
            <w:rPr>
              <w:i/>
              <w:sz w:val="18"/>
              <w:szCs w:val="18"/>
            </w:rPr>
            <w:t xml:space="preserve">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 w:rsidRPr="007F3BD3">
            <w:rPr>
              <w:i/>
              <w:sz w:val="18"/>
              <w:szCs w:val="18"/>
            </w:rPr>
            <w:t>2017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65B18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65B18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88" w:rsidRPr="004A2088" w:rsidRDefault="004A2088" w:rsidP="004A2088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75778"/>
    <w:rsid w:val="00080915"/>
    <w:rsid w:val="00081B7C"/>
    <w:rsid w:val="00085567"/>
    <w:rsid w:val="0008674F"/>
    <w:rsid w:val="00097FDF"/>
    <w:rsid w:val="000B1350"/>
    <w:rsid w:val="000B58FA"/>
    <w:rsid w:val="000C16E3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213D5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4CC8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10D3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88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A5E34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37CF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3BD3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5B18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3AB4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2254E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B5C21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0BAB"/>
    <w:rsid w:val="00F031E5"/>
    <w:rsid w:val="00F03C06"/>
    <w:rsid w:val="00F072A7"/>
    <w:rsid w:val="00F078DC"/>
    <w:rsid w:val="00F25B19"/>
    <w:rsid w:val="00F32BA8"/>
    <w:rsid w:val="00F349F1"/>
    <w:rsid w:val="00F4350D"/>
    <w:rsid w:val="00F5259A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8438</Characters>
  <Application>Microsoft Office Word</Application>
  <DocSecurity>0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2016-12-16T05:29:00Z</dcterms:created>
  <dcterms:modified xsi:type="dcterms:W3CDTF">2017-06-19T23:00:00Z</dcterms:modified>
  <cp:category/>
  <cp:contentStatus/>
  <dc:language/>
  <cp:version/>
</cp:coreProperties>
</file>