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3C53FF" w:rsidP="006647B7">
      <w:pPr>
        <w:pStyle w:val="Plainheader"/>
      </w:pPr>
      <w:r w:rsidRPr="003C53FF">
        <w:t>ACCOMMODATION DISORDER</w:t>
      </w:r>
      <w:r>
        <w:br/>
      </w:r>
      <w:r w:rsidR="00997416"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EA4F04">
        <w:t>38</w:t>
      </w:r>
      <w:bookmarkEnd w:id="0"/>
      <w:r w:rsidRPr="00024911">
        <w:t xml:space="preserve"> </w:t>
      </w:r>
      <w:r w:rsidR="00EA4F04" w:rsidRPr="00024911">
        <w:t>of</w:t>
      </w:r>
      <w:r w:rsidR="00EA4F04">
        <w:t xml:space="preserve"> </w:t>
      </w:r>
      <w:bookmarkStart w:id="1" w:name="year"/>
      <w:r w:rsidR="00EA4F04">
        <w:t>2017</w:t>
      </w:r>
      <w:bookmarkEnd w:id="1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EA4F04">
        <w:t>30 June 2017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EA4F04" w:rsidRPr="007527C1" w:rsidRDefault="00EA4F04" w:rsidP="00EA4F04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A4F04" w:rsidTr="000A2B4C">
        <w:tc>
          <w:tcPr>
            <w:tcW w:w="4116" w:type="dxa"/>
          </w:tcPr>
          <w:p w:rsidR="00EA4F04" w:rsidRDefault="00EA4F04" w:rsidP="000A2B4C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EA4F04" w:rsidRDefault="00EA4F04" w:rsidP="000A2B4C">
            <w:pPr>
              <w:pStyle w:val="Plain"/>
            </w:pPr>
          </w:p>
        </w:tc>
      </w:tr>
      <w:tr w:rsidR="00EA4F04" w:rsidTr="000A2B4C">
        <w:tc>
          <w:tcPr>
            <w:tcW w:w="4116" w:type="dxa"/>
          </w:tcPr>
          <w:p w:rsidR="00EA4F04" w:rsidRDefault="00EA4F04" w:rsidP="000A2B4C">
            <w:pPr>
              <w:pStyle w:val="Plain"/>
            </w:pPr>
            <w:r w:rsidRPr="0032605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88FAF4" wp14:editId="27104A0B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4F04" w:rsidRDefault="00EA4F04" w:rsidP="000A2B4C">
            <w:pPr>
              <w:pStyle w:val="Plain"/>
            </w:pPr>
          </w:p>
          <w:p w:rsidR="00EA4F04" w:rsidRPr="007527C1" w:rsidRDefault="00EA4F04" w:rsidP="000A2B4C">
            <w:pPr>
              <w:pStyle w:val="Plain"/>
            </w:pPr>
            <w:r w:rsidRPr="007527C1">
              <w:t>Professor Nicholas Saunders AO</w:t>
            </w:r>
          </w:p>
          <w:p w:rsidR="00EA4F04" w:rsidRDefault="00EA4F04" w:rsidP="000A2B4C">
            <w:pPr>
              <w:pStyle w:val="Plain"/>
            </w:pPr>
            <w:r w:rsidRPr="007527C1">
              <w:t>Chairperson</w:t>
            </w:r>
          </w:p>
          <w:p w:rsidR="00EA4F04" w:rsidRDefault="00EA4F04" w:rsidP="000A2B4C"/>
        </w:tc>
      </w:tr>
    </w:tbl>
    <w:p w:rsidR="00EA4F04" w:rsidRPr="00FA33FB" w:rsidRDefault="00EA4F04" w:rsidP="00EA4F04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EA4F0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A4F04">
        <w:rPr>
          <w:noProof/>
        </w:rPr>
        <w:t>1</w:t>
      </w:r>
      <w:r w:rsidR="00EA4F0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A4F04">
        <w:rPr>
          <w:noProof/>
        </w:rPr>
        <w:t>Name</w:t>
      </w:r>
      <w:r w:rsidR="00EA4F04">
        <w:rPr>
          <w:noProof/>
        </w:rPr>
        <w:tab/>
      </w:r>
      <w:r w:rsidR="00EA4F04">
        <w:rPr>
          <w:noProof/>
        </w:rPr>
        <w:fldChar w:fldCharType="begin"/>
      </w:r>
      <w:r w:rsidR="00EA4F04">
        <w:rPr>
          <w:noProof/>
        </w:rPr>
        <w:instrText xml:space="preserve"> PAGEREF _Toc480538398 \h </w:instrText>
      </w:r>
      <w:r w:rsidR="00EA4F04">
        <w:rPr>
          <w:noProof/>
        </w:rPr>
      </w:r>
      <w:r w:rsidR="00EA4F04">
        <w:rPr>
          <w:noProof/>
        </w:rPr>
        <w:fldChar w:fldCharType="separate"/>
      </w:r>
      <w:r w:rsidR="00EA4F04">
        <w:rPr>
          <w:noProof/>
        </w:rPr>
        <w:t>3</w:t>
      </w:r>
      <w:r w:rsidR="00EA4F04"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A4F04" w:rsidRDefault="00EA4F0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A4F04" w:rsidRDefault="00EA4F0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_Toc480538410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192161" w:rsidRDefault="0019216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480538398"/>
      <w:r>
        <w:lastRenderedPageBreak/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3C53FF">
        <w:rPr>
          <w:i/>
        </w:rPr>
        <w:t>accommodation disorder</w:t>
      </w:r>
      <w:bookmarkEnd w:id="5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B33853">
        <w:t>38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3C53FF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6" w:name="_Toc480538399"/>
      <w:r w:rsidRPr="00684C0E">
        <w:t>Commencement</w:t>
      </w:r>
      <w:bookmarkEnd w:id="6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EA4F04" w:rsidRPr="00D54061">
        <w:t>31 July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7" w:name="_Toc480538400"/>
      <w:r w:rsidRPr="00684C0E">
        <w:t>Authority</w:t>
      </w:r>
      <w:bookmarkEnd w:id="7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8" w:name="_Toc480538401"/>
      <w:r>
        <w:t>Revocation</w:t>
      </w:r>
      <w:bookmarkEnd w:id="8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3C53FF" w:rsidRPr="003C53FF">
        <w:t>accommodation disorder</w:t>
      </w:r>
      <w:r w:rsidRPr="00DA3996">
        <w:t xml:space="preserve"> No. </w:t>
      </w:r>
      <w:r w:rsidR="003C53FF">
        <w:t>5</w:t>
      </w:r>
      <w:r w:rsidRPr="00DA3996">
        <w:t xml:space="preserve"> of </w:t>
      </w:r>
      <w:r w:rsidR="003C53FF">
        <w:t>2009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9" w:name="_Toc480538402"/>
      <w:r w:rsidRPr="00684C0E">
        <w:t>Application</w:t>
      </w:r>
      <w:bookmarkEnd w:id="9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0" w:name="_Ref410129949"/>
      <w:bookmarkStart w:id="11" w:name="_Toc480538403"/>
      <w:r w:rsidRPr="00684C0E">
        <w:t>Definitions</w:t>
      </w:r>
      <w:bookmarkEnd w:id="10"/>
      <w:bookmarkEnd w:id="11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480538404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:rsidR="007C7DEE" w:rsidRPr="00D5620B" w:rsidRDefault="007C7DEE" w:rsidP="00DA3996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3C53FF" w:rsidRPr="003C53FF">
        <w:t>accommodation disorder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3C53FF" w:rsidRPr="003C53FF">
        <w:t>accommodation disorder</w:t>
      </w:r>
      <w:r w:rsidRPr="00D5620B">
        <w:t>.</w:t>
      </w:r>
      <w:bookmarkEnd w:id="16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3C53FF" w:rsidRPr="003C53FF">
        <w:rPr>
          <w:b/>
        </w:rPr>
        <w:t>accommodation disorder</w:t>
      </w:r>
    </w:p>
    <w:p w:rsidR="002716E4" w:rsidRPr="00237BAF" w:rsidRDefault="007C7DEE" w:rsidP="00DA3996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3C53FF" w:rsidRPr="003C53FF">
        <w:t>accommodation disorder</w:t>
      </w:r>
      <w:r w:rsidR="008B170B">
        <w:t xml:space="preserve"> means</w:t>
      </w:r>
      <w:r w:rsidR="002716E4" w:rsidRPr="00237BAF">
        <w:t>:</w:t>
      </w:r>
      <w:bookmarkEnd w:id="17"/>
    </w:p>
    <w:p w:rsidR="003C53FF" w:rsidRPr="003C53FF" w:rsidRDefault="003C53FF" w:rsidP="003C53FF">
      <w:pPr>
        <w:pStyle w:val="LV3"/>
      </w:pPr>
      <w:r w:rsidRPr="003C53FF">
        <w:t xml:space="preserve">the inability to adjust the lens of the eye to various distances or an inability to sustain such an adjustment; and </w:t>
      </w:r>
    </w:p>
    <w:p w:rsidR="003C53FF" w:rsidRPr="003C53FF" w:rsidRDefault="003C53FF" w:rsidP="007564B3">
      <w:pPr>
        <w:pStyle w:val="LV3"/>
      </w:pPr>
      <w:r w:rsidRPr="003C53FF">
        <w:tab/>
        <w:t>excludes processes primarily affecting the lens (presbyopia and cataract) or shape of the eyeball (myopia, hypermetropia, astigmatism), accommodative excess, and reversible paralysis of ciliary muscle function by</w:t>
      </w:r>
      <w:r>
        <w:t xml:space="preserve"> </w:t>
      </w:r>
      <w:r w:rsidRPr="003C53FF">
        <w:t>means of pharmacological agents, except where such agents can</w:t>
      </w:r>
      <w:r>
        <w:t>no</w:t>
      </w:r>
      <w:r w:rsidRPr="003C53FF">
        <w:t>t be ceased or substituted.</w:t>
      </w:r>
    </w:p>
    <w:bookmarkEnd w:id="18"/>
    <w:p w:rsidR="008F572A" w:rsidRPr="00237BAF" w:rsidRDefault="008F572A" w:rsidP="00DA3996">
      <w:pPr>
        <w:pStyle w:val="LV2"/>
      </w:pPr>
      <w:r w:rsidRPr="00237BAF">
        <w:t xml:space="preserve">While </w:t>
      </w:r>
      <w:r w:rsidR="003C53FF" w:rsidRPr="003C53FF">
        <w:t>accommodation disorder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3C53FF">
        <w:t xml:space="preserve">code </w:t>
      </w:r>
      <w:r w:rsidR="003C53FF" w:rsidRPr="003C53FF">
        <w:t>H52.5</w:t>
      </w:r>
      <w:r w:rsidR="00885EAB" w:rsidRPr="003C53FF">
        <w:t>,</w:t>
      </w:r>
      <w:r w:rsidRPr="003C53FF">
        <w:t xml:space="preserve"> in </w:t>
      </w:r>
      <w:r w:rsidRPr="00237BAF">
        <w:t xml:space="preserve">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3C53FF" w:rsidRPr="003C53FF">
        <w:t>accommodation disorder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lastRenderedPageBreak/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 xml:space="preserve">The </w:t>
      </w:r>
      <w:bookmarkStart w:id="19" w:name="_GoBack"/>
      <w:bookmarkEnd w:id="19"/>
      <w:r w:rsidRPr="0053697E">
        <w:rPr>
          <w:i/>
        </w:rPr>
        <w:t>International Statistical Classification of Diseases and Related Health Problems</w:t>
      </w:r>
      <w:r w:rsidRPr="00446B5F">
        <w:rPr>
          <w:i/>
        </w:rPr>
        <w:t>,</w:t>
      </w:r>
      <w:r w:rsidRPr="00237BAF">
        <w:t xml:space="preserve">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3C53FF" w:rsidRPr="003C53FF">
        <w:rPr>
          <w:b/>
        </w:rPr>
        <w:t>accommodation disorder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3C53FF" w:rsidRPr="003C53FF">
        <w:t>accommodation disorder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3C53FF" w:rsidRPr="003C53FF">
        <w:t>accommodation disorder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20" w:name="_Toc480538405"/>
      <w:r w:rsidRPr="00A20CA1">
        <w:t>Basis for determining the factors</w:t>
      </w:r>
      <w:bookmarkEnd w:id="20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3C53FF" w:rsidRPr="003C53FF">
        <w:t>accommodation disorder</w:t>
      </w:r>
      <w:r>
        <w:t xml:space="preserve"> </w:t>
      </w:r>
      <w:r w:rsidRPr="00D5620B">
        <w:t>and death from</w:t>
      </w:r>
      <w:r>
        <w:t xml:space="preserve"> </w:t>
      </w:r>
      <w:r w:rsidR="003C53FF" w:rsidRPr="003C53FF">
        <w:t>accommodation disorder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80538406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A3996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3C53FF" w:rsidRPr="003C53FF">
        <w:t>accommodation disorder</w:t>
      </w:r>
      <w:r w:rsidR="007A3989">
        <w:t xml:space="preserve"> </w:t>
      </w:r>
      <w:r w:rsidR="007C7DEE" w:rsidRPr="00AA6D8B">
        <w:t xml:space="preserve">or death from </w:t>
      </w:r>
      <w:r w:rsidR="003C53FF" w:rsidRPr="003C53FF">
        <w:t>accommodation disorder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7C7DEE" w:rsidRPr="008D1B8B" w:rsidRDefault="003C53FF" w:rsidP="00DA3996">
      <w:pPr>
        <w:pStyle w:val="LV2"/>
      </w:pPr>
      <w:r>
        <w:rPr>
          <w:lang w:val="en-US"/>
        </w:rPr>
        <w:t>having an injury or disorder affecting the function of the oculomotor nerve or ciliary muscle of the affected eye, at the time of the clinical onset of accommodation disorder;</w:t>
      </w:r>
    </w:p>
    <w:p w:rsidR="00885EAB" w:rsidRPr="00046E67" w:rsidRDefault="00046E67" w:rsidP="002717B2">
      <w:pPr>
        <w:pStyle w:val="NOTE"/>
      </w:pPr>
      <w:r>
        <w:t xml:space="preserve">Note: </w:t>
      </w:r>
      <w:r w:rsidR="003C53FF" w:rsidRPr="004B13C8">
        <w:rPr>
          <w:b/>
          <w:i/>
        </w:rPr>
        <w:t>an injury or disorder affecting the function of the oculomotor nerve or ciliary muscle</w:t>
      </w:r>
      <w:r w:rsidR="00885EAB" w:rsidRPr="00046E67">
        <w:t xml:space="preserve"> is defined in the </w:t>
      </w:r>
      <w:r w:rsidR="00FA0587">
        <w:t xml:space="preserve">Schedule 1 - </w:t>
      </w:r>
      <w:r w:rsidR="00885EAB" w:rsidRPr="002717B2">
        <w:t>Dictionary</w:t>
      </w:r>
      <w:r w:rsidR="00885EAB" w:rsidRPr="00046E67">
        <w:t>.</w:t>
      </w:r>
      <w:r w:rsidR="002716E4" w:rsidRPr="00046E67">
        <w:tab/>
      </w:r>
      <w:r w:rsidR="00EB2BC4">
        <w:t xml:space="preserve"> </w:t>
      </w:r>
    </w:p>
    <w:p w:rsidR="00A352A9" w:rsidRPr="00A352A9" w:rsidRDefault="00A352A9" w:rsidP="00A352A9">
      <w:pPr>
        <w:pStyle w:val="LV2"/>
      </w:pPr>
      <w:bookmarkStart w:id="26" w:name="_Ref402530260"/>
      <w:bookmarkStart w:id="27" w:name="_Ref409598844"/>
      <w:r w:rsidRPr="00A352A9">
        <w:t xml:space="preserve">having concussion at the time of the clinical onset of accommodation disorder; </w:t>
      </w:r>
    </w:p>
    <w:p w:rsidR="00A352A9" w:rsidRDefault="00A352A9" w:rsidP="00A352A9">
      <w:pPr>
        <w:pStyle w:val="LV2"/>
      </w:pPr>
      <w:r w:rsidRPr="00A352A9">
        <w:t xml:space="preserve">having moderate to severe traumatic brain injury at the time of the clinical onset of accommodation disorder; </w:t>
      </w:r>
    </w:p>
    <w:p w:rsidR="00A352A9" w:rsidRPr="00A352A9" w:rsidRDefault="00A352A9" w:rsidP="00A352A9">
      <w:pPr>
        <w:pStyle w:val="LV2"/>
      </w:pPr>
      <w:r>
        <w:rPr>
          <w:rFonts w:cs="Arial"/>
        </w:rPr>
        <w:t xml:space="preserve">being treated with atropine or an atropine-like drug, where </w:t>
      </w:r>
      <w:r>
        <w:rPr>
          <w:snapToGrid w:val="0"/>
        </w:rPr>
        <w:t>the drug cannot be ceased or substituted,</w:t>
      </w:r>
      <w:r>
        <w:rPr>
          <w:rFonts w:cs="Arial"/>
        </w:rPr>
        <w:t xml:space="preserve"> at the time of the clinical onset of accommodation disorder;</w:t>
      </w:r>
    </w:p>
    <w:p w:rsidR="00A352A9" w:rsidRPr="00A352A9" w:rsidRDefault="00A352A9" w:rsidP="00A352A9">
      <w:pPr>
        <w:pStyle w:val="NOTE"/>
      </w:pPr>
      <w:r>
        <w:t xml:space="preserve">Note: </w:t>
      </w:r>
      <w:r w:rsidRPr="004B13C8">
        <w:rPr>
          <w:b/>
          <w:i/>
        </w:rPr>
        <w:t>a</w:t>
      </w:r>
      <w:r>
        <w:rPr>
          <w:b/>
          <w:i/>
        </w:rPr>
        <w:t>tropine-like drug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A352A9" w:rsidRPr="00A352A9" w:rsidRDefault="00A352A9" w:rsidP="00A352A9">
      <w:pPr>
        <w:pStyle w:val="LV2"/>
      </w:pPr>
      <w:r>
        <w:lastRenderedPageBreak/>
        <w:t xml:space="preserve">being treated with a drug, or a drug from a class of drugs, from the specified list of drugs, where </w:t>
      </w:r>
      <w:r>
        <w:rPr>
          <w:snapToGrid w:val="0"/>
        </w:rPr>
        <w:t>the drug cannot be ceased or substituted,</w:t>
      </w:r>
      <w:r>
        <w:rPr>
          <w:rFonts w:cs="Arial"/>
        </w:rPr>
        <w:t xml:space="preserve"> at the time of the clinical onset of accommodati</w:t>
      </w:r>
      <w:r w:rsidR="003D77D1">
        <w:rPr>
          <w:rFonts w:cs="Arial"/>
        </w:rPr>
        <w:t>on</w:t>
      </w:r>
      <w:r>
        <w:rPr>
          <w:rFonts w:cs="Arial"/>
        </w:rPr>
        <w:t xml:space="preserve"> disorder;</w:t>
      </w:r>
    </w:p>
    <w:p w:rsidR="00A352A9" w:rsidRPr="00A352A9" w:rsidRDefault="00A352A9" w:rsidP="00A352A9">
      <w:pPr>
        <w:pStyle w:val="NOTE"/>
        <w:rPr>
          <w:szCs w:val="24"/>
        </w:rPr>
      </w:pPr>
      <w:r>
        <w:t xml:space="preserve">Note: </w:t>
      </w:r>
      <w:r w:rsidRPr="00A352A9">
        <w:rPr>
          <w:b/>
          <w:i/>
        </w:rPr>
        <w:t>specified list of drugs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456C62" w:rsidRPr="008D1B8B" w:rsidRDefault="00456C62" w:rsidP="00456C62">
      <w:pPr>
        <w:pStyle w:val="LV2"/>
      </w:pPr>
      <w:r>
        <w:rPr>
          <w:lang w:val="en-US"/>
        </w:rPr>
        <w:t>having an injury or disorder affecting the function of the oculomotor nerve or ciliary muscle of the affected eye, at the time of the clinical worsening of accommodation disorder;</w:t>
      </w:r>
    </w:p>
    <w:p w:rsidR="00456C62" w:rsidRPr="00046E67" w:rsidRDefault="00456C62" w:rsidP="00456C62">
      <w:pPr>
        <w:pStyle w:val="NOTE"/>
      </w:pPr>
      <w:r>
        <w:t xml:space="preserve">Note: </w:t>
      </w:r>
      <w:r w:rsidRPr="004B13C8">
        <w:rPr>
          <w:b/>
          <w:i/>
        </w:rPr>
        <w:t>an injury or disorder affecting the function of the oculomotor nerve or ciliary muscle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456C62" w:rsidRPr="00A352A9" w:rsidRDefault="00456C62" w:rsidP="00456C62">
      <w:pPr>
        <w:pStyle w:val="LV2"/>
      </w:pPr>
      <w:r w:rsidRPr="00A352A9">
        <w:t xml:space="preserve">having concussion at the time of the clinical worsening of accommodation disorder; </w:t>
      </w:r>
    </w:p>
    <w:p w:rsidR="00456C62" w:rsidRDefault="00456C62" w:rsidP="00456C62">
      <w:pPr>
        <w:pStyle w:val="LV2"/>
      </w:pPr>
      <w:r w:rsidRPr="00A352A9">
        <w:t xml:space="preserve">having moderate to severe traumatic brain injury at the time of the clinical worsening of accommodation disorder; </w:t>
      </w:r>
    </w:p>
    <w:p w:rsidR="00456C62" w:rsidRPr="00A352A9" w:rsidRDefault="00456C62" w:rsidP="00456C62">
      <w:pPr>
        <w:pStyle w:val="LV2"/>
      </w:pPr>
      <w:r>
        <w:rPr>
          <w:rFonts w:cs="Arial"/>
        </w:rPr>
        <w:t xml:space="preserve">being treated with atropine or an atropine-like drug, where </w:t>
      </w:r>
      <w:r>
        <w:rPr>
          <w:snapToGrid w:val="0"/>
        </w:rPr>
        <w:t>the drug cannot be ceased or substituted,</w:t>
      </w:r>
      <w:r>
        <w:rPr>
          <w:rFonts w:cs="Arial"/>
        </w:rPr>
        <w:t xml:space="preserve"> at the time of the clinical worsening of accommodation disorder;</w:t>
      </w:r>
    </w:p>
    <w:p w:rsidR="00456C62" w:rsidRPr="00A352A9" w:rsidRDefault="00456C62" w:rsidP="00456C62">
      <w:pPr>
        <w:pStyle w:val="NOTE"/>
      </w:pPr>
      <w:r>
        <w:t xml:space="preserve">Note: </w:t>
      </w:r>
      <w:r w:rsidRPr="004B13C8">
        <w:rPr>
          <w:b/>
          <w:i/>
        </w:rPr>
        <w:t>a</w:t>
      </w:r>
      <w:r>
        <w:rPr>
          <w:b/>
          <w:i/>
        </w:rPr>
        <w:t>tropine-like drug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456C62" w:rsidRPr="00A352A9" w:rsidRDefault="00456C62" w:rsidP="00456C62">
      <w:pPr>
        <w:pStyle w:val="LV2"/>
      </w:pPr>
      <w:r>
        <w:t xml:space="preserve">being treated with a drug, or a drug from a class of drugs, from the specified list of drugs, where </w:t>
      </w:r>
      <w:r>
        <w:rPr>
          <w:snapToGrid w:val="0"/>
        </w:rPr>
        <w:t>the drug cannot be ceased or substituted,</w:t>
      </w:r>
      <w:r>
        <w:rPr>
          <w:rFonts w:cs="Arial"/>
        </w:rPr>
        <w:t xml:space="preserve"> at the time of the clinical worsening of accommodati</w:t>
      </w:r>
      <w:r w:rsidR="003D77D1">
        <w:rPr>
          <w:rFonts w:cs="Arial"/>
        </w:rPr>
        <w:t>on</w:t>
      </w:r>
      <w:r>
        <w:rPr>
          <w:rFonts w:cs="Arial"/>
        </w:rPr>
        <w:t xml:space="preserve"> disorder;</w:t>
      </w:r>
    </w:p>
    <w:p w:rsidR="00456C62" w:rsidRPr="00A352A9" w:rsidRDefault="00456C62" w:rsidP="00456C62">
      <w:pPr>
        <w:pStyle w:val="NOTE"/>
        <w:rPr>
          <w:szCs w:val="24"/>
        </w:rPr>
      </w:pPr>
      <w:r>
        <w:t xml:space="preserve">Note: </w:t>
      </w:r>
      <w:r w:rsidRPr="00A352A9">
        <w:rPr>
          <w:b/>
          <w:i/>
        </w:rPr>
        <w:t>specified list of drugs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7C7DEE" w:rsidRPr="008D1B8B" w:rsidRDefault="007C7DEE" w:rsidP="00DA3996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3C53FF" w:rsidRPr="003C53FF">
        <w:t>accommodation disorder</w:t>
      </w:r>
      <w:r w:rsidR="00D5620B" w:rsidRPr="008D1B8B">
        <w:t>.</w:t>
      </w:r>
      <w:bookmarkEnd w:id="27"/>
    </w:p>
    <w:p w:rsidR="000C21A3" w:rsidRPr="00684C0E" w:rsidRDefault="00D32F71" w:rsidP="0069220C">
      <w:pPr>
        <w:pStyle w:val="LV1"/>
      </w:pPr>
      <w:bookmarkStart w:id="28" w:name="_Toc480538407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DA399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456C62">
        <w:t>6</w:t>
      </w:r>
      <w:r w:rsidR="00FF1D47">
        <w:t xml:space="preserve">) </w:t>
      </w:r>
      <w:r w:rsidR="00456C62">
        <w:t xml:space="preserve">to 9(11)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3C53FF" w:rsidRPr="003C53FF">
        <w:t>accommodation disorder</w:t>
      </w:r>
      <w:r w:rsidR="007A3989">
        <w:t xml:space="preserve"> </w:t>
      </w:r>
      <w:r w:rsidRPr="00187DE1">
        <w:t>where the person</w:t>
      </w:r>
      <w:r w:rsidR="008051ED">
        <w:t>'</w:t>
      </w:r>
      <w:r w:rsidRPr="00187DE1">
        <w:t xml:space="preserve">s </w:t>
      </w:r>
      <w:r w:rsidR="003C53FF" w:rsidRPr="003C53FF">
        <w:t>accommodation disorder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30" w:name="_Toc480538408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A3996">
      <w:pPr>
        <w:pStyle w:val="PlainIndent"/>
      </w:pPr>
      <w:r w:rsidRPr="00E64EE4">
        <w:t>In this Statement of Principles:</w:t>
      </w:r>
    </w:p>
    <w:p w:rsidR="00F03C06" w:rsidRPr="00E64EE4" w:rsidRDefault="00F03C06" w:rsidP="00DA3996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lastRenderedPageBreak/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80538409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80538410"/>
      <w:r w:rsidRPr="00D97BB3">
        <w:t>Definitions</w:t>
      </w:r>
      <w:bookmarkEnd w:id="34"/>
      <w:bookmarkEnd w:id="35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3C53FF" w:rsidRPr="008F0432" w:rsidRDefault="003C53FF" w:rsidP="00A352A9">
      <w:pPr>
        <w:pStyle w:val="SH3"/>
        <w:rPr>
          <w:b w:val="0"/>
          <w:i w:val="0"/>
        </w:rPr>
      </w:pPr>
      <w:bookmarkStart w:id="36" w:name="_Ref402530810"/>
      <w:r w:rsidRPr="003C53FF">
        <w:t>accommodation disorder</w:t>
      </w:r>
      <w:r w:rsidRPr="00456C62">
        <w:rPr>
          <w:b w:val="0"/>
          <w:i w:val="0"/>
        </w:rPr>
        <w:t>—see subsection 7(2).</w:t>
      </w:r>
    </w:p>
    <w:p w:rsidR="003C53FF" w:rsidRPr="008F0432" w:rsidRDefault="003C53FF" w:rsidP="00A352A9">
      <w:pPr>
        <w:pStyle w:val="SH3"/>
        <w:rPr>
          <w:b w:val="0"/>
          <w:i w:val="0"/>
        </w:rPr>
      </w:pPr>
      <w:r w:rsidRPr="004B13C8">
        <w:t>an injury or disorder affecting the function of the oculomotor nerve or ciliary muscle</w:t>
      </w:r>
      <w:r>
        <w:t xml:space="preserve"> </w:t>
      </w:r>
      <w:r w:rsidRPr="00456C62">
        <w:rPr>
          <w:b w:val="0"/>
          <w:i w:val="0"/>
        </w:rPr>
        <w:t>means any pathological process affecting:</w:t>
      </w:r>
    </w:p>
    <w:p w:rsidR="003C53FF" w:rsidRDefault="003C53FF" w:rsidP="00A352A9">
      <w:pPr>
        <w:pStyle w:val="SH4"/>
      </w:pPr>
      <w:r>
        <w:t xml:space="preserve">the brain stem or the oculomotor nerve anywhere along its course (including the oculomotor nucleus, fascicles, subarachnoid space, cavernous sinus or orbit) that leads to a disturbance in the oculomotor nerve function; or </w:t>
      </w:r>
    </w:p>
    <w:p w:rsidR="003C53FF" w:rsidRDefault="003C53FF" w:rsidP="00A352A9">
      <w:pPr>
        <w:pStyle w:val="SH4"/>
      </w:pPr>
      <w:r>
        <w:t>ciliary muscle function;</w:t>
      </w:r>
    </w:p>
    <w:p w:rsidR="003C53FF" w:rsidRPr="00A352A9" w:rsidRDefault="003C53FF" w:rsidP="00A352A9">
      <w:pPr>
        <w:tabs>
          <w:tab w:val="num" w:pos="851"/>
        </w:tabs>
        <w:ind w:left="851"/>
        <w:rPr>
          <w:sz w:val="24"/>
          <w:szCs w:val="24"/>
        </w:rPr>
      </w:pPr>
      <w:r w:rsidRPr="00A352A9">
        <w:rPr>
          <w:sz w:val="24"/>
          <w:szCs w:val="24"/>
        </w:rPr>
        <w:t xml:space="preserve">and causing impairment of accommodation. </w:t>
      </w:r>
    </w:p>
    <w:p w:rsidR="00A352A9" w:rsidRPr="008F0432" w:rsidRDefault="00A352A9" w:rsidP="00A352A9">
      <w:pPr>
        <w:pStyle w:val="SH3"/>
        <w:rPr>
          <w:b w:val="0"/>
          <w:i w:val="0"/>
          <w:lang w:val="en-US"/>
        </w:rPr>
      </w:pPr>
      <w:r w:rsidRPr="00B33AD8">
        <w:rPr>
          <w:lang w:val="en-US"/>
        </w:rPr>
        <w:t>atropine-like drug</w:t>
      </w:r>
      <w:r>
        <w:rPr>
          <w:lang w:val="en-US"/>
        </w:rPr>
        <w:t xml:space="preserve"> </w:t>
      </w:r>
      <w:r w:rsidRPr="00456C62">
        <w:rPr>
          <w:b w:val="0"/>
          <w:i w:val="0"/>
          <w:lang w:val="en-US"/>
        </w:rPr>
        <w:t>means a drug having properties similar to atropine</w:t>
      </w:r>
      <w:r w:rsidR="001A05EE">
        <w:rPr>
          <w:b w:val="0"/>
          <w:i w:val="0"/>
          <w:lang w:val="en-US"/>
        </w:rPr>
        <w:t xml:space="preserve"> (that is,</w:t>
      </w:r>
      <w:r w:rsidRPr="00456C62">
        <w:rPr>
          <w:b w:val="0"/>
          <w:i w:val="0"/>
          <w:lang w:val="en-US"/>
        </w:rPr>
        <w:t xml:space="preserve"> antagoni</w:t>
      </w:r>
      <w:r w:rsidR="001A05EE">
        <w:rPr>
          <w:b w:val="0"/>
          <w:i w:val="0"/>
          <w:lang w:val="en-US"/>
        </w:rPr>
        <w:t>s</w:t>
      </w:r>
      <w:r w:rsidRPr="00456C62">
        <w:rPr>
          <w:b w:val="0"/>
          <w:i w:val="0"/>
          <w:lang w:val="en-US"/>
        </w:rPr>
        <w:t>ing the effects of acetylcholine at parasympathetic nerve endings</w:t>
      </w:r>
      <w:r w:rsidR="001A05EE">
        <w:rPr>
          <w:b w:val="0"/>
          <w:i w:val="0"/>
          <w:lang w:val="en-US"/>
        </w:rPr>
        <w:t>)</w:t>
      </w:r>
      <w:r w:rsidRPr="008F0432">
        <w:rPr>
          <w:b w:val="0"/>
          <w:i w:val="0"/>
          <w:lang w:val="en-US"/>
        </w:rPr>
        <w:t xml:space="preserve">. </w:t>
      </w:r>
    </w:p>
    <w:p w:rsidR="00A352A9" w:rsidRDefault="00A352A9" w:rsidP="00A352A9">
      <w:pPr>
        <w:pStyle w:val="NOTE"/>
        <w:rPr>
          <w:lang w:val="en-US"/>
        </w:rPr>
      </w:pPr>
      <w:r>
        <w:rPr>
          <w:lang w:val="en-US"/>
        </w:rPr>
        <w:t>Note</w:t>
      </w:r>
      <w:r w:rsidR="00EA4F04">
        <w:rPr>
          <w:lang w:val="en-US"/>
        </w:rPr>
        <w:t xml:space="preserve"> 1</w:t>
      </w:r>
      <w:r>
        <w:rPr>
          <w:lang w:val="en-US"/>
        </w:rPr>
        <w:t>: Examples of atropine-like drugs include antispasmodic agents (</w:t>
      </w:r>
      <w:r w:rsidR="00F55821">
        <w:rPr>
          <w:lang w:val="en-US"/>
        </w:rPr>
        <w:t>for example,</w:t>
      </w:r>
      <w:r>
        <w:rPr>
          <w:lang w:val="en-US"/>
        </w:rPr>
        <w:t xml:space="preserve"> scopolamine), drugs used to treat overactive bladder (</w:t>
      </w:r>
      <w:r w:rsidR="00F55821">
        <w:rPr>
          <w:lang w:val="en-US"/>
        </w:rPr>
        <w:t>for example,</w:t>
      </w:r>
      <w:r>
        <w:rPr>
          <w:lang w:val="en-US"/>
        </w:rPr>
        <w:t xml:space="preserve"> oxybutynin), eye drops used to facilitate examination of the fundus of the eye (</w:t>
      </w:r>
      <w:r w:rsidR="00F55821">
        <w:rPr>
          <w:lang w:val="en-US"/>
        </w:rPr>
        <w:t>for example,</w:t>
      </w:r>
      <w:r>
        <w:rPr>
          <w:lang w:val="en-US"/>
        </w:rPr>
        <w:t xml:space="preserve"> cyclopentolate), antipsychotic agents (</w:t>
      </w:r>
      <w:r w:rsidR="00F55821">
        <w:rPr>
          <w:lang w:val="en-US"/>
        </w:rPr>
        <w:t>for example,</w:t>
      </w:r>
      <w:r>
        <w:rPr>
          <w:lang w:val="en-US"/>
        </w:rPr>
        <w:t xml:space="preserve"> chlorpromazine, haloperidol, clozapine), tricyclic antidepressants (</w:t>
      </w:r>
      <w:r w:rsidR="00F55821">
        <w:rPr>
          <w:lang w:val="en-US"/>
        </w:rPr>
        <w:t>for example,</w:t>
      </w:r>
      <w:r>
        <w:rPr>
          <w:lang w:val="en-US"/>
        </w:rPr>
        <w:t xml:space="preserve"> amitriptyline, doxepin), sedative antihistamines (</w:t>
      </w:r>
      <w:r w:rsidR="00F55821">
        <w:rPr>
          <w:lang w:val="en-US"/>
        </w:rPr>
        <w:t>for example,</w:t>
      </w:r>
      <w:r>
        <w:rPr>
          <w:lang w:val="en-US"/>
        </w:rPr>
        <w:t xml:space="preserve"> clemastine, diphenhydramine)</w:t>
      </w:r>
      <w:r w:rsidR="003D77D1">
        <w:rPr>
          <w:lang w:val="en-US"/>
        </w:rPr>
        <w:t xml:space="preserve">, </w:t>
      </w:r>
      <w:r>
        <w:rPr>
          <w:lang w:val="en-US"/>
        </w:rPr>
        <w:t xml:space="preserve">the anti-depressant maprotiline, and the anti-Parkinson medications benzatropine, biperiden, procyclidine and trihexyphenidyl. </w:t>
      </w:r>
    </w:p>
    <w:p w:rsidR="00A352A9" w:rsidRDefault="00A352A9" w:rsidP="00A352A9">
      <w:pPr>
        <w:pStyle w:val="NOTE"/>
        <w:rPr>
          <w:lang w:val="en-US"/>
        </w:rPr>
      </w:pPr>
      <w:r>
        <w:rPr>
          <w:lang w:val="en-US"/>
        </w:rPr>
        <w:t>Note</w:t>
      </w:r>
      <w:r w:rsidR="00EA4F04">
        <w:rPr>
          <w:lang w:val="en-US"/>
        </w:rPr>
        <w:t xml:space="preserve"> 2</w:t>
      </w:r>
      <w:r>
        <w:rPr>
          <w:lang w:val="en-US"/>
        </w:rPr>
        <w:t>: Typical symptoms and signs of atropine</w:t>
      </w:r>
      <w:r w:rsidR="001A05EE">
        <w:rPr>
          <w:lang w:val="en-US"/>
        </w:rPr>
        <w:t>-</w:t>
      </w:r>
      <w:r>
        <w:rPr>
          <w:lang w:val="en-US"/>
        </w:rPr>
        <w:t xml:space="preserve">like drugs are dry mouth, blurred vision, sensitivity to light, dilated pupils, lack of sweating, and rapid heartbeat. </w:t>
      </w:r>
    </w:p>
    <w:p w:rsidR="00885EAB" w:rsidRPr="009C404D" w:rsidRDefault="00885EAB" w:rsidP="00A352A9">
      <w:pPr>
        <w:pStyle w:val="SH3"/>
      </w:pPr>
      <w:r w:rsidRPr="00973808">
        <w:t>MRCA</w:t>
      </w:r>
      <w:r w:rsidRPr="00B90B8D">
        <w:t xml:space="preserve"> </w:t>
      </w:r>
      <w:r w:rsidRPr="00456C62">
        <w:rPr>
          <w:b w:val="0"/>
          <w:i w:val="0"/>
        </w:rPr>
        <w:t>me</w:t>
      </w:r>
      <w:r w:rsidRPr="00456C62">
        <w:rPr>
          <w:rStyle w:val="SH3nospaceChar"/>
        </w:rPr>
        <w:t>a</w:t>
      </w:r>
      <w:r w:rsidRPr="00456C62">
        <w:rPr>
          <w:b w:val="0"/>
          <w:i w:val="0"/>
        </w:rPr>
        <w:t xml:space="preserve">ns the </w:t>
      </w:r>
      <w:r w:rsidRPr="00456C62">
        <w:rPr>
          <w:b w:val="0"/>
        </w:rPr>
        <w:t>Military Rehabilitation and Compensation Act 2004</w:t>
      </w:r>
      <w:r w:rsidRPr="00456C62">
        <w:rPr>
          <w:b w:val="0"/>
          <w:i w:val="0"/>
        </w:rPr>
        <w:t>.</w:t>
      </w:r>
    </w:p>
    <w:p w:rsidR="0090262E" w:rsidRPr="0090262E" w:rsidRDefault="0090262E" w:rsidP="00A352A9">
      <w:pPr>
        <w:pStyle w:val="SH3"/>
      </w:pPr>
      <w:bookmarkStart w:id="37" w:name="_Ref402529607"/>
      <w:bookmarkEnd w:id="36"/>
      <w:r w:rsidRPr="0090262E">
        <w:t xml:space="preserve">relevant service </w:t>
      </w:r>
      <w:r w:rsidRPr="00456C62">
        <w:rPr>
          <w:b w:val="0"/>
          <w:i w:val="0"/>
        </w:rPr>
        <w:t>means:</w:t>
      </w:r>
    </w:p>
    <w:p w:rsidR="0090262E" w:rsidRPr="0090262E" w:rsidRDefault="0090262E" w:rsidP="00A352A9">
      <w:pPr>
        <w:pStyle w:val="SH4"/>
      </w:pPr>
      <w:r w:rsidRPr="0090262E">
        <w:t xml:space="preserve">operational service under the VEA; </w:t>
      </w:r>
    </w:p>
    <w:p w:rsidR="0090262E" w:rsidRPr="0090262E" w:rsidRDefault="0090262E" w:rsidP="00A352A9">
      <w:pPr>
        <w:pStyle w:val="SH4"/>
      </w:pPr>
      <w:r w:rsidRPr="0090262E">
        <w:t xml:space="preserve">peacekeeping service under the VEA; </w:t>
      </w:r>
    </w:p>
    <w:p w:rsidR="0090262E" w:rsidRPr="0090262E" w:rsidRDefault="0090262E" w:rsidP="00A352A9">
      <w:pPr>
        <w:pStyle w:val="SH4"/>
      </w:pPr>
      <w:r w:rsidRPr="0090262E">
        <w:t xml:space="preserve">hazardous service under the VEA; </w:t>
      </w:r>
    </w:p>
    <w:p w:rsidR="0090262E" w:rsidRPr="0090262E" w:rsidRDefault="0090262E" w:rsidP="00A352A9">
      <w:pPr>
        <w:pStyle w:val="SH4"/>
      </w:pPr>
      <w:r w:rsidRPr="0090262E">
        <w:t>British nuclear test defence service under the VEA;</w:t>
      </w:r>
    </w:p>
    <w:p w:rsidR="0090262E" w:rsidRPr="0090262E" w:rsidRDefault="0090262E" w:rsidP="00A352A9">
      <w:pPr>
        <w:pStyle w:val="SH4"/>
      </w:pPr>
      <w:r w:rsidRPr="0090262E">
        <w:t>warlike service under the MRCA; or</w:t>
      </w:r>
    </w:p>
    <w:p w:rsidR="00885EAB" w:rsidRPr="0090262E" w:rsidRDefault="0090262E" w:rsidP="00A352A9">
      <w:pPr>
        <w:pStyle w:val="SH4"/>
      </w:pPr>
      <w:r w:rsidRPr="0090262E">
        <w:t>non-warlike service under the MRCA.</w:t>
      </w:r>
    </w:p>
    <w:p w:rsidR="0083683A" w:rsidRPr="0083683A" w:rsidRDefault="0083683A" w:rsidP="0083683A">
      <w:pPr>
        <w:pStyle w:val="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A352A9" w:rsidRPr="008F0432" w:rsidRDefault="00A352A9" w:rsidP="00A352A9">
      <w:pPr>
        <w:pStyle w:val="SH3"/>
        <w:rPr>
          <w:b w:val="0"/>
          <w:i w:val="0"/>
        </w:rPr>
      </w:pPr>
      <w:r w:rsidRPr="00A352A9">
        <w:t xml:space="preserve">specified list of drugs </w:t>
      </w:r>
      <w:r w:rsidRPr="00456C62">
        <w:rPr>
          <w:b w:val="0"/>
          <w:i w:val="0"/>
        </w:rPr>
        <w:t>means:</w:t>
      </w:r>
    </w:p>
    <w:p w:rsidR="00A352A9" w:rsidRPr="006435DC" w:rsidRDefault="00A352A9" w:rsidP="00A352A9">
      <w:pPr>
        <w:pStyle w:val="SH4"/>
        <w:ind w:left="1418"/>
      </w:pPr>
      <w:r w:rsidRPr="006435DC">
        <w:t xml:space="preserve">amfepramone; </w:t>
      </w:r>
    </w:p>
    <w:p w:rsidR="00A352A9" w:rsidRPr="006435DC" w:rsidRDefault="00A352A9" w:rsidP="00A352A9">
      <w:pPr>
        <w:pStyle w:val="SH4"/>
        <w:ind w:left="1418"/>
      </w:pPr>
      <w:r w:rsidRPr="006435DC">
        <w:t>benzodiazepines</w:t>
      </w:r>
      <w:r w:rsidR="00D14155">
        <w:t>, including</w:t>
      </w:r>
      <w:r w:rsidRPr="006435DC">
        <w:t xml:space="preserve"> alprazolam, chlordiazepoxide, clonazepam, clorazepate, diazepam, flurazepam, lorazepam, midazolam, oxazepam, temazepam, </w:t>
      </w:r>
      <w:r w:rsidR="00D14155">
        <w:t>triazolam</w:t>
      </w:r>
      <w:r w:rsidRPr="006435DC">
        <w:t>;</w:t>
      </w:r>
    </w:p>
    <w:p w:rsidR="00A352A9" w:rsidRPr="006435DC" w:rsidRDefault="00A352A9" w:rsidP="00A352A9">
      <w:pPr>
        <w:pStyle w:val="SH4"/>
        <w:ind w:left="1418"/>
      </w:pPr>
      <w:r w:rsidRPr="006435DC">
        <w:t xml:space="preserve">benzylpenicillin; </w:t>
      </w:r>
    </w:p>
    <w:p w:rsidR="00A352A9" w:rsidRPr="006435DC" w:rsidRDefault="00A352A9" w:rsidP="00A352A9">
      <w:pPr>
        <w:pStyle w:val="SH4"/>
        <w:ind w:left="1418"/>
      </w:pPr>
      <w:r w:rsidRPr="006435DC">
        <w:t xml:space="preserve">bethanechol; </w:t>
      </w:r>
    </w:p>
    <w:p w:rsidR="00A352A9" w:rsidRPr="006435DC" w:rsidRDefault="00A352A9" w:rsidP="00A352A9">
      <w:pPr>
        <w:pStyle w:val="SH4"/>
        <w:ind w:left="1418"/>
      </w:pPr>
      <w:r w:rsidRPr="006435DC">
        <w:lastRenderedPageBreak/>
        <w:t>carbachol;</w:t>
      </w:r>
    </w:p>
    <w:p w:rsidR="00A352A9" w:rsidRPr="006435DC" w:rsidRDefault="00A352A9" w:rsidP="00A352A9">
      <w:pPr>
        <w:pStyle w:val="SH4"/>
        <w:ind w:left="1418"/>
      </w:pPr>
      <w:r w:rsidRPr="006435DC">
        <w:t>carbamazepine;</w:t>
      </w:r>
    </w:p>
    <w:p w:rsidR="00A352A9" w:rsidRPr="006435DC" w:rsidRDefault="00A352A9" w:rsidP="00A352A9">
      <w:pPr>
        <w:pStyle w:val="SH4"/>
        <w:ind w:left="1418"/>
      </w:pPr>
      <w:r w:rsidRPr="006435DC">
        <w:t xml:space="preserve">carisoprodol; </w:t>
      </w:r>
    </w:p>
    <w:p w:rsidR="00A352A9" w:rsidRPr="006435DC" w:rsidRDefault="00A352A9" w:rsidP="00A352A9">
      <w:pPr>
        <w:pStyle w:val="SH4"/>
        <w:ind w:left="1418"/>
      </w:pPr>
      <w:r w:rsidRPr="006435DC">
        <w:t xml:space="preserve">chloroquine; </w:t>
      </w:r>
    </w:p>
    <w:p w:rsidR="00A352A9" w:rsidRPr="006435DC" w:rsidRDefault="00A352A9" w:rsidP="00A352A9">
      <w:pPr>
        <w:pStyle w:val="SH4"/>
        <w:ind w:left="1418"/>
      </w:pPr>
      <w:r w:rsidRPr="006435DC">
        <w:t>corticosteroids;</w:t>
      </w:r>
    </w:p>
    <w:p w:rsidR="00A352A9" w:rsidRPr="006435DC" w:rsidRDefault="00A352A9" w:rsidP="00A352A9">
      <w:pPr>
        <w:pStyle w:val="SH4"/>
        <w:ind w:left="1418"/>
      </w:pPr>
      <w:r w:rsidRPr="006435DC">
        <w:t>diethylstilbestrol;</w:t>
      </w:r>
    </w:p>
    <w:p w:rsidR="00A352A9" w:rsidRPr="006435DC" w:rsidRDefault="00D14155" w:rsidP="00A352A9">
      <w:pPr>
        <w:pStyle w:val="SH4"/>
        <w:ind w:left="1418"/>
      </w:pPr>
      <w:r>
        <w:t>emetine (i</w:t>
      </w:r>
      <w:r w:rsidR="00A352A9" w:rsidRPr="006435DC">
        <w:t>pecac);</w:t>
      </w:r>
    </w:p>
    <w:p w:rsidR="00A352A9" w:rsidRPr="006435DC" w:rsidRDefault="00A352A9" w:rsidP="00A352A9">
      <w:pPr>
        <w:pStyle w:val="SH4"/>
        <w:ind w:left="1418"/>
      </w:pPr>
      <w:r w:rsidRPr="006435DC">
        <w:t>glibenclamide;</w:t>
      </w:r>
    </w:p>
    <w:p w:rsidR="00A352A9" w:rsidRPr="006435DC" w:rsidRDefault="00A352A9" w:rsidP="00A352A9">
      <w:pPr>
        <w:pStyle w:val="SH4"/>
        <w:ind w:left="1418"/>
      </w:pPr>
      <w:r w:rsidRPr="006435DC">
        <w:t>hydroxychloroquine;</w:t>
      </w:r>
    </w:p>
    <w:p w:rsidR="00A352A9" w:rsidRPr="006435DC" w:rsidRDefault="00A352A9" w:rsidP="00A352A9">
      <w:pPr>
        <w:pStyle w:val="SH4"/>
        <w:ind w:left="1418"/>
      </w:pPr>
      <w:r w:rsidRPr="006435DC">
        <w:t>isoniazid;</w:t>
      </w:r>
    </w:p>
    <w:p w:rsidR="00A352A9" w:rsidRPr="006435DC" w:rsidRDefault="00A352A9" w:rsidP="00A352A9">
      <w:pPr>
        <w:pStyle w:val="SH4"/>
        <w:ind w:left="1418"/>
      </w:pPr>
      <w:r w:rsidRPr="006435DC">
        <w:t>lithium;</w:t>
      </w:r>
    </w:p>
    <w:p w:rsidR="00A352A9" w:rsidRPr="006435DC" w:rsidRDefault="00A352A9" w:rsidP="00A352A9">
      <w:pPr>
        <w:pStyle w:val="SH4"/>
        <w:ind w:left="1418"/>
      </w:pPr>
      <w:r w:rsidRPr="006435DC">
        <w:t xml:space="preserve">meprobamate; </w:t>
      </w:r>
    </w:p>
    <w:p w:rsidR="00A352A9" w:rsidRPr="006435DC" w:rsidRDefault="00A352A9" w:rsidP="00A352A9">
      <w:pPr>
        <w:pStyle w:val="SH4"/>
        <w:ind w:left="1418"/>
      </w:pPr>
      <w:r w:rsidRPr="006435DC">
        <w:t>methacholine</w:t>
      </w:r>
      <w:r w:rsidR="00D14155">
        <w:t>,</w:t>
      </w:r>
      <w:r w:rsidRPr="006435DC">
        <w:t xml:space="preserve"> systemic administration</w:t>
      </w:r>
      <w:r w:rsidR="00D14155">
        <w:t xml:space="preserve"> only</w:t>
      </w:r>
      <w:r w:rsidRPr="006435DC">
        <w:t>;</w:t>
      </w:r>
    </w:p>
    <w:p w:rsidR="00A352A9" w:rsidRPr="006435DC" w:rsidRDefault="00A352A9" w:rsidP="00A352A9">
      <w:pPr>
        <w:pStyle w:val="SH4"/>
        <w:ind w:left="1418"/>
      </w:pPr>
      <w:r w:rsidRPr="006435DC">
        <w:t xml:space="preserve">nalidixic acid; </w:t>
      </w:r>
    </w:p>
    <w:p w:rsidR="00A352A9" w:rsidRPr="006435DC" w:rsidRDefault="00A352A9" w:rsidP="00A352A9">
      <w:pPr>
        <w:pStyle w:val="SH4"/>
        <w:ind w:left="1418"/>
      </w:pPr>
      <w:r w:rsidRPr="006435DC">
        <w:t xml:space="preserve">pentazocine; </w:t>
      </w:r>
    </w:p>
    <w:p w:rsidR="00A352A9" w:rsidRPr="006435DC" w:rsidRDefault="00A352A9" w:rsidP="00A352A9">
      <w:pPr>
        <w:pStyle w:val="SH4"/>
        <w:ind w:left="1418"/>
      </w:pPr>
      <w:r w:rsidRPr="006435DC">
        <w:t>phendimetrazine;</w:t>
      </w:r>
    </w:p>
    <w:p w:rsidR="00A352A9" w:rsidRPr="006435DC" w:rsidRDefault="00A352A9" w:rsidP="00A352A9">
      <w:pPr>
        <w:pStyle w:val="SH4"/>
        <w:ind w:left="1418"/>
      </w:pPr>
      <w:r w:rsidRPr="006435DC">
        <w:t>phenoxymethylpenicillin;</w:t>
      </w:r>
    </w:p>
    <w:p w:rsidR="00A352A9" w:rsidRPr="006435DC" w:rsidRDefault="00A352A9" w:rsidP="00A352A9">
      <w:pPr>
        <w:pStyle w:val="SH4"/>
        <w:ind w:left="1418"/>
      </w:pPr>
      <w:r w:rsidRPr="006435DC">
        <w:t>phentermine;</w:t>
      </w:r>
    </w:p>
    <w:p w:rsidR="00A352A9" w:rsidRPr="006435DC" w:rsidRDefault="00A352A9" w:rsidP="00A352A9">
      <w:pPr>
        <w:pStyle w:val="SH4"/>
        <w:ind w:left="1418"/>
      </w:pPr>
      <w:r w:rsidRPr="006435DC">
        <w:t>phenytoin;</w:t>
      </w:r>
    </w:p>
    <w:p w:rsidR="00A352A9" w:rsidRPr="006435DC" w:rsidRDefault="00A352A9" w:rsidP="00A352A9">
      <w:pPr>
        <w:pStyle w:val="SH4"/>
        <w:ind w:left="1418"/>
      </w:pPr>
      <w:r w:rsidRPr="006435DC">
        <w:t>pilocarpine;</w:t>
      </w:r>
    </w:p>
    <w:p w:rsidR="00A352A9" w:rsidRPr="006435DC" w:rsidRDefault="00A352A9" w:rsidP="00A352A9">
      <w:pPr>
        <w:pStyle w:val="SH4"/>
        <w:ind w:left="1418"/>
      </w:pPr>
      <w:r w:rsidRPr="006435DC">
        <w:t xml:space="preserve">piperazine; </w:t>
      </w:r>
    </w:p>
    <w:p w:rsidR="00A352A9" w:rsidRPr="006435DC" w:rsidRDefault="00A352A9" w:rsidP="00A352A9">
      <w:pPr>
        <w:pStyle w:val="SH4"/>
        <w:ind w:left="1418"/>
      </w:pPr>
      <w:r w:rsidRPr="006435DC">
        <w:t>telithromycin; or</w:t>
      </w:r>
    </w:p>
    <w:p w:rsidR="00A352A9" w:rsidRPr="006435DC" w:rsidRDefault="00A352A9" w:rsidP="00A352A9">
      <w:pPr>
        <w:pStyle w:val="SH4"/>
        <w:ind w:left="1418"/>
      </w:pPr>
      <w:r w:rsidRPr="006435DC">
        <w:t>thiazide and related diuretics</w:t>
      </w:r>
      <w:r w:rsidR="00D14155">
        <w:t xml:space="preserve">, including </w:t>
      </w:r>
      <w:r w:rsidRPr="006435DC">
        <w:t>bendroflumethiazide, chlorothiazide, chlortalidone, hydrochlorothiaz</w:t>
      </w:r>
      <w:r w:rsidR="00C65A95">
        <w:t>i</w:t>
      </w:r>
      <w:r w:rsidRPr="006435DC">
        <w:t xml:space="preserve">de, hydroflumethiazide, indapamide, methyclothiazide, metolazone, </w:t>
      </w:r>
      <w:r w:rsidR="00D14155">
        <w:t>polythiazide, trichlormethizide</w:t>
      </w:r>
      <w:r w:rsidR="001B160D">
        <w:t>.</w:t>
      </w:r>
      <w:r w:rsidR="00C65A95">
        <w:t xml:space="preserve"> </w:t>
      </w:r>
    </w:p>
    <w:p w:rsidR="00885EAB" w:rsidRPr="009C404D" w:rsidRDefault="00054930" w:rsidP="00A352A9">
      <w:pPr>
        <w:pStyle w:val="SH3"/>
      </w:pPr>
      <w:r>
        <w:t>t</w:t>
      </w:r>
      <w:r w:rsidR="00885EAB" w:rsidRPr="00973808">
        <w:t>erminal event</w:t>
      </w:r>
      <w:r w:rsidR="00885EAB" w:rsidRPr="009C404D">
        <w:t xml:space="preserve"> </w:t>
      </w:r>
      <w:r w:rsidR="00885EAB" w:rsidRPr="00456C62">
        <w:rPr>
          <w:b w:val="0"/>
          <w:i w:val="0"/>
        </w:rPr>
        <w:t>means the proximate or ultimate cause of death and includes</w:t>
      </w:r>
      <w:bookmarkEnd w:id="37"/>
      <w:r w:rsidR="00513D05" w:rsidRPr="00456C62">
        <w:rPr>
          <w:b w:val="0"/>
          <w:i w:val="0"/>
        </w:rPr>
        <w:t xml:space="preserve"> </w:t>
      </w:r>
      <w:r w:rsidR="00885EAB" w:rsidRPr="00456C62">
        <w:rPr>
          <w:b w:val="0"/>
          <w:i w:val="0"/>
        </w:rPr>
        <w:t>the following:</w:t>
      </w:r>
    </w:p>
    <w:p w:rsidR="00885EAB" w:rsidRPr="00513D05" w:rsidRDefault="00513D05" w:rsidP="00A352A9">
      <w:pPr>
        <w:pStyle w:val="SH4"/>
      </w:pPr>
      <w:r>
        <w:tab/>
      </w:r>
      <w:r w:rsidR="00885EAB" w:rsidRPr="00513D05">
        <w:t>pneumonia;</w:t>
      </w:r>
    </w:p>
    <w:p w:rsidR="00885EAB" w:rsidRPr="00513D05" w:rsidRDefault="00885EAB" w:rsidP="00A352A9">
      <w:pPr>
        <w:pStyle w:val="SH4"/>
      </w:pPr>
      <w:r w:rsidRPr="00513D05">
        <w:tab/>
        <w:t>respiratory failure;</w:t>
      </w:r>
    </w:p>
    <w:p w:rsidR="00885EAB" w:rsidRPr="00513D05" w:rsidRDefault="00885EAB" w:rsidP="00A352A9">
      <w:pPr>
        <w:pStyle w:val="SH4"/>
      </w:pPr>
      <w:r w:rsidRPr="00513D05">
        <w:tab/>
        <w:t>cardiac arrest;</w:t>
      </w:r>
    </w:p>
    <w:p w:rsidR="00885EAB" w:rsidRPr="00513D05" w:rsidRDefault="00885EAB" w:rsidP="00A352A9">
      <w:pPr>
        <w:pStyle w:val="SH4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A352A9">
      <w:pPr>
        <w:pStyle w:val="SH4"/>
      </w:pPr>
      <w:r w:rsidRPr="00513D05">
        <w:tab/>
        <w:t>cessation of brain function.</w:t>
      </w:r>
    </w:p>
    <w:p w:rsidR="00225CBD" w:rsidRPr="0019084F" w:rsidRDefault="00885EAB" w:rsidP="00A352A9">
      <w:pPr>
        <w:pStyle w:val="SH3"/>
      </w:pPr>
      <w:r w:rsidRPr="00CB1DCB">
        <w:t>VEA</w:t>
      </w:r>
      <w:r w:rsidRPr="0019084F">
        <w:t xml:space="preserve"> </w:t>
      </w:r>
      <w:r w:rsidRPr="00456C62">
        <w:rPr>
          <w:b w:val="0"/>
          <w:i w:val="0"/>
        </w:rPr>
        <w:t xml:space="preserve">means the </w:t>
      </w:r>
      <w:r w:rsidRPr="00456C62">
        <w:rPr>
          <w:b w:val="0"/>
        </w:rPr>
        <w:t>Veterans</w:t>
      </w:r>
      <w:r w:rsidR="00ED21FE" w:rsidRPr="00456C62">
        <w:rPr>
          <w:b w:val="0"/>
        </w:rPr>
        <w:t>'</w:t>
      </w:r>
      <w:r w:rsidRPr="00456C62">
        <w:rPr>
          <w:b w:val="0"/>
        </w:rPr>
        <w:t xml:space="preserve"> Entitlements Act 1986</w:t>
      </w:r>
      <w:r w:rsidRPr="00456C62">
        <w:rPr>
          <w:b w:val="0"/>
          <w:i w:val="0"/>
        </w:rPr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FD775E"/>
    <w:p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3FF" w:rsidRDefault="003C53FF" w:rsidP="003C53FF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3FF" w:rsidRDefault="003C53FF" w:rsidP="003C53FF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Accommodation Disorder (Reasonable Hypothesis) </w:t>
          </w:r>
          <w:r w:rsidRPr="007C5CE0">
            <w:rPr>
              <w:i/>
              <w:sz w:val="18"/>
            </w:rPr>
            <w:t xml:space="preserve">(No. </w:t>
          </w:r>
          <w:r w:rsidR="00F0149A" w:rsidRPr="00F0149A">
            <w:rPr>
              <w:i/>
              <w:sz w:val="18"/>
              <w:szCs w:val="18"/>
            </w:rPr>
            <w:t>38</w:t>
          </w:r>
          <w:r w:rsidRPr="007C5CE0">
            <w:rPr>
              <w:i/>
              <w:sz w:val="18"/>
              <w:szCs w:val="18"/>
            </w:rPr>
            <w:t xml:space="preserve"> of </w:t>
          </w:r>
          <w:r w:rsidR="00F0149A" w:rsidRPr="0085233F">
            <w:rPr>
              <w:bCs/>
              <w:i/>
              <w:sz w:val="18"/>
              <w:szCs w:val="18"/>
              <w:lang w:val="en-US"/>
            </w:rPr>
            <w:t>2017</w:t>
          </w:r>
          <w:r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3FF" w:rsidP="003C53FF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E0291">
            <w:rPr>
              <w:i/>
              <w:noProof/>
              <w:sz w:val="18"/>
            </w:rPr>
            <w:t>4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E0291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3C5E3C" w:rsidRDefault="00F03C06" w:rsidP="003C5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3C53FF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Accommodation Disorder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F0149A" w:rsidRPr="00F0149A">
            <w:rPr>
              <w:i/>
              <w:sz w:val="18"/>
              <w:szCs w:val="18"/>
            </w:rPr>
            <w:t>38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 w:rsidR="00F0149A" w:rsidRPr="0085233F">
            <w:rPr>
              <w:bCs/>
              <w:i/>
              <w:sz w:val="18"/>
              <w:szCs w:val="18"/>
              <w:lang w:val="en-US"/>
            </w:rPr>
            <w:t>2017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E0291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E0291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3C5E3C" w:rsidRDefault="007F2378" w:rsidP="003C5E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3C5E3C" w:rsidRDefault="00997416" w:rsidP="003C5E3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C7AA4" w:rsidRDefault="00885EAB" w:rsidP="00EC7AA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2C6B64" w:rsidRDefault="003C5E3C" w:rsidP="002C6B64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Default="003C5E3C" w:rsidP="003C5E3C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3C5E3C" w:rsidRDefault="003C5E3C" w:rsidP="003C5E3C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C5E3C" w:rsidRDefault="003C5E3C" w:rsidP="003C5E3C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A7A25"/>
    <w:multiLevelType w:val="hybridMultilevel"/>
    <w:tmpl w:val="A8DED1EC"/>
    <w:lvl w:ilvl="0" w:tplc="56F2124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2" w15:restartNumberingAfterBreak="0">
    <w:nsid w:val="05A239B5"/>
    <w:multiLevelType w:val="hybridMultilevel"/>
    <w:tmpl w:val="3C3292BA"/>
    <w:lvl w:ilvl="0" w:tplc="9252F3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4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1CF0228"/>
    <w:multiLevelType w:val="multilevel"/>
    <w:tmpl w:val="BA48D6C0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52428D3"/>
    <w:multiLevelType w:val="hybridMultilevel"/>
    <w:tmpl w:val="B8261276"/>
    <w:lvl w:ilvl="0" w:tplc="DDD4A1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1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2"/>
  </w:num>
  <w:num w:numId="22">
    <w:abstractNumId w:val="15"/>
  </w:num>
  <w:num w:numId="23">
    <w:abstractNumId w:val="15"/>
  </w:num>
  <w:num w:numId="24">
    <w:abstractNumId w:val="17"/>
  </w:num>
  <w:num w:numId="25">
    <w:abstractNumId w:val="11"/>
  </w:num>
  <w:num w:numId="26">
    <w:abstractNumId w:val="15"/>
  </w:num>
  <w:num w:numId="27">
    <w:abstractNumId w:val="10"/>
  </w:num>
  <w:num w:numId="28">
    <w:abstractNumId w:val="15"/>
  </w:num>
  <w:num w:numId="2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0291"/>
    <w:rsid w:val="000E2261"/>
    <w:rsid w:val="000E3646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2161"/>
    <w:rsid w:val="001939E1"/>
    <w:rsid w:val="00194C3E"/>
    <w:rsid w:val="00195382"/>
    <w:rsid w:val="001A05EE"/>
    <w:rsid w:val="001A1438"/>
    <w:rsid w:val="001B0F26"/>
    <w:rsid w:val="001B160D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6B64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53FF"/>
    <w:rsid w:val="003C5E3C"/>
    <w:rsid w:val="003C6231"/>
    <w:rsid w:val="003D0BFE"/>
    <w:rsid w:val="003D380A"/>
    <w:rsid w:val="003D5700"/>
    <w:rsid w:val="003D77D1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46B5F"/>
    <w:rsid w:val="00456C62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339CB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51ED"/>
    <w:rsid w:val="0080531C"/>
    <w:rsid w:val="00806368"/>
    <w:rsid w:val="008117E9"/>
    <w:rsid w:val="00824498"/>
    <w:rsid w:val="008321ED"/>
    <w:rsid w:val="00832C32"/>
    <w:rsid w:val="0083683A"/>
    <w:rsid w:val="00842EA3"/>
    <w:rsid w:val="00850A63"/>
    <w:rsid w:val="0085233F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0432"/>
    <w:rsid w:val="008F16AA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352A9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853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5A95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CF4B7C"/>
    <w:rsid w:val="00D050E6"/>
    <w:rsid w:val="00D13441"/>
    <w:rsid w:val="00D14155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879F1"/>
    <w:rsid w:val="00E90315"/>
    <w:rsid w:val="00E92D94"/>
    <w:rsid w:val="00E9347E"/>
    <w:rsid w:val="00E93E6F"/>
    <w:rsid w:val="00E94D5E"/>
    <w:rsid w:val="00EA4F04"/>
    <w:rsid w:val="00EA7100"/>
    <w:rsid w:val="00EA7F9F"/>
    <w:rsid w:val="00EB1274"/>
    <w:rsid w:val="00EB2BC4"/>
    <w:rsid w:val="00EC0340"/>
    <w:rsid w:val="00EC7405"/>
    <w:rsid w:val="00EC7AA4"/>
    <w:rsid w:val="00ED21FE"/>
    <w:rsid w:val="00ED2BB6"/>
    <w:rsid w:val="00ED34E1"/>
    <w:rsid w:val="00ED3B8D"/>
    <w:rsid w:val="00ED46FF"/>
    <w:rsid w:val="00ED4913"/>
    <w:rsid w:val="00EF2E3A"/>
    <w:rsid w:val="00F0149A"/>
    <w:rsid w:val="00F03C06"/>
    <w:rsid w:val="00F072A7"/>
    <w:rsid w:val="00F078DC"/>
    <w:rsid w:val="00F3130C"/>
    <w:rsid w:val="00F32BA8"/>
    <w:rsid w:val="00F349F1"/>
    <w:rsid w:val="00F4350D"/>
    <w:rsid w:val="00F55821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A352A9"/>
    <w:pPr>
      <w:numPr>
        <w:ilvl w:val="2"/>
        <w:numId w:val="5"/>
      </w:numPr>
      <w:spacing w:before="100"/>
      <w:ind w:left="851" w:hanging="851"/>
    </w:pPr>
    <w:rPr>
      <w:rFonts w:eastAsia="Times New Roman"/>
      <w:b/>
      <w:i/>
      <w:sz w:val="24"/>
      <w:szCs w:val="24"/>
    </w:rPr>
  </w:style>
  <w:style w:type="paragraph" w:customStyle="1" w:styleId="SH4">
    <w:name w:val="SH 4"/>
    <w:autoRedefine/>
    <w:qFormat/>
    <w:rsid w:val="00A352A9"/>
    <w:pPr>
      <w:numPr>
        <w:ilvl w:val="3"/>
        <w:numId w:val="5"/>
      </w:numPr>
      <w:spacing w:before="100" w:after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A352A9"/>
    <w:rPr>
      <w:rFonts w:eastAsia="Times New Roman"/>
      <w:b/>
      <w:i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b/>
      <w:i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3C53FF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1544</Words>
  <Characters>8801</Characters>
  <Application>Microsoft Office Word</Application>
  <DocSecurity>0</DocSecurity>
  <PresentationFormat/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2017-04-13T03:27:00Z</dcterms:created>
  <dcterms:modified xsi:type="dcterms:W3CDTF">2017-06-19T22:52:00Z</dcterms:modified>
  <cp:category/>
  <cp:contentStatus/>
  <dc:language/>
  <cp:version/>
</cp:coreProperties>
</file>