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CD448A" w:rsidP="006647B7">
      <w:pPr>
        <w:pStyle w:val="Plainheader"/>
      </w:pPr>
      <w:bookmarkStart w:id="1" w:name="SoP_Name_Title"/>
      <w:r w:rsidRPr="00CD448A">
        <w:t>THROMBOANGIITIS OBLITERANS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B46AC8">
        <w:t>28</w:t>
      </w:r>
      <w:r w:rsidRPr="00024911">
        <w:t xml:space="preserve"> of</w:t>
      </w:r>
      <w:r w:rsidR="00085567">
        <w:t xml:space="preserve"> </w:t>
      </w:r>
      <w:bookmarkStart w:id="2" w:name="year"/>
      <w:r w:rsidR="00CD448A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6D3928">
        <w:t>21 April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C6B64" w:rsidTr="0034373D">
        <w:tc>
          <w:tcPr>
            <w:tcW w:w="4116" w:type="dxa"/>
          </w:tcPr>
          <w:p w:rsidR="002C6B64" w:rsidRDefault="002C6B6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C6B64" w:rsidRDefault="002C6B64" w:rsidP="0034373D">
            <w:pPr>
              <w:pStyle w:val="Plain"/>
            </w:pPr>
          </w:p>
        </w:tc>
      </w:tr>
      <w:tr w:rsidR="002C6B64" w:rsidTr="0034373D">
        <w:tc>
          <w:tcPr>
            <w:tcW w:w="4116" w:type="dxa"/>
          </w:tcPr>
          <w:p w:rsidR="002C6B64" w:rsidRDefault="002C6B64" w:rsidP="0034373D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BBE04A" wp14:editId="43986F84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6B64" w:rsidRDefault="002C6B64" w:rsidP="0034373D">
            <w:pPr>
              <w:pStyle w:val="Plain"/>
            </w:pPr>
          </w:p>
          <w:p w:rsidR="002C6B64" w:rsidRPr="007527C1" w:rsidRDefault="002C6B64" w:rsidP="0034373D">
            <w:pPr>
              <w:pStyle w:val="Plain"/>
            </w:pPr>
            <w:r w:rsidRPr="007527C1">
              <w:t>Professor Nicholas Saunders AO</w:t>
            </w:r>
          </w:p>
          <w:p w:rsidR="002C6B64" w:rsidRDefault="002C6B64" w:rsidP="0034373D">
            <w:pPr>
              <w:pStyle w:val="Plain"/>
            </w:pPr>
            <w:r w:rsidRPr="007527C1">
              <w:t>Chairperson</w:t>
            </w:r>
          </w:p>
          <w:p w:rsidR="002C6B64" w:rsidRDefault="002C6B64" w:rsidP="0034373D"/>
        </w:tc>
      </w:tr>
    </w:tbl>
    <w:p w:rsidR="002C6B64" w:rsidRPr="00FA33FB" w:rsidRDefault="002C6B64" w:rsidP="002C6B64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CD448A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CD448A">
        <w:rPr>
          <w:noProof/>
        </w:rPr>
        <w:t>1</w:t>
      </w:r>
      <w:r w:rsidR="00CD448A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CD448A">
        <w:rPr>
          <w:noProof/>
        </w:rPr>
        <w:t>Name</w:t>
      </w:r>
      <w:r w:rsidR="00CD448A">
        <w:rPr>
          <w:noProof/>
        </w:rPr>
        <w:tab/>
      </w:r>
      <w:r w:rsidR="00CD448A">
        <w:rPr>
          <w:noProof/>
        </w:rPr>
        <w:fldChar w:fldCharType="begin"/>
      </w:r>
      <w:r w:rsidR="00CD448A">
        <w:rPr>
          <w:noProof/>
        </w:rPr>
        <w:instrText xml:space="preserve"> PAGEREF _Toc475522223 \h </w:instrText>
      </w:r>
      <w:r w:rsidR="00CD448A">
        <w:rPr>
          <w:noProof/>
        </w:rPr>
      </w:r>
      <w:r w:rsidR="00CD448A">
        <w:rPr>
          <w:noProof/>
        </w:rPr>
        <w:fldChar w:fldCharType="separate"/>
      </w:r>
      <w:r w:rsidR="00CD448A">
        <w:rPr>
          <w:noProof/>
        </w:rPr>
        <w:t>3</w:t>
      </w:r>
      <w:r w:rsidR="00CD448A"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D448A" w:rsidRDefault="00CD44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D448A" w:rsidRDefault="00CD448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_Toc475522235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75522223"/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CD448A">
        <w:rPr>
          <w:i/>
        </w:rPr>
        <w:t>thromboangiitis o</w:t>
      </w:r>
      <w:r w:rsidR="00CD448A" w:rsidRPr="00CD448A">
        <w:rPr>
          <w:i/>
        </w:rPr>
        <w:t>bliterans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46AC8">
        <w:t>28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D448A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75522224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6D3928">
        <w:t>22 May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75522225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75522226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D448A" w:rsidRPr="00CD448A">
        <w:t>thromboangiitis obliterans</w:t>
      </w:r>
      <w:r w:rsidRPr="00DA3996">
        <w:t xml:space="preserve"> No. </w:t>
      </w:r>
      <w:r w:rsidR="007067BD">
        <w:t>7</w:t>
      </w:r>
      <w:r w:rsidRPr="00DA3996">
        <w:t xml:space="preserve"> of </w:t>
      </w:r>
      <w:r w:rsidR="007067BD">
        <w:t>2009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75522227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75522228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7552222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D448A" w:rsidRPr="00CD448A">
        <w:t>thromboangiitis obliterans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D448A" w:rsidRPr="00CD448A">
        <w:t>thromboangiitis obliterans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D448A" w:rsidRPr="00CD448A">
        <w:rPr>
          <w:b/>
        </w:rPr>
        <w:t>thromboangiitis obliterans</w:t>
      </w:r>
    </w:p>
    <w:p w:rsidR="002716E4" w:rsidRPr="00237BAF" w:rsidRDefault="007C7DEE" w:rsidP="00DA3996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CD448A" w:rsidRPr="00CD448A">
        <w:t>thromboangiitis obliterans</w:t>
      </w:r>
      <w:r w:rsidR="008B170B">
        <w:t xml:space="preserve"> </w:t>
      </w:r>
      <w:bookmarkEnd w:id="18"/>
      <w:r w:rsidR="00CD448A">
        <w:t xml:space="preserve">means a </w:t>
      </w:r>
      <w:proofErr w:type="spellStart"/>
      <w:r w:rsidR="00CD448A">
        <w:t>nonatherosclerotic</w:t>
      </w:r>
      <w:proofErr w:type="spellEnd"/>
      <w:r w:rsidR="00CD448A">
        <w:t>, segmental, inflammatory, occlusive vascular disease affecting the small and medium-sized arteries and veins.</w:t>
      </w:r>
    </w:p>
    <w:p w:rsidR="007C7DEE" w:rsidRPr="008E76DC" w:rsidRDefault="00CD448A" w:rsidP="00CD448A">
      <w:pPr>
        <w:pStyle w:val="NOTE"/>
      </w:pPr>
      <w:r>
        <w:t>Note:</w:t>
      </w:r>
      <w:bookmarkEnd w:id="19"/>
      <w:r>
        <w:t xml:space="preserve"> </w:t>
      </w:r>
      <w:r w:rsidR="009E3EAC">
        <w:t>Thromboangiitis obliterans is also known as Buerger's disease.</w:t>
      </w:r>
    </w:p>
    <w:p w:rsidR="008F572A" w:rsidRPr="00237BAF" w:rsidRDefault="008F572A" w:rsidP="00DA3996">
      <w:pPr>
        <w:pStyle w:val="LV2"/>
      </w:pPr>
      <w:r w:rsidRPr="00237BAF">
        <w:t xml:space="preserve">While </w:t>
      </w:r>
      <w:r w:rsidR="00CD448A" w:rsidRPr="00CD448A">
        <w:t>thromboangiitis obliterans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354BE7">
        <w:t>I73.1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D448A" w:rsidRPr="00CD448A">
        <w:t>thromboangiitis obliterans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B74277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D448A" w:rsidRPr="00CD448A">
        <w:rPr>
          <w:b/>
        </w:rPr>
        <w:t>thromboangiitis obliterans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D448A" w:rsidRPr="00CD448A">
        <w:t>thromboangiitis obliterans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CD448A" w:rsidRPr="00CD448A">
        <w:t>thromboangiitis obliterans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75522230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CD448A" w:rsidRPr="00CD448A">
        <w:t>thromboangiitis obliterans</w:t>
      </w:r>
      <w:r>
        <w:t xml:space="preserve"> </w:t>
      </w:r>
      <w:r w:rsidRPr="00D5620B">
        <w:t>and death from</w:t>
      </w:r>
      <w:r>
        <w:t xml:space="preserve"> </w:t>
      </w:r>
      <w:r w:rsidR="00CD448A" w:rsidRPr="00CD448A">
        <w:t>thromboangiitis obliterans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75522231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D448A" w:rsidRPr="00CD448A">
        <w:t>thromboangiitis obliterans</w:t>
      </w:r>
      <w:r w:rsidR="007A3989">
        <w:t xml:space="preserve"> </w:t>
      </w:r>
      <w:r w:rsidR="007C7DEE" w:rsidRPr="00AA6D8B">
        <w:t xml:space="preserve">or death from </w:t>
      </w:r>
      <w:r w:rsidR="00CD448A" w:rsidRPr="00CD448A">
        <w:t>thromboangiitis obliterans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9E3EAC" w:rsidP="00DA3996">
      <w:pPr>
        <w:pStyle w:val="LV2"/>
      </w:pPr>
      <w:r>
        <w:rPr>
          <w:lang w:val="en-US"/>
        </w:rPr>
        <w:t>smoking at least three pack</w:t>
      </w:r>
      <w:r w:rsidR="00D40138">
        <w:rPr>
          <w:lang w:val="en-US"/>
        </w:rPr>
        <w:t>-</w:t>
      </w:r>
      <w:r>
        <w:rPr>
          <w:lang w:val="en-US"/>
        </w:rPr>
        <w:t>years of cigarettes, or the equivalent thereof in other tobacco products, within the six years before the clinical onset of thromboangiitis obliterans;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9E3EAC" w:rsidRPr="009E3EAC">
        <w:rPr>
          <w:b/>
          <w:i/>
        </w:rPr>
        <w:t>pack</w:t>
      </w:r>
      <w:r w:rsidR="00D40138">
        <w:rPr>
          <w:b/>
          <w:i/>
        </w:rPr>
        <w:t>-</w:t>
      </w:r>
      <w:r w:rsidR="009E3EAC" w:rsidRPr="009E3EAC">
        <w:rPr>
          <w:b/>
          <w:i/>
        </w:rPr>
        <w:t>year of cigarettes, or the equivalent thereof in other tobacco products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9E3EAC" w:rsidRDefault="009E3EAC" w:rsidP="001474E4">
      <w:pPr>
        <w:pStyle w:val="LV2"/>
      </w:pPr>
      <w:bookmarkStart w:id="26" w:name="_Ref402530260"/>
      <w:bookmarkStart w:id="27" w:name="_Ref409598844"/>
      <w:r w:rsidRPr="00725725">
        <w:t xml:space="preserve">being exposed to </w:t>
      </w:r>
      <w:r>
        <w:t>second-hand smoke for at least 3</w:t>
      </w:r>
      <w:r w:rsidRPr="00725725">
        <w:t xml:space="preserve"> 000 hours within the </w:t>
      </w:r>
      <w:r>
        <w:t xml:space="preserve">six </w:t>
      </w:r>
      <w:r w:rsidRPr="00725725">
        <w:t xml:space="preserve">years before the clinical </w:t>
      </w:r>
      <w:r>
        <w:t>onset of thromboangiitis obliterans;</w:t>
      </w:r>
    </w:p>
    <w:p w:rsidR="009E3EAC" w:rsidRDefault="009E3EAC" w:rsidP="009E3EAC">
      <w:pPr>
        <w:pStyle w:val="NOTE"/>
      </w:pPr>
      <w:r>
        <w:t xml:space="preserve">Note: </w:t>
      </w:r>
      <w:r w:rsidRPr="009E3EAC">
        <w:rPr>
          <w:b/>
          <w:i/>
        </w:rPr>
        <w:t>being exposed to second-hand smoke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9E3EAC" w:rsidRDefault="009E3EAC" w:rsidP="001474E4">
      <w:pPr>
        <w:pStyle w:val="LV2"/>
      </w:pPr>
      <w:r>
        <w:rPr>
          <w:color w:val="000000"/>
          <w:lang w:val="en-US"/>
        </w:rPr>
        <w:t xml:space="preserve">the oral use of smokeless tobacco on more days than not, for at least three years </w:t>
      </w:r>
      <w:r w:rsidRPr="00725725">
        <w:t xml:space="preserve">within the </w:t>
      </w:r>
      <w:r>
        <w:t xml:space="preserve">six </w:t>
      </w:r>
      <w:r w:rsidRPr="00725725">
        <w:t xml:space="preserve">years before the clinical </w:t>
      </w:r>
      <w:r>
        <w:t>onset of thromboangiitis obliterans;</w:t>
      </w:r>
      <w:r w:rsidR="008F5C3B">
        <w:t xml:space="preserve"> </w:t>
      </w:r>
    </w:p>
    <w:p w:rsidR="009E3EAC" w:rsidRDefault="009E3EAC" w:rsidP="009E3EAC">
      <w:pPr>
        <w:pStyle w:val="NOTE"/>
      </w:pPr>
      <w:r>
        <w:t xml:space="preserve">Note: </w:t>
      </w:r>
      <w:r>
        <w:rPr>
          <w:b/>
          <w:i/>
        </w:rPr>
        <w:t>smokeless tobacco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0E3646" w:rsidRPr="009E3EAC" w:rsidRDefault="009E3EAC" w:rsidP="000E3646">
      <w:pPr>
        <w:pStyle w:val="LV2"/>
      </w:pPr>
      <w:r>
        <w:rPr>
          <w:lang w:val="en-US"/>
        </w:rPr>
        <w:t>smoking at least half a pack</w:t>
      </w:r>
      <w:r w:rsidR="00D40138">
        <w:rPr>
          <w:lang w:val="en-US"/>
        </w:rPr>
        <w:t>-</w:t>
      </w:r>
      <w:r>
        <w:rPr>
          <w:lang w:val="en-US"/>
        </w:rPr>
        <w:t>year of cigarettes, or the equivalent thereof in other tobacco products, within the one year before the clinical worsening of thromboangiitis obliterans;</w:t>
      </w:r>
    </w:p>
    <w:p w:rsidR="009E3EAC" w:rsidRPr="008E76DC" w:rsidRDefault="009E3EAC" w:rsidP="009E3EAC">
      <w:pPr>
        <w:pStyle w:val="NOTE"/>
      </w:pPr>
      <w:r>
        <w:t xml:space="preserve">Note: </w:t>
      </w:r>
      <w:r w:rsidRPr="009E3EAC">
        <w:rPr>
          <w:b/>
          <w:i/>
        </w:rPr>
        <w:t>pack</w:t>
      </w:r>
      <w:r w:rsidR="00D40138">
        <w:rPr>
          <w:b/>
          <w:i/>
        </w:rPr>
        <w:t>-</w:t>
      </w:r>
      <w:r w:rsidRPr="009E3EAC">
        <w:rPr>
          <w:b/>
          <w:i/>
        </w:rPr>
        <w:t>year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0E3646" w:rsidRPr="00D66277" w:rsidRDefault="009E3EAC" w:rsidP="00354BE7">
      <w:pPr>
        <w:pStyle w:val="LV2"/>
        <w:keepNext/>
      </w:pPr>
      <w:r w:rsidRPr="00725725">
        <w:lastRenderedPageBreak/>
        <w:t xml:space="preserve">being exposed to </w:t>
      </w:r>
      <w:r>
        <w:t>second-hand smoke for at least 5</w:t>
      </w:r>
      <w:r w:rsidRPr="00725725">
        <w:t xml:space="preserve">00 hours within the </w:t>
      </w:r>
      <w:r>
        <w:t xml:space="preserve">one </w:t>
      </w:r>
      <w:r w:rsidRPr="00725725">
        <w:t xml:space="preserve">year before the clinical </w:t>
      </w:r>
      <w:r>
        <w:t>worsening of thromboangiitis obliterans;</w:t>
      </w:r>
    </w:p>
    <w:p w:rsidR="000E3646" w:rsidRDefault="009E3EAC" w:rsidP="009E3EAC">
      <w:pPr>
        <w:pStyle w:val="NOTE"/>
      </w:pPr>
      <w:r>
        <w:t xml:space="preserve">Note: </w:t>
      </w:r>
      <w:r w:rsidRPr="009E3EAC">
        <w:rPr>
          <w:b/>
          <w:i/>
        </w:rPr>
        <w:tab/>
        <w:t>being exposed to second-hand smoke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9E3EAC" w:rsidRDefault="008F5C3B" w:rsidP="009E3EAC">
      <w:pPr>
        <w:pStyle w:val="LV2"/>
      </w:pPr>
      <w:r>
        <w:rPr>
          <w:color w:val="000000"/>
          <w:lang w:val="en-US"/>
        </w:rPr>
        <w:t xml:space="preserve">the oral use of smokeless tobacco on more days than not, for at least six months </w:t>
      </w:r>
      <w:r w:rsidRPr="00725725">
        <w:t xml:space="preserve">within the </w:t>
      </w:r>
      <w:r>
        <w:t xml:space="preserve">one </w:t>
      </w:r>
      <w:r w:rsidRPr="00725725">
        <w:t xml:space="preserve">year before the clinical </w:t>
      </w:r>
      <w:r>
        <w:t xml:space="preserve">worsening of thromboangiitis obliterans; </w:t>
      </w:r>
    </w:p>
    <w:p w:rsidR="009E3EAC" w:rsidRDefault="009E3EAC" w:rsidP="009E3EAC">
      <w:pPr>
        <w:pStyle w:val="NOTE"/>
      </w:pPr>
      <w:r>
        <w:t xml:space="preserve">Note: </w:t>
      </w:r>
      <w:r>
        <w:rPr>
          <w:b/>
          <w:i/>
        </w:rPr>
        <w:t>smokeless tobacco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D448A" w:rsidRPr="00CD448A">
        <w:t>thromboangiitis obliterans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75522232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622122">
        <w:t>4</w:t>
      </w:r>
      <w:r w:rsidR="00FF1D47">
        <w:t xml:space="preserve">) </w:t>
      </w:r>
      <w:r w:rsidR="00622122">
        <w:t xml:space="preserve">to 9(7)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CD448A" w:rsidRPr="00CD448A">
        <w:t>thromboangiitis obliterans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CD448A" w:rsidRPr="00CD448A">
        <w:t>thromboangiitis obliterans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75522233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7552223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75522235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8F5C3B" w:rsidRPr="008F5C3B" w:rsidRDefault="008F5C3B" w:rsidP="008F5C3B">
      <w:pPr>
        <w:pStyle w:val="SH3"/>
      </w:pPr>
      <w:bookmarkStart w:id="36" w:name="_Ref402530810"/>
      <w:r w:rsidRPr="008F5C3B">
        <w:rPr>
          <w:b/>
          <w:i/>
        </w:rPr>
        <w:t>being exposed to second-hand smoke</w:t>
      </w:r>
      <w:r w:rsidRPr="008F5C3B">
        <w:t xml:space="preserve"> means being in an enclosed space and inhaling smoke from burning tobacco products or smoke that has been exhaled by a person who is smoking.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D40138" w:rsidRPr="00C50049" w:rsidRDefault="00D40138" w:rsidP="00D40138">
      <w:pPr>
        <w:pStyle w:val="SH3"/>
      </w:pPr>
      <w:bookmarkStart w:id="37" w:name="_Ref402529607"/>
      <w:bookmarkEnd w:id="36"/>
      <w:r w:rsidRPr="00C50049">
        <w:rPr>
          <w:b/>
          <w:i/>
        </w:rPr>
        <w:t>pack-year of cigarettes, or the equivalent thereof in other tobacco products</w:t>
      </w:r>
      <w:r w:rsidRPr="00C50049">
        <w:t xml:space="preserve"> means a calculation of consumption where one pack-year of cigarettes equals 20 tailor-made cigarettes per day for a period of one calendar year, or 7 300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F5C3B" w:rsidRPr="008F5C3B" w:rsidRDefault="008F5C3B" w:rsidP="00984EE9">
      <w:pPr>
        <w:pStyle w:val="SH3"/>
        <w:ind w:left="851" w:hanging="851"/>
      </w:pPr>
      <w:r w:rsidRPr="00FD00A2">
        <w:rPr>
          <w:b/>
          <w:i/>
          <w:lang w:val="en-US"/>
        </w:rPr>
        <w:t>smokeless tobacco</w:t>
      </w:r>
      <w:r>
        <w:rPr>
          <w:lang w:val="en-US"/>
        </w:rPr>
        <w:t xml:space="preserve"> means tobacco products without combustion or pyrolysis at the time of use, including chewing tobacco and tobacco snuff.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8F5C3B" w:rsidRPr="00513D05" w:rsidRDefault="008F5C3B" w:rsidP="008F5C3B">
      <w:pPr>
        <w:pStyle w:val="SH3"/>
        <w:ind w:left="851" w:hanging="851"/>
      </w:pPr>
      <w:r w:rsidRPr="00CD448A">
        <w:rPr>
          <w:b/>
          <w:i/>
        </w:rPr>
        <w:t>thromboangiitis obliterans</w:t>
      </w:r>
      <w:r w:rsidRPr="00513D05">
        <w:t>—see subsection</w:t>
      </w:r>
      <w:r>
        <w:t xml:space="preserve"> 7(2).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CD448A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D448A">
            <w:rPr>
              <w:i/>
              <w:sz w:val="18"/>
              <w:szCs w:val="18"/>
            </w:rPr>
            <w:t>Thromboangiitis Obliterans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B46AC8">
            <w:rPr>
              <w:i/>
              <w:sz w:val="18"/>
              <w:szCs w:val="18"/>
            </w:rPr>
            <w:t>28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CD448A"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F55C5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F55C5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CD448A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D448A">
            <w:rPr>
              <w:i/>
              <w:sz w:val="18"/>
              <w:szCs w:val="18"/>
            </w:rPr>
            <w:t>Thromboangiitis Obliterans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B46AC8">
            <w:rPr>
              <w:i/>
              <w:sz w:val="18"/>
              <w:szCs w:val="18"/>
            </w:rPr>
            <w:t>28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CD448A"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F55C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F55C5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3C7D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0C08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6B64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4BE7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E3C"/>
    <w:rsid w:val="003C6231"/>
    <w:rsid w:val="003D0BFE"/>
    <w:rsid w:val="003D380A"/>
    <w:rsid w:val="003D5700"/>
    <w:rsid w:val="003E341B"/>
    <w:rsid w:val="003F39C0"/>
    <w:rsid w:val="003F4535"/>
    <w:rsid w:val="003F55C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22122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3928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067BD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1F4B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8F5C3B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3EAC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46AC8"/>
    <w:rsid w:val="00B50826"/>
    <w:rsid w:val="00B50ADC"/>
    <w:rsid w:val="00B527C0"/>
    <w:rsid w:val="00B566B1"/>
    <w:rsid w:val="00B63834"/>
    <w:rsid w:val="00B664A3"/>
    <w:rsid w:val="00B72734"/>
    <w:rsid w:val="00B72A5E"/>
    <w:rsid w:val="00B74277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448A"/>
    <w:rsid w:val="00CD7B88"/>
    <w:rsid w:val="00CE051D"/>
    <w:rsid w:val="00CE1335"/>
    <w:rsid w:val="00CE493D"/>
    <w:rsid w:val="00CE5CF0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138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AA4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7128</Characters>
  <Application>Microsoft Office Word</Application>
  <DocSecurity>0</DocSecurity>
  <PresentationFormat/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2017-04-03T22:07:00Z</dcterms:created>
  <dcterms:modified xsi:type="dcterms:W3CDTF">2017-04-12T23:54:00Z</dcterms:modified>
  <cp:category/>
  <cp:contentStatus/>
  <dc:language/>
  <cp:version/>
</cp:coreProperties>
</file>