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F52EE" w14:textId="645737ED" w:rsidR="00210220" w:rsidRDefault="00D07B33">
      <w:pPr>
        <w:jc w:val="center"/>
        <w:rPr>
          <w:rFonts w:ascii="Times New Roman" w:hAnsi="Times New Roman"/>
          <w:b/>
        </w:rPr>
      </w:pPr>
      <w:r>
        <w:rPr>
          <w:noProof/>
          <w:lang w:val="en-AU"/>
        </w:rPr>
        <w:drawing>
          <wp:inline distT="0" distB="0" distL="0" distR="0" wp14:anchorId="6931C46A" wp14:editId="2A5D9CDB">
            <wp:extent cx="2038350" cy="1095375"/>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1095375"/>
                    </a:xfrm>
                    <a:prstGeom prst="rect">
                      <a:avLst/>
                    </a:prstGeom>
                    <a:noFill/>
                    <a:ln>
                      <a:noFill/>
                    </a:ln>
                  </pic:spPr>
                </pic:pic>
              </a:graphicData>
            </a:graphic>
          </wp:inline>
        </w:drawing>
      </w:r>
    </w:p>
    <w:p w14:paraId="7F9D2948" w14:textId="77777777" w:rsidR="00210220" w:rsidRDefault="00210220">
      <w:pPr>
        <w:jc w:val="center"/>
        <w:rPr>
          <w:rFonts w:ascii="Times New Roman" w:hAnsi="Times New Roman"/>
          <w:b/>
        </w:rPr>
      </w:pPr>
    </w:p>
    <w:p w14:paraId="4B45B188" w14:textId="77777777" w:rsidR="00210220" w:rsidRDefault="00210220">
      <w:pPr>
        <w:pStyle w:val="Heading2"/>
        <w:rPr>
          <w:rFonts w:cs="Arial"/>
          <w:sz w:val="30"/>
        </w:rPr>
      </w:pPr>
      <w:r>
        <w:rPr>
          <w:rFonts w:cs="Arial"/>
          <w:sz w:val="30"/>
        </w:rPr>
        <w:t>Submission Guidelines</w:t>
      </w:r>
    </w:p>
    <w:p w14:paraId="4BB88A58" w14:textId="77777777" w:rsidR="00210220" w:rsidRDefault="00210220">
      <w:pPr>
        <w:jc w:val="center"/>
        <w:rPr>
          <w:rFonts w:ascii="Arial" w:hAnsi="Arial" w:cs="Arial"/>
          <w:b/>
        </w:rPr>
      </w:pPr>
    </w:p>
    <w:p w14:paraId="01A026F1" w14:textId="77777777" w:rsidR="00210220" w:rsidRDefault="00210220">
      <w:pPr>
        <w:rPr>
          <w:rFonts w:ascii="Arial" w:hAnsi="Arial" w:cs="Arial"/>
          <w:b/>
        </w:rPr>
      </w:pPr>
      <w:r>
        <w:rPr>
          <w:rFonts w:ascii="Arial" w:hAnsi="Arial" w:cs="Arial"/>
          <w:b/>
        </w:rPr>
        <w:t>Introduction</w:t>
      </w:r>
    </w:p>
    <w:p w14:paraId="78029E46" w14:textId="77777777" w:rsidR="00210220" w:rsidRDefault="00210220">
      <w:pPr>
        <w:rPr>
          <w:rFonts w:ascii="Arial" w:hAnsi="Arial" w:cs="Arial"/>
          <w:b/>
        </w:rPr>
      </w:pPr>
    </w:p>
    <w:p w14:paraId="177EE283" w14:textId="1392B353" w:rsidR="00210220" w:rsidRDefault="00210220">
      <w:pPr>
        <w:jc w:val="both"/>
        <w:rPr>
          <w:rFonts w:ascii="Arial" w:hAnsi="Arial" w:cs="Arial"/>
        </w:rPr>
      </w:pPr>
      <w:r>
        <w:rPr>
          <w:rFonts w:ascii="Arial" w:hAnsi="Arial" w:cs="Arial"/>
        </w:rPr>
        <w:t xml:space="preserve">In accordance with section </w:t>
      </w:r>
      <w:r w:rsidR="002F0F6F">
        <w:rPr>
          <w:rFonts w:ascii="Arial" w:hAnsi="Arial" w:cs="Arial"/>
        </w:rPr>
        <w:t>370CL</w:t>
      </w:r>
      <w:r>
        <w:rPr>
          <w:rFonts w:ascii="Arial" w:hAnsi="Arial" w:cs="Arial"/>
        </w:rPr>
        <w:t xml:space="preserve"> of the </w:t>
      </w:r>
      <w:r w:rsidR="002F0F6F">
        <w:rPr>
          <w:rFonts w:ascii="Arial" w:hAnsi="Arial" w:cs="Arial"/>
          <w:i/>
          <w:iCs/>
        </w:rPr>
        <w:t xml:space="preserve">Military Rehabilitation and Compensation Act 2004 </w:t>
      </w:r>
      <w:r w:rsidR="002F0F6F">
        <w:rPr>
          <w:rFonts w:ascii="Arial" w:hAnsi="Arial" w:cs="Arial"/>
        </w:rPr>
        <w:t>(MRCA)</w:t>
      </w:r>
      <w:r>
        <w:rPr>
          <w:rFonts w:ascii="Arial" w:hAnsi="Arial" w:cs="Arial"/>
        </w:rPr>
        <w:t xml:space="preserve"> the following persons and organisations may make a submission in writing to the Repatriation Medical Authority (the Authority):</w:t>
      </w:r>
    </w:p>
    <w:p w14:paraId="79C47D00" w14:textId="77777777" w:rsidR="00210220" w:rsidRDefault="00210220">
      <w:pPr>
        <w:jc w:val="both"/>
        <w:rPr>
          <w:rFonts w:ascii="Arial" w:hAnsi="Arial" w:cs="Arial"/>
        </w:rPr>
      </w:pPr>
    </w:p>
    <w:p w14:paraId="48E73DE2" w14:textId="77777777" w:rsidR="00210220" w:rsidRDefault="00210220">
      <w:pPr>
        <w:pStyle w:val="BodyText"/>
        <w:numPr>
          <w:ilvl w:val="0"/>
          <w:numId w:val="3"/>
        </w:numPr>
        <w:rPr>
          <w:rFonts w:ascii="Arial" w:hAnsi="Arial" w:cs="Arial"/>
        </w:rPr>
      </w:pPr>
      <w:r>
        <w:rPr>
          <w:rFonts w:ascii="Arial" w:hAnsi="Arial" w:cs="Arial"/>
        </w:rPr>
        <w:t xml:space="preserve">a person who is eligible to make a claim for compensation under section 319 of the </w:t>
      </w:r>
      <w:r>
        <w:rPr>
          <w:rFonts w:ascii="Arial" w:hAnsi="Arial" w:cs="Arial"/>
          <w:i/>
        </w:rPr>
        <w:t>Military Rehabilitation and Compensation Act 2004</w:t>
      </w:r>
      <w:r>
        <w:rPr>
          <w:rFonts w:ascii="Arial" w:hAnsi="Arial" w:cs="Arial"/>
        </w:rPr>
        <w:t xml:space="preserve"> (the MRCA); or</w:t>
      </w:r>
    </w:p>
    <w:p w14:paraId="6A3DF4A6" w14:textId="5A7DD7D2" w:rsidR="00210220" w:rsidRDefault="00210220">
      <w:pPr>
        <w:numPr>
          <w:ilvl w:val="0"/>
          <w:numId w:val="3"/>
        </w:numPr>
        <w:jc w:val="both"/>
        <w:rPr>
          <w:rFonts w:ascii="Arial" w:hAnsi="Arial" w:cs="Arial"/>
        </w:rPr>
      </w:pPr>
      <w:r>
        <w:rPr>
          <w:rFonts w:ascii="Arial" w:hAnsi="Arial" w:cs="Arial"/>
        </w:rPr>
        <w:t>an organisation representing veterans, Australian mariners</w:t>
      </w:r>
      <w:r w:rsidR="002F0F6F">
        <w:rPr>
          <w:rFonts w:ascii="Arial" w:hAnsi="Arial" w:cs="Arial"/>
        </w:rPr>
        <w:t xml:space="preserve"> or</w:t>
      </w:r>
      <w:r>
        <w:rPr>
          <w:rFonts w:ascii="Arial" w:hAnsi="Arial" w:cs="Arial"/>
        </w:rPr>
        <w:t xml:space="preserve"> members of the Forces; or</w:t>
      </w:r>
    </w:p>
    <w:p w14:paraId="1AE8BF7F" w14:textId="352BEB1E" w:rsidR="002F0F6F" w:rsidRDefault="002F0F6F">
      <w:pPr>
        <w:numPr>
          <w:ilvl w:val="0"/>
          <w:numId w:val="3"/>
        </w:numPr>
        <w:jc w:val="both"/>
        <w:rPr>
          <w:rFonts w:ascii="Arial" w:hAnsi="Arial" w:cs="Arial"/>
        </w:rPr>
      </w:pPr>
      <w:r>
        <w:rPr>
          <w:rFonts w:ascii="Arial" w:hAnsi="Arial" w:cs="Arial"/>
        </w:rPr>
        <w:t>an organisation representing members or their dependants; or</w:t>
      </w:r>
    </w:p>
    <w:p w14:paraId="65DF6436" w14:textId="28CD7D8A" w:rsidR="00210220" w:rsidRDefault="00210220">
      <w:pPr>
        <w:numPr>
          <w:ilvl w:val="0"/>
          <w:numId w:val="3"/>
        </w:numPr>
        <w:jc w:val="both"/>
        <w:rPr>
          <w:rFonts w:ascii="Arial" w:hAnsi="Arial" w:cs="Arial"/>
        </w:rPr>
      </w:pPr>
      <w:r>
        <w:rPr>
          <w:rFonts w:ascii="Arial" w:hAnsi="Arial" w:cs="Arial"/>
        </w:rPr>
        <w:t>the Repatriation Commission; or</w:t>
      </w:r>
    </w:p>
    <w:p w14:paraId="461458A3" w14:textId="77777777" w:rsidR="00210220" w:rsidRDefault="00210220">
      <w:pPr>
        <w:numPr>
          <w:ilvl w:val="0"/>
          <w:numId w:val="3"/>
        </w:numPr>
        <w:jc w:val="both"/>
        <w:rPr>
          <w:rFonts w:ascii="Arial" w:hAnsi="Arial" w:cs="Arial"/>
        </w:rPr>
      </w:pPr>
      <w:r>
        <w:rPr>
          <w:rFonts w:ascii="Arial" w:hAnsi="Arial" w:cs="Arial"/>
        </w:rPr>
        <w:t>a person having expertise in a field relevant to the investigation.</w:t>
      </w:r>
    </w:p>
    <w:p w14:paraId="15994A12" w14:textId="77777777" w:rsidR="00210220" w:rsidRDefault="00210220">
      <w:pPr>
        <w:ind w:left="720" w:hanging="360"/>
        <w:jc w:val="both"/>
        <w:rPr>
          <w:rFonts w:ascii="Arial" w:hAnsi="Arial" w:cs="Arial"/>
        </w:rPr>
      </w:pPr>
    </w:p>
    <w:p w14:paraId="34BB5ABF" w14:textId="77777777" w:rsidR="00210220" w:rsidRDefault="0021022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A person or organisation may not make a submission on a legal matter nor be represented before the Authority by a legal practitioner.</w:t>
      </w:r>
    </w:p>
    <w:p w14:paraId="129532CC" w14:textId="77777777" w:rsidR="00210220" w:rsidRDefault="00210220">
      <w:pPr>
        <w:ind w:left="720" w:hanging="360"/>
        <w:jc w:val="both"/>
        <w:rPr>
          <w:rFonts w:ascii="Arial" w:hAnsi="Arial" w:cs="Arial"/>
        </w:rPr>
      </w:pPr>
    </w:p>
    <w:p w14:paraId="00CA74AF" w14:textId="77777777" w:rsidR="00210220" w:rsidRDefault="00210220">
      <w:pPr>
        <w:keepNext/>
        <w:jc w:val="both"/>
        <w:rPr>
          <w:rFonts w:ascii="Arial" w:hAnsi="Arial" w:cs="Arial"/>
          <w:b/>
        </w:rPr>
      </w:pPr>
      <w:r>
        <w:rPr>
          <w:rFonts w:ascii="Arial" w:hAnsi="Arial" w:cs="Arial"/>
          <w:b/>
        </w:rPr>
        <w:t>Sound Medical-Scientific Evidence</w:t>
      </w:r>
    </w:p>
    <w:p w14:paraId="71EB165E" w14:textId="77777777" w:rsidR="00210220" w:rsidRDefault="00210220">
      <w:pPr>
        <w:pStyle w:val="Footer"/>
        <w:keepNext/>
        <w:tabs>
          <w:tab w:val="clear" w:pos="4819"/>
          <w:tab w:val="clear" w:pos="9071"/>
        </w:tabs>
        <w:jc w:val="both"/>
        <w:rPr>
          <w:rFonts w:ascii="Arial" w:hAnsi="Arial" w:cs="Arial"/>
        </w:rPr>
      </w:pPr>
    </w:p>
    <w:p w14:paraId="62C60836" w14:textId="77777777" w:rsidR="00210220" w:rsidRDefault="00210220">
      <w:pPr>
        <w:keepNext/>
        <w:jc w:val="both"/>
        <w:rPr>
          <w:rFonts w:ascii="Arial" w:hAnsi="Arial" w:cs="Arial"/>
        </w:rPr>
      </w:pPr>
      <w:r>
        <w:rPr>
          <w:rFonts w:ascii="Arial" w:hAnsi="Arial" w:cs="Arial"/>
        </w:rPr>
        <w:t xml:space="preserve">The Authority can make a Statement of Principles about a particular kind of injury, disease or death only where there is sufficient </w:t>
      </w:r>
      <w:r>
        <w:rPr>
          <w:rFonts w:ascii="Arial" w:hAnsi="Arial" w:cs="Arial"/>
          <w:b/>
          <w:i/>
        </w:rPr>
        <w:t>sound medical-scientific evidence</w:t>
      </w:r>
      <w:r>
        <w:rPr>
          <w:rFonts w:ascii="Arial" w:hAnsi="Arial" w:cs="Arial"/>
        </w:rPr>
        <w:t xml:space="preserve"> justifying the making of the Statement of Principles.</w:t>
      </w:r>
    </w:p>
    <w:p w14:paraId="6235F2EE" w14:textId="77777777" w:rsidR="00210220" w:rsidRDefault="00210220">
      <w:pPr>
        <w:keepNext/>
        <w:jc w:val="both"/>
        <w:rPr>
          <w:rFonts w:ascii="Arial" w:hAnsi="Arial" w:cs="Arial"/>
        </w:rPr>
      </w:pPr>
    </w:p>
    <w:p w14:paraId="4AB58334" w14:textId="77777777" w:rsidR="00210220" w:rsidRDefault="00210220">
      <w:pPr>
        <w:jc w:val="both"/>
        <w:rPr>
          <w:rFonts w:ascii="Arial" w:hAnsi="Arial" w:cs="Arial"/>
        </w:rPr>
      </w:pPr>
      <w:r>
        <w:rPr>
          <w:rFonts w:ascii="Arial" w:hAnsi="Arial" w:cs="Arial"/>
        </w:rPr>
        <w:t>Information about a particular kind of injury, disease or death is taken to be</w:t>
      </w:r>
      <w:r>
        <w:rPr>
          <w:rFonts w:ascii="Arial" w:hAnsi="Arial" w:cs="Arial"/>
          <w:b/>
        </w:rPr>
        <w:t xml:space="preserve"> </w:t>
      </w:r>
      <w:r>
        <w:rPr>
          <w:rFonts w:ascii="Arial" w:hAnsi="Arial" w:cs="Arial"/>
          <w:b/>
          <w:i/>
        </w:rPr>
        <w:t>sound</w:t>
      </w:r>
      <w:r>
        <w:rPr>
          <w:rFonts w:ascii="Arial" w:hAnsi="Arial" w:cs="Arial"/>
          <w:i/>
        </w:rPr>
        <w:t xml:space="preserve"> </w:t>
      </w:r>
      <w:r>
        <w:rPr>
          <w:rFonts w:ascii="Arial" w:hAnsi="Arial" w:cs="Arial"/>
          <w:b/>
          <w:i/>
        </w:rPr>
        <w:t>medical-scientific evidence</w:t>
      </w:r>
      <w:r>
        <w:rPr>
          <w:rFonts w:ascii="Arial" w:hAnsi="Arial" w:cs="Arial"/>
        </w:rPr>
        <w:t xml:space="preserve"> if:</w:t>
      </w:r>
    </w:p>
    <w:p w14:paraId="30774D90" w14:textId="77777777" w:rsidR="00210220" w:rsidRDefault="00210220">
      <w:pPr>
        <w:jc w:val="both"/>
        <w:rPr>
          <w:rFonts w:ascii="Arial" w:hAnsi="Arial" w:cs="Arial"/>
        </w:rPr>
      </w:pPr>
    </w:p>
    <w:p w14:paraId="6BE767D3" w14:textId="77777777" w:rsidR="00210220" w:rsidRDefault="00210220">
      <w:pPr>
        <w:jc w:val="both"/>
        <w:rPr>
          <w:rFonts w:ascii="Arial" w:hAnsi="Arial" w:cs="Arial"/>
        </w:rPr>
      </w:pPr>
      <w:r>
        <w:rPr>
          <w:rFonts w:ascii="Arial" w:hAnsi="Arial" w:cs="Arial"/>
        </w:rPr>
        <w:t>(a)</w:t>
      </w:r>
      <w:r>
        <w:rPr>
          <w:rFonts w:ascii="Arial" w:hAnsi="Arial" w:cs="Arial"/>
        </w:rPr>
        <w:tab/>
        <w:t>the information:</w:t>
      </w:r>
    </w:p>
    <w:p w14:paraId="2786F3AD" w14:textId="6F8C2ED6" w:rsidR="00210220" w:rsidRDefault="00210220">
      <w:pPr>
        <w:ind w:left="1440" w:hanging="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t xml:space="preserve">is consistent with material relating to medical science that has been published in a medical or scientific publication and has been, in the opinion of the Authority, subjected to a peer review process; or </w:t>
      </w:r>
    </w:p>
    <w:p w14:paraId="7F3F0E95" w14:textId="77777777" w:rsidR="00210220" w:rsidRDefault="00210220">
      <w:pPr>
        <w:ind w:left="1440" w:hanging="720"/>
        <w:jc w:val="both"/>
        <w:rPr>
          <w:rFonts w:ascii="Arial" w:hAnsi="Arial" w:cs="Arial"/>
        </w:rPr>
      </w:pPr>
      <w:r>
        <w:rPr>
          <w:rFonts w:ascii="Arial" w:hAnsi="Arial" w:cs="Arial"/>
        </w:rPr>
        <w:t>(ii)</w:t>
      </w:r>
      <w:r>
        <w:rPr>
          <w:rFonts w:ascii="Arial" w:hAnsi="Arial" w:cs="Arial"/>
        </w:rPr>
        <w:tab/>
        <w:t>in accordance with generally accepted medical practice, would serve as the basis for the diagnosis and management of a medical condition; and</w:t>
      </w:r>
    </w:p>
    <w:p w14:paraId="311F690F" w14:textId="77777777" w:rsidR="00210220" w:rsidRDefault="00210220">
      <w:pPr>
        <w:spacing w:after="120"/>
        <w:ind w:left="720" w:hanging="720"/>
        <w:jc w:val="both"/>
        <w:rPr>
          <w:rFonts w:ascii="Arial" w:hAnsi="Arial" w:cs="Arial"/>
        </w:rPr>
      </w:pPr>
      <w:r>
        <w:rPr>
          <w:rFonts w:ascii="Arial" w:hAnsi="Arial" w:cs="Arial"/>
        </w:rPr>
        <w:t>(b)</w:t>
      </w:r>
      <w:r>
        <w:rPr>
          <w:rFonts w:ascii="Arial" w:hAnsi="Arial" w:cs="Arial"/>
        </w:rPr>
        <w:tab/>
        <w:t>in the case of information about how that kind of injury, disease or death may be caused - meets the applicable criteria for assessing causation currently applied in the field of epidemiology.</w:t>
      </w:r>
    </w:p>
    <w:p w14:paraId="1D0E32E7" w14:textId="77777777" w:rsidR="00210220" w:rsidRDefault="00323328">
      <w:pPr>
        <w:jc w:val="both"/>
        <w:rPr>
          <w:rFonts w:ascii="Arial" w:hAnsi="Arial" w:cs="Arial"/>
          <w:b/>
        </w:rPr>
      </w:pPr>
      <w:r>
        <w:rPr>
          <w:rFonts w:ascii="Arial" w:hAnsi="Arial" w:cs="Arial"/>
          <w:b/>
        </w:rPr>
        <w:br w:type="page"/>
      </w:r>
      <w:r w:rsidR="00210220">
        <w:rPr>
          <w:rFonts w:ascii="Arial" w:hAnsi="Arial" w:cs="Arial"/>
          <w:b/>
        </w:rPr>
        <w:lastRenderedPageBreak/>
        <w:t>Submission Material</w:t>
      </w:r>
    </w:p>
    <w:p w14:paraId="44C38236" w14:textId="77777777" w:rsidR="00210220" w:rsidRDefault="00210220">
      <w:pPr>
        <w:jc w:val="both"/>
        <w:rPr>
          <w:rFonts w:ascii="Arial" w:hAnsi="Arial" w:cs="Arial"/>
        </w:rPr>
      </w:pPr>
    </w:p>
    <w:p w14:paraId="1B673799" w14:textId="77777777" w:rsidR="00210220" w:rsidRDefault="00210220">
      <w:pPr>
        <w:pStyle w:val="BodyText"/>
        <w:rPr>
          <w:rFonts w:ascii="Arial" w:hAnsi="Arial" w:cs="Arial"/>
        </w:rPr>
      </w:pPr>
      <w:r>
        <w:rPr>
          <w:rFonts w:ascii="Arial" w:hAnsi="Arial" w:cs="Arial"/>
        </w:rPr>
        <w:t>Submissions should be structured, informative and relevant and where medical-scientific information is submitted, it would assist the Authority if:</w:t>
      </w:r>
    </w:p>
    <w:p w14:paraId="61CCA439" w14:textId="77777777" w:rsidR="00210220" w:rsidRDefault="00210220">
      <w:pPr>
        <w:jc w:val="both"/>
        <w:rPr>
          <w:rFonts w:ascii="Arial" w:hAnsi="Arial" w:cs="Arial"/>
        </w:rPr>
      </w:pPr>
    </w:p>
    <w:p w14:paraId="02C50F07" w14:textId="77777777" w:rsidR="00210220" w:rsidRDefault="00210220">
      <w:pPr>
        <w:numPr>
          <w:ilvl w:val="0"/>
          <w:numId w:val="2"/>
        </w:numPr>
        <w:spacing w:line="360" w:lineRule="auto"/>
        <w:ind w:left="357" w:hanging="357"/>
        <w:jc w:val="both"/>
        <w:rPr>
          <w:rFonts w:ascii="Arial" w:hAnsi="Arial" w:cs="Arial"/>
        </w:rPr>
      </w:pPr>
      <w:r>
        <w:rPr>
          <w:rFonts w:ascii="Arial" w:hAnsi="Arial" w:cs="Arial"/>
        </w:rPr>
        <w:t>the review articles or authoritative reports focussed on causation; and</w:t>
      </w:r>
    </w:p>
    <w:p w14:paraId="5CDE3DBB" w14:textId="77777777" w:rsidR="00210220" w:rsidRDefault="00210220">
      <w:pPr>
        <w:numPr>
          <w:ilvl w:val="0"/>
          <w:numId w:val="2"/>
        </w:numPr>
        <w:spacing w:line="360" w:lineRule="auto"/>
        <w:ind w:left="357" w:hanging="357"/>
        <w:jc w:val="both"/>
        <w:rPr>
          <w:rFonts w:ascii="Arial" w:hAnsi="Arial" w:cs="Arial"/>
        </w:rPr>
      </w:pPr>
      <w:r>
        <w:rPr>
          <w:rFonts w:ascii="Arial" w:hAnsi="Arial" w:cs="Arial"/>
        </w:rPr>
        <w:t xml:space="preserve">the sources quoted were the result of a medical-scientific literature search concerning the causes of the </w:t>
      </w:r>
      <w:proofErr w:type="gramStart"/>
      <w:r>
        <w:rPr>
          <w:rFonts w:ascii="Arial" w:hAnsi="Arial" w:cs="Arial"/>
        </w:rPr>
        <w:t>particular injury</w:t>
      </w:r>
      <w:proofErr w:type="gramEnd"/>
      <w:r>
        <w:rPr>
          <w:rFonts w:ascii="Arial" w:hAnsi="Arial" w:cs="Arial"/>
        </w:rPr>
        <w:t>, disease or death; and</w:t>
      </w:r>
    </w:p>
    <w:p w14:paraId="54F325FF" w14:textId="77777777" w:rsidR="00210220" w:rsidRDefault="00210220">
      <w:pPr>
        <w:numPr>
          <w:ilvl w:val="0"/>
          <w:numId w:val="2"/>
        </w:numPr>
        <w:spacing w:line="360" w:lineRule="auto"/>
        <w:ind w:left="357" w:hanging="357"/>
        <w:jc w:val="both"/>
        <w:rPr>
          <w:rFonts w:ascii="Arial" w:hAnsi="Arial" w:cs="Arial"/>
        </w:rPr>
      </w:pPr>
      <w:r>
        <w:rPr>
          <w:rFonts w:ascii="Arial" w:hAnsi="Arial" w:cs="Arial"/>
        </w:rPr>
        <w:t xml:space="preserve">the material quoted or referred to, is referenced; and </w:t>
      </w:r>
    </w:p>
    <w:p w14:paraId="0F058A2C" w14:textId="77777777" w:rsidR="00210220" w:rsidRDefault="00210220">
      <w:pPr>
        <w:numPr>
          <w:ilvl w:val="0"/>
          <w:numId w:val="2"/>
        </w:numPr>
        <w:spacing w:line="360" w:lineRule="auto"/>
        <w:ind w:left="357" w:hanging="357"/>
        <w:jc w:val="both"/>
        <w:rPr>
          <w:rFonts w:ascii="Arial" w:hAnsi="Arial" w:cs="Arial"/>
        </w:rPr>
      </w:pPr>
      <w:r>
        <w:rPr>
          <w:rFonts w:ascii="Arial" w:hAnsi="Arial" w:cs="Arial"/>
        </w:rPr>
        <w:t>the abstracts of relevant material are attached to the submission.</w:t>
      </w:r>
      <w:r w:rsidR="000A0927">
        <w:rPr>
          <w:rFonts w:ascii="Arial" w:hAnsi="Arial" w:cs="Arial"/>
        </w:rPr>
        <w:t>?</w:t>
      </w:r>
    </w:p>
    <w:p w14:paraId="629267FD" w14:textId="77777777" w:rsidR="00210220" w:rsidRDefault="00210220">
      <w:pPr>
        <w:ind w:left="720" w:hanging="720"/>
        <w:jc w:val="both"/>
        <w:rPr>
          <w:rFonts w:ascii="Arial" w:hAnsi="Arial" w:cs="Arial"/>
        </w:rPr>
      </w:pPr>
    </w:p>
    <w:p w14:paraId="25AC42FB" w14:textId="77777777" w:rsidR="00210220" w:rsidRDefault="00210220">
      <w:pPr>
        <w:jc w:val="both"/>
        <w:rPr>
          <w:rFonts w:ascii="Arial" w:hAnsi="Arial" w:cs="Arial"/>
        </w:rPr>
      </w:pPr>
      <w:r>
        <w:rPr>
          <w:rFonts w:ascii="Arial" w:hAnsi="Arial" w:cs="Arial"/>
        </w:rPr>
        <w:t xml:space="preserve">Where literature searches of Medline or other medical databases are conducted, it would assist the Authority if searches of those databases are undertaken for English language publications written during the past </w:t>
      </w:r>
      <w:r w:rsidR="000A0927">
        <w:rPr>
          <w:rFonts w:ascii="Arial" w:hAnsi="Arial" w:cs="Arial"/>
        </w:rPr>
        <w:t xml:space="preserve">ten </w:t>
      </w:r>
      <w:r>
        <w:rPr>
          <w:rFonts w:ascii="Arial" w:hAnsi="Arial" w:cs="Arial"/>
        </w:rPr>
        <w:t xml:space="preserve">years and are about the causes of the </w:t>
      </w:r>
      <w:proofErr w:type="gramStart"/>
      <w:r>
        <w:rPr>
          <w:rFonts w:ascii="Arial" w:hAnsi="Arial" w:cs="Arial"/>
        </w:rPr>
        <w:t>particular injury</w:t>
      </w:r>
      <w:proofErr w:type="gramEnd"/>
      <w:r>
        <w:rPr>
          <w:rFonts w:ascii="Arial" w:hAnsi="Arial" w:cs="Arial"/>
        </w:rPr>
        <w:t xml:space="preserve">, disease or death. </w:t>
      </w:r>
    </w:p>
    <w:p w14:paraId="5C926A81" w14:textId="77777777" w:rsidR="00210220" w:rsidRDefault="00210220">
      <w:pPr>
        <w:jc w:val="both"/>
        <w:rPr>
          <w:rFonts w:ascii="Arial" w:hAnsi="Arial" w:cs="Arial"/>
        </w:rPr>
      </w:pPr>
    </w:p>
    <w:p w14:paraId="780CB01A" w14:textId="77777777" w:rsidR="00210220" w:rsidRDefault="00210220">
      <w:pPr>
        <w:pStyle w:val="BodyText"/>
        <w:rPr>
          <w:rFonts w:ascii="Arial" w:hAnsi="Arial" w:cs="Arial"/>
        </w:rPr>
      </w:pPr>
      <w:r>
        <w:rPr>
          <w:rFonts w:ascii="Arial" w:hAnsi="Arial" w:cs="Arial"/>
        </w:rPr>
        <w:t xml:space="preserve">If a literature search is undertaken, the search process used and the search criteria applied </w:t>
      </w:r>
      <w:r w:rsidR="00B7361B">
        <w:rPr>
          <w:rFonts w:ascii="Arial" w:hAnsi="Arial" w:cs="Arial"/>
        </w:rPr>
        <w:t>c</w:t>
      </w:r>
      <w:r>
        <w:rPr>
          <w:rFonts w:ascii="Arial" w:hAnsi="Arial" w:cs="Arial"/>
        </w:rPr>
        <w:t>ould be included in the submission.</w:t>
      </w:r>
    </w:p>
    <w:p w14:paraId="19CCBC1A" w14:textId="77777777" w:rsidR="000A0927" w:rsidRDefault="000A0927">
      <w:pPr>
        <w:pStyle w:val="BodyText"/>
        <w:rPr>
          <w:rFonts w:ascii="Arial" w:hAnsi="Arial" w:cs="Arial"/>
        </w:rPr>
      </w:pPr>
    </w:p>
    <w:p w14:paraId="5E58DF3A" w14:textId="77777777" w:rsidR="000A0927" w:rsidRDefault="000A0927" w:rsidP="000A0927">
      <w:pPr>
        <w:pStyle w:val="BodyText"/>
        <w:rPr>
          <w:rFonts w:ascii="Arial" w:hAnsi="Arial" w:cs="Arial"/>
        </w:rPr>
      </w:pPr>
      <w:r>
        <w:rPr>
          <w:rFonts w:ascii="Arial" w:hAnsi="Arial" w:cs="Arial"/>
        </w:rPr>
        <w:t>Standard textbooks or general reviews in respected medical journals, when unreferenced, will be taken as unsubstantiated opinions.</w:t>
      </w:r>
    </w:p>
    <w:p w14:paraId="12788D3D" w14:textId="77777777" w:rsidR="003F0834" w:rsidRDefault="003F0834">
      <w:pPr>
        <w:pStyle w:val="BodyText"/>
        <w:rPr>
          <w:rFonts w:ascii="Arial" w:hAnsi="Arial" w:cs="Arial"/>
        </w:rPr>
      </w:pPr>
    </w:p>
    <w:p w14:paraId="35CF167B" w14:textId="77777777" w:rsidR="003F0834" w:rsidRDefault="003F0834">
      <w:pPr>
        <w:pStyle w:val="BodyText"/>
        <w:rPr>
          <w:rFonts w:ascii="Arial" w:hAnsi="Arial" w:cs="Arial"/>
        </w:rPr>
      </w:pPr>
      <w:r w:rsidRPr="003F0834">
        <w:rPr>
          <w:rFonts w:ascii="Arial" w:hAnsi="Arial" w:cs="Arial"/>
        </w:rPr>
        <w:t>Material taken directly from web sites can be used but only if the author or organisation is recognised as authoritative.</w:t>
      </w:r>
    </w:p>
    <w:p w14:paraId="649E44CC" w14:textId="77777777" w:rsidR="00F41520" w:rsidRDefault="00F41520">
      <w:pPr>
        <w:pStyle w:val="BodyText"/>
        <w:rPr>
          <w:rFonts w:ascii="Arial" w:hAnsi="Arial" w:cs="Arial"/>
        </w:rPr>
      </w:pPr>
    </w:p>
    <w:p w14:paraId="26C23754" w14:textId="77777777" w:rsidR="00F41520" w:rsidRDefault="00F41520">
      <w:pPr>
        <w:pStyle w:val="BodyText"/>
        <w:rPr>
          <w:rFonts w:ascii="Arial" w:hAnsi="Arial" w:cs="Arial"/>
        </w:rPr>
      </w:pPr>
      <w:r>
        <w:rPr>
          <w:rFonts w:ascii="Arial" w:hAnsi="Arial" w:cs="Arial"/>
        </w:rPr>
        <w:t xml:space="preserve">A personal medical history or an unreferenced opinion from a treating doctor </w:t>
      </w:r>
      <w:proofErr w:type="gramStart"/>
      <w:r>
        <w:rPr>
          <w:rFonts w:ascii="Arial" w:hAnsi="Arial" w:cs="Arial"/>
        </w:rPr>
        <w:t>are</w:t>
      </w:r>
      <w:proofErr w:type="gramEnd"/>
      <w:r>
        <w:rPr>
          <w:rFonts w:ascii="Arial" w:hAnsi="Arial" w:cs="Arial"/>
        </w:rPr>
        <w:t xml:space="preserve"> not sound medical-</w:t>
      </w:r>
      <w:proofErr w:type="spellStart"/>
      <w:r>
        <w:rPr>
          <w:rFonts w:ascii="Arial" w:hAnsi="Arial" w:cs="Arial"/>
        </w:rPr>
        <w:t>scientifed</w:t>
      </w:r>
      <w:proofErr w:type="spellEnd"/>
      <w:r>
        <w:rPr>
          <w:rFonts w:ascii="Arial" w:hAnsi="Arial" w:cs="Arial"/>
        </w:rPr>
        <w:t xml:space="preserve"> evidence as defined above.</w:t>
      </w:r>
    </w:p>
    <w:p w14:paraId="03D1569A" w14:textId="77777777" w:rsidR="00210220" w:rsidRDefault="00210220">
      <w:pPr>
        <w:jc w:val="both"/>
        <w:rPr>
          <w:rFonts w:ascii="Arial" w:hAnsi="Arial" w:cs="Arial"/>
        </w:rPr>
      </w:pPr>
    </w:p>
    <w:p w14:paraId="10F4178F" w14:textId="77777777" w:rsidR="00210220" w:rsidRDefault="00210220">
      <w:pPr>
        <w:jc w:val="both"/>
        <w:rPr>
          <w:rFonts w:ascii="Arial" w:hAnsi="Arial" w:cs="Arial"/>
          <w:b/>
        </w:rPr>
      </w:pPr>
      <w:r>
        <w:rPr>
          <w:rFonts w:ascii="Arial" w:hAnsi="Arial" w:cs="Arial"/>
          <w:b/>
        </w:rPr>
        <w:t xml:space="preserve">Evaluation of Material by the Authority </w:t>
      </w:r>
    </w:p>
    <w:p w14:paraId="7F38729B" w14:textId="77777777" w:rsidR="00210220" w:rsidRDefault="00210220">
      <w:pPr>
        <w:jc w:val="both"/>
        <w:rPr>
          <w:rFonts w:ascii="Arial" w:hAnsi="Arial" w:cs="Arial"/>
        </w:rPr>
      </w:pPr>
    </w:p>
    <w:p w14:paraId="3391A436" w14:textId="77777777" w:rsidR="00210220" w:rsidRDefault="00210220">
      <w:pPr>
        <w:keepNext/>
        <w:jc w:val="both"/>
        <w:rPr>
          <w:rFonts w:ascii="Arial" w:hAnsi="Arial" w:cs="Arial"/>
        </w:rPr>
      </w:pPr>
      <w:r>
        <w:rPr>
          <w:rFonts w:ascii="Arial" w:hAnsi="Arial" w:cs="Arial"/>
        </w:rPr>
        <w:t xml:space="preserve">The Authority can make a Statement of Principles about a particular kind of injury, disease or death where there is sufficient </w:t>
      </w:r>
      <w:r>
        <w:rPr>
          <w:rFonts w:ascii="Arial" w:hAnsi="Arial" w:cs="Arial"/>
          <w:i/>
        </w:rPr>
        <w:t>sound medical-scientific evidence</w:t>
      </w:r>
      <w:r>
        <w:rPr>
          <w:rFonts w:ascii="Arial" w:hAnsi="Arial" w:cs="Arial"/>
        </w:rPr>
        <w:t xml:space="preserve"> justifying the making of the Statement of Principles.</w:t>
      </w:r>
    </w:p>
    <w:p w14:paraId="755587DA" w14:textId="77777777" w:rsidR="00210220" w:rsidRDefault="00210220">
      <w:pPr>
        <w:jc w:val="both"/>
        <w:rPr>
          <w:rFonts w:ascii="Arial" w:hAnsi="Arial" w:cs="Arial"/>
        </w:rPr>
      </w:pPr>
    </w:p>
    <w:p w14:paraId="6D49A709" w14:textId="77777777" w:rsidR="00210220" w:rsidRDefault="00210220">
      <w:pPr>
        <w:jc w:val="both"/>
        <w:rPr>
          <w:rFonts w:ascii="Arial" w:hAnsi="Arial" w:cs="Arial"/>
        </w:rPr>
      </w:pPr>
      <w:r>
        <w:rPr>
          <w:rFonts w:ascii="Arial" w:hAnsi="Arial" w:cs="Arial"/>
        </w:rPr>
        <w:t xml:space="preserve">If the Authority has previously decided not to make a Statement of Principles, or has already made a Statement of Principles, in respect of the particular condition, it may only make a new Statement of Principles if it thinks there is a </w:t>
      </w:r>
      <w:r>
        <w:rPr>
          <w:rFonts w:ascii="Arial" w:hAnsi="Arial" w:cs="Arial"/>
          <w:i/>
        </w:rPr>
        <w:t>new</w:t>
      </w:r>
      <w:r>
        <w:rPr>
          <w:rFonts w:ascii="Arial" w:hAnsi="Arial" w:cs="Arial"/>
        </w:rPr>
        <w:t xml:space="preserve"> body of sound medical-scientific evidence that, together with the sound medical-scientific evidence it has previously considered, justifies the making or amendment of a Statement of Principles. </w:t>
      </w:r>
    </w:p>
    <w:p w14:paraId="3D99F363" w14:textId="77777777" w:rsidR="00210220" w:rsidRDefault="00210220">
      <w:pPr>
        <w:jc w:val="both"/>
        <w:rPr>
          <w:rFonts w:ascii="Arial" w:hAnsi="Arial" w:cs="Arial"/>
        </w:rPr>
      </w:pPr>
    </w:p>
    <w:p w14:paraId="561B0530" w14:textId="77777777" w:rsidR="00210220" w:rsidRDefault="00210220">
      <w:pPr>
        <w:jc w:val="both"/>
        <w:rPr>
          <w:rFonts w:ascii="Arial" w:hAnsi="Arial" w:cs="Arial"/>
        </w:rPr>
      </w:pPr>
      <w:r>
        <w:rPr>
          <w:rFonts w:ascii="Arial" w:hAnsi="Arial" w:cs="Arial"/>
        </w:rPr>
        <w:t>The Authority is required to assess material against certain epidemiological criteria. The criteria set out below are not exhaustive and may not be relevant in all cases. They are provided as a guide to the material that is acceptable to the Authority.</w:t>
      </w:r>
    </w:p>
    <w:p w14:paraId="65A2F5AD" w14:textId="77777777" w:rsidR="00210220" w:rsidRDefault="00210220">
      <w:pPr>
        <w:jc w:val="both"/>
        <w:rPr>
          <w:rFonts w:ascii="Arial" w:hAnsi="Arial" w:cs="Arial"/>
        </w:rPr>
      </w:pPr>
    </w:p>
    <w:p w14:paraId="37B7D5A0" w14:textId="77777777" w:rsidR="00210220" w:rsidRDefault="00210220">
      <w:pPr>
        <w:pStyle w:val="BodyText"/>
        <w:rPr>
          <w:rFonts w:ascii="Arial" w:hAnsi="Arial" w:cs="Arial"/>
        </w:rPr>
      </w:pPr>
      <w:r>
        <w:rPr>
          <w:rFonts w:ascii="Arial" w:hAnsi="Arial" w:cs="Arial"/>
        </w:rPr>
        <w:t xml:space="preserve">Information may assist the Authority if it is contained in </w:t>
      </w:r>
      <w:r w:rsidR="008E0A8D">
        <w:rPr>
          <w:rFonts w:ascii="Arial" w:hAnsi="Arial" w:cs="Arial"/>
        </w:rPr>
        <w:t xml:space="preserve">human </w:t>
      </w:r>
      <w:r>
        <w:rPr>
          <w:rFonts w:ascii="Arial" w:hAnsi="Arial" w:cs="Arial"/>
        </w:rPr>
        <w:t>studies that</w:t>
      </w:r>
      <w:r w:rsidR="008E0A8D">
        <w:rPr>
          <w:rFonts w:ascii="Arial" w:hAnsi="Arial" w:cs="Arial"/>
        </w:rPr>
        <w:t xml:space="preserve"> are well-designed and measure relevant outcomes. </w:t>
      </w:r>
      <w:r w:rsidR="008E0A8D" w:rsidRPr="008E0A8D">
        <w:rPr>
          <w:rFonts w:ascii="Arial" w:hAnsi="Arial" w:cs="Arial"/>
        </w:rPr>
        <w:t xml:space="preserve">Animal and experimental studies </w:t>
      </w:r>
      <w:r w:rsidR="008E0A8D">
        <w:rPr>
          <w:rFonts w:ascii="Arial" w:hAnsi="Arial" w:cs="Arial"/>
        </w:rPr>
        <w:t xml:space="preserve">may </w:t>
      </w:r>
      <w:r w:rsidR="00FF1E3B">
        <w:rPr>
          <w:rFonts w:ascii="Arial" w:hAnsi="Arial" w:cs="Arial"/>
        </w:rPr>
        <w:t xml:space="preserve">provide </w:t>
      </w:r>
      <w:r w:rsidR="008E0A8D">
        <w:rPr>
          <w:rFonts w:ascii="Arial" w:hAnsi="Arial" w:cs="Arial"/>
        </w:rPr>
        <w:t>useful</w:t>
      </w:r>
      <w:r w:rsidR="00FF1E3B">
        <w:rPr>
          <w:rFonts w:ascii="Arial" w:hAnsi="Arial" w:cs="Arial"/>
        </w:rPr>
        <w:t xml:space="preserve"> supporting information</w:t>
      </w:r>
      <w:r w:rsidR="000A0927">
        <w:rPr>
          <w:rFonts w:ascii="Arial" w:hAnsi="Arial" w:cs="Arial"/>
        </w:rPr>
        <w:t xml:space="preserve"> for human studies i</w:t>
      </w:r>
      <w:r w:rsidR="008E0A8D">
        <w:rPr>
          <w:rFonts w:ascii="Arial" w:hAnsi="Arial" w:cs="Arial"/>
        </w:rPr>
        <w:t>f they provide information about the biologic</w:t>
      </w:r>
      <w:r w:rsidR="00FF1E3B">
        <w:rPr>
          <w:rFonts w:ascii="Arial" w:hAnsi="Arial" w:cs="Arial"/>
        </w:rPr>
        <w:t>al plausibility of an association</w:t>
      </w:r>
      <w:r w:rsidR="00B7361B">
        <w:rPr>
          <w:rFonts w:ascii="Arial" w:hAnsi="Arial" w:cs="Arial"/>
        </w:rPr>
        <w:t>.</w:t>
      </w:r>
    </w:p>
    <w:p w14:paraId="228B248F" w14:textId="77777777" w:rsidR="00210220" w:rsidRDefault="00210220">
      <w:pPr>
        <w:pStyle w:val="BodyText"/>
        <w:rPr>
          <w:rFonts w:ascii="Arial" w:hAnsi="Arial" w:cs="Arial"/>
        </w:rPr>
      </w:pPr>
    </w:p>
    <w:p w14:paraId="4F0635B9" w14:textId="77777777" w:rsidR="00210220" w:rsidRDefault="00210220">
      <w:pPr>
        <w:tabs>
          <w:tab w:val="num" w:pos="1080"/>
        </w:tabs>
        <w:jc w:val="both"/>
        <w:rPr>
          <w:rFonts w:ascii="Arial" w:hAnsi="Arial" w:cs="Arial"/>
          <w:b/>
        </w:rPr>
      </w:pPr>
      <w:r>
        <w:rPr>
          <w:rFonts w:ascii="Arial" w:hAnsi="Arial" w:cs="Arial"/>
          <w:b/>
        </w:rPr>
        <w:lastRenderedPageBreak/>
        <w:t>Assessing Combined Epidemiological Evidence</w:t>
      </w:r>
    </w:p>
    <w:p w14:paraId="3C47E7C1" w14:textId="77777777" w:rsidR="00210220" w:rsidRDefault="00210220">
      <w:pPr>
        <w:jc w:val="both"/>
        <w:rPr>
          <w:rFonts w:ascii="Arial" w:hAnsi="Arial" w:cs="Arial"/>
          <w:b/>
          <w:i/>
        </w:rPr>
      </w:pPr>
    </w:p>
    <w:p w14:paraId="2D92A005" w14:textId="77777777" w:rsidR="00210220" w:rsidRDefault="00210220">
      <w:pPr>
        <w:pStyle w:val="BodyText"/>
        <w:rPr>
          <w:rFonts w:ascii="Arial" w:hAnsi="Arial" w:cs="Arial"/>
        </w:rPr>
      </w:pPr>
      <w:r>
        <w:rPr>
          <w:rFonts w:ascii="Arial" w:hAnsi="Arial" w:cs="Arial"/>
        </w:rPr>
        <w:t xml:space="preserve">The material that you intend to submit in support of your case </w:t>
      </w:r>
      <w:r w:rsidR="00B7361B">
        <w:rPr>
          <w:rFonts w:ascii="Arial" w:hAnsi="Arial" w:cs="Arial"/>
        </w:rPr>
        <w:t>will</w:t>
      </w:r>
      <w:r>
        <w:rPr>
          <w:rFonts w:ascii="Arial" w:hAnsi="Arial" w:cs="Arial"/>
        </w:rPr>
        <w:t xml:space="preserve"> be closely examined against these criteria: </w:t>
      </w:r>
    </w:p>
    <w:p w14:paraId="6D11AF8A" w14:textId="77777777" w:rsidR="00210220" w:rsidRDefault="00210220">
      <w:pPr>
        <w:jc w:val="both"/>
        <w:rPr>
          <w:rFonts w:ascii="Arial" w:hAnsi="Arial" w:cs="Arial"/>
        </w:rPr>
      </w:pPr>
    </w:p>
    <w:p w14:paraId="5A882529" w14:textId="77777777" w:rsidR="00210220" w:rsidRDefault="00210220">
      <w:pPr>
        <w:numPr>
          <w:ilvl w:val="0"/>
          <w:numId w:val="8"/>
        </w:numPr>
        <w:spacing w:line="360" w:lineRule="auto"/>
        <w:ind w:left="357" w:hanging="357"/>
        <w:jc w:val="both"/>
        <w:rPr>
          <w:rFonts w:ascii="Arial" w:hAnsi="Arial" w:cs="Arial"/>
        </w:rPr>
      </w:pPr>
      <w:r>
        <w:rPr>
          <w:rFonts w:ascii="Arial" w:hAnsi="Arial" w:cs="Arial"/>
        </w:rPr>
        <w:t>strength of association;</w:t>
      </w:r>
    </w:p>
    <w:p w14:paraId="3406829E" w14:textId="77777777" w:rsidR="00210220" w:rsidRDefault="00210220">
      <w:pPr>
        <w:numPr>
          <w:ilvl w:val="0"/>
          <w:numId w:val="8"/>
        </w:numPr>
        <w:spacing w:line="360" w:lineRule="auto"/>
        <w:ind w:left="357" w:hanging="357"/>
        <w:jc w:val="both"/>
        <w:rPr>
          <w:rFonts w:ascii="Arial" w:hAnsi="Arial" w:cs="Arial"/>
        </w:rPr>
      </w:pPr>
      <w:r>
        <w:rPr>
          <w:rFonts w:ascii="Arial" w:hAnsi="Arial" w:cs="Arial"/>
        </w:rPr>
        <w:t>consistency;</w:t>
      </w:r>
    </w:p>
    <w:p w14:paraId="78CDB060" w14:textId="77777777" w:rsidR="00210220" w:rsidRDefault="00210220">
      <w:pPr>
        <w:numPr>
          <w:ilvl w:val="0"/>
          <w:numId w:val="8"/>
        </w:numPr>
        <w:spacing w:line="360" w:lineRule="auto"/>
        <w:ind w:left="357" w:hanging="357"/>
        <w:jc w:val="both"/>
        <w:rPr>
          <w:rFonts w:ascii="Arial" w:hAnsi="Arial" w:cs="Arial"/>
        </w:rPr>
      </w:pPr>
      <w:r>
        <w:rPr>
          <w:rFonts w:ascii="Arial" w:hAnsi="Arial" w:cs="Arial"/>
        </w:rPr>
        <w:t>specificity;</w:t>
      </w:r>
    </w:p>
    <w:p w14:paraId="05F44FEF" w14:textId="77777777" w:rsidR="00210220" w:rsidRDefault="00210220">
      <w:pPr>
        <w:numPr>
          <w:ilvl w:val="0"/>
          <w:numId w:val="8"/>
        </w:numPr>
        <w:spacing w:line="360" w:lineRule="auto"/>
        <w:ind w:left="357" w:hanging="357"/>
        <w:jc w:val="both"/>
        <w:rPr>
          <w:rFonts w:ascii="Arial" w:hAnsi="Arial" w:cs="Arial"/>
        </w:rPr>
      </w:pPr>
      <w:r>
        <w:rPr>
          <w:rFonts w:ascii="Arial" w:hAnsi="Arial" w:cs="Arial"/>
        </w:rPr>
        <w:t xml:space="preserve">temporality; </w:t>
      </w:r>
    </w:p>
    <w:p w14:paraId="08AB3D73" w14:textId="77777777" w:rsidR="00210220" w:rsidRDefault="00210220">
      <w:pPr>
        <w:numPr>
          <w:ilvl w:val="0"/>
          <w:numId w:val="8"/>
        </w:numPr>
        <w:spacing w:line="360" w:lineRule="auto"/>
        <w:ind w:left="357" w:hanging="357"/>
        <w:jc w:val="both"/>
        <w:rPr>
          <w:rFonts w:ascii="Arial" w:hAnsi="Arial" w:cs="Arial"/>
        </w:rPr>
      </w:pPr>
      <w:r>
        <w:rPr>
          <w:rFonts w:ascii="Arial" w:hAnsi="Arial" w:cs="Arial"/>
        </w:rPr>
        <w:t>biological gradient;</w:t>
      </w:r>
    </w:p>
    <w:p w14:paraId="2C610C0B" w14:textId="77777777" w:rsidR="00210220" w:rsidRDefault="00210220">
      <w:pPr>
        <w:numPr>
          <w:ilvl w:val="0"/>
          <w:numId w:val="8"/>
        </w:numPr>
        <w:spacing w:line="360" w:lineRule="auto"/>
        <w:ind w:left="357" w:hanging="357"/>
        <w:jc w:val="both"/>
        <w:rPr>
          <w:rFonts w:ascii="Arial" w:hAnsi="Arial" w:cs="Arial"/>
        </w:rPr>
      </w:pPr>
      <w:r>
        <w:rPr>
          <w:rFonts w:ascii="Arial" w:hAnsi="Arial" w:cs="Arial"/>
        </w:rPr>
        <w:t>plausibility;</w:t>
      </w:r>
    </w:p>
    <w:p w14:paraId="2217BC5E" w14:textId="77777777" w:rsidR="00210220" w:rsidRDefault="00B7361B">
      <w:pPr>
        <w:numPr>
          <w:ilvl w:val="0"/>
          <w:numId w:val="8"/>
        </w:numPr>
        <w:spacing w:line="360" w:lineRule="auto"/>
        <w:ind w:left="357" w:hanging="357"/>
        <w:jc w:val="both"/>
        <w:rPr>
          <w:rFonts w:ascii="Arial" w:hAnsi="Arial" w:cs="Arial"/>
        </w:rPr>
      </w:pPr>
      <w:r>
        <w:rPr>
          <w:rFonts w:ascii="Arial" w:hAnsi="Arial" w:cs="Arial"/>
        </w:rPr>
        <w:t>experimental evidence.</w:t>
      </w:r>
    </w:p>
    <w:p w14:paraId="03A228BC" w14:textId="77777777" w:rsidR="00210220" w:rsidRDefault="00210220">
      <w:pPr>
        <w:jc w:val="both"/>
        <w:rPr>
          <w:rFonts w:ascii="Arial" w:hAnsi="Arial" w:cs="Arial"/>
        </w:rPr>
      </w:pPr>
      <w:r>
        <w:rPr>
          <w:rFonts w:ascii="Arial" w:hAnsi="Arial" w:cs="Arial"/>
        </w:rPr>
        <w:t xml:space="preserve">When evaluating against competing hypotheses, the Authority will </w:t>
      </w:r>
      <w:proofErr w:type="gramStart"/>
      <w:r>
        <w:rPr>
          <w:rFonts w:ascii="Arial" w:hAnsi="Arial" w:cs="Arial"/>
        </w:rPr>
        <w:t>take into account</w:t>
      </w:r>
      <w:proofErr w:type="gramEnd"/>
      <w:r>
        <w:rPr>
          <w:rFonts w:ascii="Arial" w:hAnsi="Arial" w:cs="Arial"/>
        </w:rPr>
        <w:t xml:space="preserve"> the above criteria as well as the coherence of the information. You may wish to refer the Authority to a relevant meta-analysis, or the Authority may use an existing such analysis or have one commissioned. </w:t>
      </w:r>
    </w:p>
    <w:p w14:paraId="7F016BD1" w14:textId="77777777" w:rsidR="00210220" w:rsidRDefault="00210220">
      <w:pPr>
        <w:jc w:val="both"/>
        <w:rPr>
          <w:rFonts w:ascii="Arial" w:hAnsi="Arial" w:cs="Arial"/>
        </w:rPr>
      </w:pPr>
    </w:p>
    <w:p w14:paraId="7492219D" w14:textId="77777777" w:rsidR="00210220" w:rsidRDefault="00210220">
      <w:pPr>
        <w:jc w:val="both"/>
        <w:rPr>
          <w:rFonts w:ascii="Arial" w:hAnsi="Arial" w:cs="Arial"/>
          <w:b/>
        </w:rPr>
      </w:pPr>
      <w:r>
        <w:rPr>
          <w:rFonts w:ascii="Arial" w:hAnsi="Arial" w:cs="Arial"/>
          <w:b/>
        </w:rPr>
        <w:t xml:space="preserve">Suggested Format </w:t>
      </w:r>
    </w:p>
    <w:p w14:paraId="25208B6F" w14:textId="77777777" w:rsidR="00210220" w:rsidRDefault="00210220">
      <w:pPr>
        <w:jc w:val="both"/>
        <w:rPr>
          <w:rFonts w:ascii="Arial" w:hAnsi="Arial" w:cs="Arial"/>
          <w:b/>
        </w:rPr>
      </w:pPr>
    </w:p>
    <w:p w14:paraId="6C91DD7D" w14:textId="77777777" w:rsidR="00210220" w:rsidRDefault="00210220">
      <w:pPr>
        <w:jc w:val="both"/>
        <w:rPr>
          <w:rFonts w:ascii="Arial" w:hAnsi="Arial" w:cs="Arial"/>
        </w:rPr>
      </w:pPr>
      <w:r>
        <w:rPr>
          <w:rFonts w:ascii="Arial" w:hAnsi="Arial" w:cs="Arial"/>
        </w:rPr>
        <w:t>The Authority suggests that the following format be followed for submissions:</w:t>
      </w:r>
    </w:p>
    <w:p w14:paraId="32EAFF25" w14:textId="77777777" w:rsidR="00210220" w:rsidRDefault="00210220">
      <w:pPr>
        <w:jc w:val="both"/>
        <w:rPr>
          <w:rFonts w:ascii="Arial" w:hAnsi="Arial" w:cs="Arial"/>
        </w:rPr>
      </w:pPr>
    </w:p>
    <w:p w14:paraId="7C4AF64B" w14:textId="77777777" w:rsidR="00210220" w:rsidRDefault="00210220">
      <w:pPr>
        <w:numPr>
          <w:ilvl w:val="0"/>
          <w:numId w:val="6"/>
        </w:numPr>
        <w:jc w:val="both"/>
        <w:rPr>
          <w:rFonts w:ascii="Arial" w:hAnsi="Arial" w:cs="Arial"/>
        </w:rPr>
      </w:pPr>
      <w:r>
        <w:rPr>
          <w:rFonts w:ascii="Arial" w:hAnsi="Arial" w:cs="Arial"/>
        </w:rPr>
        <w:t>begin by stating the purpose of the submission.  List the factors that you think cause (or do not cause) the condition;</w:t>
      </w:r>
    </w:p>
    <w:p w14:paraId="62D7A2DD" w14:textId="77777777" w:rsidR="00210220" w:rsidRDefault="00210220">
      <w:pPr>
        <w:jc w:val="both"/>
        <w:rPr>
          <w:rFonts w:ascii="Arial" w:hAnsi="Arial" w:cs="Arial"/>
        </w:rPr>
      </w:pPr>
    </w:p>
    <w:p w14:paraId="058FEFCD" w14:textId="77777777" w:rsidR="00210220" w:rsidRDefault="00210220">
      <w:pPr>
        <w:numPr>
          <w:ilvl w:val="0"/>
          <w:numId w:val="6"/>
        </w:numPr>
        <w:jc w:val="both"/>
        <w:rPr>
          <w:rFonts w:ascii="Arial" w:hAnsi="Arial" w:cs="Arial"/>
        </w:rPr>
      </w:pPr>
      <w:r>
        <w:rPr>
          <w:rFonts w:ascii="Arial" w:hAnsi="Arial" w:cs="Arial"/>
        </w:rPr>
        <w:t>describe any literature search you may have conducted;</w:t>
      </w:r>
    </w:p>
    <w:p w14:paraId="7DEF3415" w14:textId="77777777" w:rsidR="00210220" w:rsidRDefault="00210220">
      <w:pPr>
        <w:jc w:val="both"/>
        <w:rPr>
          <w:rFonts w:ascii="Arial" w:hAnsi="Arial" w:cs="Arial"/>
        </w:rPr>
      </w:pPr>
    </w:p>
    <w:p w14:paraId="5CADF4B3" w14:textId="77777777" w:rsidR="00210220" w:rsidRDefault="00210220">
      <w:pPr>
        <w:numPr>
          <w:ilvl w:val="0"/>
          <w:numId w:val="6"/>
        </w:numPr>
        <w:jc w:val="both"/>
        <w:rPr>
          <w:rFonts w:ascii="Arial" w:hAnsi="Arial" w:cs="Arial"/>
        </w:rPr>
      </w:pPr>
      <w:r>
        <w:rPr>
          <w:rFonts w:ascii="Arial" w:hAnsi="Arial" w:cs="Arial"/>
        </w:rPr>
        <w:t xml:space="preserve">discuss these various factors in the order in which you have listed them in the introduction.  </w:t>
      </w:r>
      <w:r w:rsidR="000A0927">
        <w:rPr>
          <w:rFonts w:ascii="Arial" w:hAnsi="Arial" w:cs="Arial"/>
        </w:rPr>
        <w:t xml:space="preserve">Reference </w:t>
      </w:r>
      <w:r>
        <w:rPr>
          <w:rFonts w:ascii="Arial" w:hAnsi="Arial" w:cs="Arial"/>
        </w:rPr>
        <w:t xml:space="preserve">all medical-scientific material that you refer to or discuss; </w:t>
      </w:r>
    </w:p>
    <w:p w14:paraId="18916699" w14:textId="77777777" w:rsidR="00210220" w:rsidRDefault="00210220">
      <w:pPr>
        <w:jc w:val="both"/>
        <w:rPr>
          <w:rFonts w:ascii="Arial" w:hAnsi="Arial" w:cs="Arial"/>
        </w:rPr>
      </w:pPr>
    </w:p>
    <w:p w14:paraId="1D19C0D1" w14:textId="77777777" w:rsidR="00210220" w:rsidRDefault="00210220">
      <w:pPr>
        <w:numPr>
          <w:ilvl w:val="0"/>
          <w:numId w:val="6"/>
        </w:numPr>
        <w:jc w:val="both"/>
        <w:rPr>
          <w:rFonts w:ascii="Arial" w:hAnsi="Arial" w:cs="Arial"/>
        </w:rPr>
      </w:pPr>
      <w:r>
        <w:rPr>
          <w:rFonts w:ascii="Arial" w:hAnsi="Arial" w:cs="Arial"/>
        </w:rPr>
        <w:t xml:space="preserve">if you have referred to sound medical-scientific evidence in the submission, attach an Appendix of References. This attachment should contain </w:t>
      </w:r>
      <w:r>
        <w:rPr>
          <w:rFonts w:ascii="Arial" w:hAnsi="Arial" w:cs="Arial"/>
          <w:i/>
        </w:rPr>
        <w:t>abstracts</w:t>
      </w:r>
      <w:r>
        <w:rPr>
          <w:rFonts w:ascii="Arial" w:hAnsi="Arial" w:cs="Arial"/>
        </w:rPr>
        <w:t xml:space="preserve"> of the articles and other references that you have referred to in your submission.</w:t>
      </w:r>
    </w:p>
    <w:p w14:paraId="0006E57A" w14:textId="77777777" w:rsidR="00210220" w:rsidRDefault="00210220">
      <w:pPr>
        <w:ind w:left="720" w:hanging="720"/>
        <w:jc w:val="both"/>
        <w:rPr>
          <w:rFonts w:ascii="Arial" w:hAnsi="Arial" w:cs="Arial"/>
        </w:rPr>
      </w:pPr>
    </w:p>
    <w:p w14:paraId="239E1ABE" w14:textId="77777777" w:rsidR="00210220" w:rsidRDefault="00210220">
      <w:pPr>
        <w:ind w:left="720" w:hanging="720"/>
        <w:jc w:val="both"/>
        <w:rPr>
          <w:rFonts w:ascii="Arial" w:hAnsi="Arial" w:cs="Arial"/>
        </w:rPr>
      </w:pPr>
      <w:r>
        <w:rPr>
          <w:rFonts w:ascii="Arial" w:hAnsi="Arial" w:cs="Arial"/>
        </w:rPr>
        <w:t xml:space="preserve">Submissions should be lodged </w:t>
      </w:r>
      <w:hyperlink r:id="rId8" w:history="1">
        <w:r w:rsidR="00B7361B" w:rsidRPr="00B7361B">
          <w:rPr>
            <w:rStyle w:val="Hyperlink"/>
            <w:rFonts w:ascii="Arial" w:hAnsi="Arial" w:cs="Arial"/>
            <w:b/>
          </w:rPr>
          <w:t>on-line</w:t>
        </w:r>
      </w:hyperlink>
      <w:r w:rsidR="00B7361B">
        <w:rPr>
          <w:rFonts w:ascii="Arial" w:hAnsi="Arial" w:cs="Arial"/>
        </w:rPr>
        <w:t xml:space="preserve"> </w:t>
      </w:r>
      <w:r w:rsidR="00861B63">
        <w:rPr>
          <w:rFonts w:ascii="Arial" w:hAnsi="Arial" w:cs="Arial"/>
        </w:rPr>
        <w:t>or</w:t>
      </w:r>
      <w:r w:rsidR="00350A66">
        <w:rPr>
          <w:rFonts w:ascii="Arial" w:hAnsi="Arial" w:cs="Arial"/>
        </w:rPr>
        <w:t xml:space="preserve"> can be emailed or </w:t>
      </w:r>
      <w:r w:rsidR="00861B63">
        <w:rPr>
          <w:rFonts w:ascii="Arial" w:hAnsi="Arial" w:cs="Arial"/>
        </w:rPr>
        <w:t>mailed to</w:t>
      </w:r>
      <w:r>
        <w:rPr>
          <w:rFonts w:ascii="Arial" w:hAnsi="Arial" w:cs="Arial"/>
        </w:rPr>
        <w:t>:</w:t>
      </w:r>
    </w:p>
    <w:p w14:paraId="03749EF4" w14:textId="77777777" w:rsidR="00210220" w:rsidRDefault="00210220">
      <w:pPr>
        <w:ind w:left="720" w:hanging="720"/>
        <w:jc w:val="both"/>
        <w:rPr>
          <w:rFonts w:ascii="Arial" w:hAnsi="Arial" w:cs="Arial"/>
        </w:rPr>
      </w:pPr>
    </w:p>
    <w:p w14:paraId="2C02B309" w14:textId="77777777" w:rsidR="00210220" w:rsidRDefault="00210220">
      <w:pPr>
        <w:ind w:left="720" w:hanging="720"/>
        <w:jc w:val="both"/>
        <w:rPr>
          <w:rFonts w:ascii="Arial" w:hAnsi="Arial" w:cs="Arial"/>
          <w:b/>
        </w:rPr>
      </w:pPr>
      <w:r>
        <w:rPr>
          <w:rFonts w:ascii="Arial" w:hAnsi="Arial" w:cs="Arial"/>
        </w:rPr>
        <w:tab/>
      </w:r>
      <w:r>
        <w:rPr>
          <w:rFonts w:ascii="Arial" w:hAnsi="Arial" w:cs="Arial"/>
          <w:b/>
        </w:rPr>
        <w:t>Repatriation Medical Authority</w:t>
      </w:r>
    </w:p>
    <w:p w14:paraId="7E9B232D" w14:textId="77777777" w:rsidR="00861B63" w:rsidRDefault="00210220">
      <w:pPr>
        <w:ind w:left="720" w:hanging="720"/>
        <w:jc w:val="both"/>
        <w:rPr>
          <w:rFonts w:ascii="Arial" w:hAnsi="Arial" w:cs="Arial"/>
          <w:b/>
        </w:rPr>
      </w:pPr>
      <w:r>
        <w:rPr>
          <w:rFonts w:ascii="Arial" w:hAnsi="Arial" w:cs="Arial"/>
          <w:b/>
        </w:rPr>
        <w:tab/>
      </w:r>
      <w:r w:rsidR="00861B63">
        <w:rPr>
          <w:rFonts w:ascii="Arial" w:hAnsi="Arial" w:cs="Arial"/>
          <w:b/>
        </w:rPr>
        <w:t>GPO Box 1014</w:t>
      </w:r>
    </w:p>
    <w:p w14:paraId="20A17D6B" w14:textId="77777777" w:rsidR="00210220" w:rsidRDefault="00210220">
      <w:pPr>
        <w:spacing w:line="360" w:lineRule="auto"/>
        <w:ind w:left="720" w:hanging="720"/>
        <w:jc w:val="both"/>
        <w:rPr>
          <w:rFonts w:ascii="Arial" w:hAnsi="Arial" w:cs="Arial"/>
          <w:b/>
        </w:rPr>
      </w:pPr>
      <w:r>
        <w:rPr>
          <w:rFonts w:ascii="Arial" w:hAnsi="Arial" w:cs="Arial"/>
          <w:b/>
        </w:rPr>
        <w:tab/>
      </w:r>
      <w:proofErr w:type="gramStart"/>
      <w:r>
        <w:rPr>
          <w:rFonts w:ascii="Arial" w:hAnsi="Arial" w:cs="Arial"/>
          <w:b/>
        </w:rPr>
        <w:t>Brisbane</w:t>
      </w:r>
      <w:r w:rsidR="00861B63">
        <w:rPr>
          <w:rFonts w:ascii="Arial" w:hAnsi="Arial" w:cs="Arial"/>
          <w:b/>
        </w:rPr>
        <w:t xml:space="preserve">  Qld</w:t>
      </w:r>
      <w:proofErr w:type="gramEnd"/>
      <w:r w:rsidR="00861B63">
        <w:rPr>
          <w:rFonts w:ascii="Arial" w:hAnsi="Arial" w:cs="Arial"/>
          <w:b/>
        </w:rPr>
        <w:t xml:space="preserve">  4001</w:t>
      </w:r>
      <w:r>
        <w:rPr>
          <w:rFonts w:ascii="Arial" w:hAnsi="Arial" w:cs="Arial"/>
          <w:b/>
        </w:rPr>
        <w:tab/>
      </w:r>
    </w:p>
    <w:p w14:paraId="6E554650" w14:textId="77777777" w:rsidR="00350A66" w:rsidRDefault="00350A66">
      <w:pPr>
        <w:spacing w:line="360" w:lineRule="auto"/>
        <w:ind w:left="720" w:hanging="720"/>
        <w:jc w:val="both"/>
        <w:rPr>
          <w:rFonts w:ascii="Arial" w:hAnsi="Arial" w:cs="Arial"/>
          <w:b/>
        </w:rPr>
      </w:pPr>
      <w:r>
        <w:rPr>
          <w:rFonts w:ascii="Arial" w:hAnsi="Arial" w:cs="Arial"/>
          <w:b/>
        </w:rPr>
        <w:tab/>
      </w:r>
      <w:hyperlink r:id="rId9" w:history="1">
        <w:r w:rsidRPr="00350A66">
          <w:rPr>
            <w:rStyle w:val="Hyperlink"/>
            <w:rFonts w:ascii="Arial" w:hAnsi="Arial" w:cs="Arial"/>
            <w:b/>
          </w:rPr>
          <w:t>info@rma.gov.au</w:t>
        </w:r>
      </w:hyperlink>
    </w:p>
    <w:p w14:paraId="58776019" w14:textId="77777777" w:rsidR="00210220" w:rsidRDefault="00210220">
      <w:pPr>
        <w:ind w:left="720" w:hanging="720"/>
        <w:jc w:val="both"/>
        <w:rPr>
          <w:rFonts w:ascii="Arial" w:hAnsi="Arial" w:cs="Arial"/>
        </w:rPr>
      </w:pPr>
    </w:p>
    <w:p w14:paraId="76AE94CB" w14:textId="77777777" w:rsidR="00210220" w:rsidRDefault="00323328">
      <w:pPr>
        <w:rPr>
          <w:rFonts w:ascii="Arial" w:hAnsi="Arial" w:cs="Arial"/>
          <w:b/>
          <w:szCs w:val="24"/>
        </w:rPr>
      </w:pPr>
      <w:r>
        <w:rPr>
          <w:rFonts w:ascii="Arial" w:hAnsi="Arial" w:cs="Arial"/>
          <w:b/>
          <w:szCs w:val="24"/>
        </w:rPr>
        <w:br w:type="page"/>
      </w:r>
      <w:r w:rsidR="00210220">
        <w:rPr>
          <w:rFonts w:ascii="Arial" w:hAnsi="Arial" w:cs="Arial"/>
          <w:b/>
          <w:szCs w:val="24"/>
        </w:rPr>
        <w:lastRenderedPageBreak/>
        <w:t>Disclosure of Information</w:t>
      </w:r>
    </w:p>
    <w:p w14:paraId="228F174D" w14:textId="77777777" w:rsidR="00210220" w:rsidRDefault="00210220">
      <w:pPr>
        <w:rPr>
          <w:rFonts w:ascii="Arial" w:hAnsi="Arial" w:cs="Arial"/>
          <w:szCs w:val="24"/>
        </w:rPr>
      </w:pPr>
    </w:p>
    <w:p w14:paraId="667D99A5" w14:textId="1956686C" w:rsidR="00210220" w:rsidRDefault="00210220">
      <w:pPr>
        <w:rPr>
          <w:rFonts w:ascii="Arial" w:hAnsi="Arial" w:cs="Arial"/>
          <w:szCs w:val="24"/>
        </w:rPr>
      </w:pPr>
      <w:r>
        <w:rPr>
          <w:rFonts w:ascii="Arial" w:hAnsi="Arial" w:cs="Arial"/>
          <w:szCs w:val="24"/>
        </w:rPr>
        <w:t xml:space="preserve">Under section </w:t>
      </w:r>
      <w:r w:rsidR="002F0F6F">
        <w:rPr>
          <w:rFonts w:ascii="Arial" w:hAnsi="Arial" w:cs="Arial"/>
          <w:szCs w:val="24"/>
        </w:rPr>
        <w:t>370CM</w:t>
      </w:r>
      <w:r>
        <w:rPr>
          <w:rFonts w:ascii="Arial" w:hAnsi="Arial" w:cs="Arial"/>
          <w:szCs w:val="24"/>
        </w:rPr>
        <w:t xml:space="preserve"> of the </w:t>
      </w:r>
      <w:r w:rsidR="002F0F6F">
        <w:rPr>
          <w:rFonts w:ascii="Arial" w:hAnsi="Arial" w:cs="Arial"/>
          <w:szCs w:val="24"/>
        </w:rPr>
        <w:t>MRCA</w:t>
      </w:r>
      <w:r>
        <w:rPr>
          <w:rFonts w:ascii="Arial" w:hAnsi="Arial" w:cs="Arial"/>
          <w:szCs w:val="24"/>
        </w:rPr>
        <w:t xml:space="preserve">, certain decisions made by the Authority are reviewable by the Specialist Medical Review Council (SMRC). If a valid application for review by the SMRC is made, the </w:t>
      </w:r>
      <w:r w:rsidR="002F0F6F">
        <w:rPr>
          <w:rFonts w:ascii="Arial" w:hAnsi="Arial" w:cs="Arial"/>
          <w:szCs w:val="24"/>
        </w:rPr>
        <w:t>MRCA</w:t>
      </w:r>
      <w:r>
        <w:rPr>
          <w:rFonts w:ascii="Arial" w:hAnsi="Arial" w:cs="Arial"/>
          <w:szCs w:val="24"/>
        </w:rPr>
        <w:t xml:space="preserve"> requires the Authority to disclose to the SMRC all information relevant to its determination or decision. This includes applications for investigation or review, and submissions received relevant to the matter being reviewed by the SMRC.</w:t>
      </w:r>
    </w:p>
    <w:p w14:paraId="7B7C4360" w14:textId="77777777" w:rsidR="00210220" w:rsidRDefault="00210220">
      <w:pPr>
        <w:ind w:left="720" w:hanging="720"/>
        <w:jc w:val="both"/>
        <w:rPr>
          <w:rFonts w:ascii="Arial" w:hAnsi="Arial" w:cs="Arial"/>
        </w:rPr>
      </w:pPr>
    </w:p>
    <w:sectPr w:rsidR="00210220">
      <w:footerReference w:type="default" r:id="rId10"/>
      <w:pgSz w:w="11907" w:h="16840" w:code="9"/>
      <w:pgMar w:top="851" w:right="1276"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E06D" w14:textId="77777777" w:rsidR="001E4634" w:rsidRDefault="001E4634">
      <w:r>
        <w:separator/>
      </w:r>
    </w:p>
  </w:endnote>
  <w:endnote w:type="continuationSeparator" w:id="0">
    <w:p w14:paraId="5CE9CB8C" w14:textId="77777777" w:rsidR="001E4634" w:rsidRDefault="001E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775E" w14:textId="2D3287FF" w:rsidR="00210220" w:rsidRDefault="00210220">
    <w:pPr>
      <w:pStyle w:val="Footer"/>
      <w:tabs>
        <w:tab w:val="clear" w:pos="4819"/>
        <w:tab w:val="left" w:pos="3969"/>
        <w:tab w:val="center" w:pos="5812"/>
        <w:tab w:val="left" w:pos="6663"/>
      </w:tabs>
      <w:ind w:right="896"/>
      <w:rPr>
        <w:rFonts w:ascii="Times New Roman" w:hAnsi="Times New Roman"/>
        <w:sz w:val="16"/>
      </w:rPr>
    </w:pPr>
    <w:r>
      <w:rPr>
        <w:sz w:val="16"/>
      </w:rPr>
      <w:tab/>
    </w:r>
    <w:r w:rsidR="002F0F6F">
      <w:rPr>
        <w:sz w:val="16"/>
      </w:rPr>
      <w:t>Ju</w:t>
    </w:r>
    <w:r w:rsidR="0046176A">
      <w:rPr>
        <w:sz w:val="16"/>
      </w:rPr>
      <w:t>ly</w:t>
    </w:r>
    <w:r w:rsidR="002F0F6F">
      <w:rPr>
        <w:sz w:val="16"/>
      </w:rPr>
      <w:t xml:space="preserve"> 2026</w:t>
    </w:r>
    <w:r>
      <w:rPr>
        <w:sz w:val="16"/>
      </w:rPr>
      <w:tab/>
    </w:r>
    <w:r>
      <w:rPr>
        <w:rFonts w:ascii="Times New Roman" w:hAnsi="Times New Roman"/>
        <w:sz w:val="16"/>
      </w:rPr>
      <w:tab/>
    </w:r>
    <w:r>
      <w:rPr>
        <w:rFonts w:ascii="Times New Roman" w:hAnsi="Times New Roman"/>
        <w:sz w:val="16"/>
      </w:rPr>
      <w:tab/>
    </w:r>
    <w:r>
      <w:rPr>
        <w:rFonts w:ascii="Times New Roman" w:hAnsi="Times New Roman"/>
        <w:snapToGrid w:val="0"/>
        <w:sz w:val="16"/>
        <w:lang w:eastAsia="en-US"/>
      </w:rPr>
      <w:t xml:space="preserve">Page </w:t>
    </w:r>
    <w:r>
      <w:rPr>
        <w:rFonts w:ascii="Times New Roman" w:hAnsi="Times New Roman"/>
        <w:snapToGrid w:val="0"/>
        <w:sz w:val="16"/>
        <w:lang w:eastAsia="en-US"/>
      </w:rPr>
      <w:fldChar w:fldCharType="begin"/>
    </w:r>
    <w:r>
      <w:rPr>
        <w:rFonts w:ascii="Times New Roman" w:hAnsi="Times New Roman"/>
        <w:snapToGrid w:val="0"/>
        <w:sz w:val="16"/>
        <w:lang w:eastAsia="en-US"/>
      </w:rPr>
      <w:instrText xml:space="preserve"> PAGE </w:instrText>
    </w:r>
    <w:r>
      <w:rPr>
        <w:rFonts w:ascii="Times New Roman" w:hAnsi="Times New Roman"/>
        <w:snapToGrid w:val="0"/>
        <w:sz w:val="16"/>
        <w:lang w:eastAsia="en-US"/>
      </w:rPr>
      <w:fldChar w:fldCharType="separate"/>
    </w:r>
    <w:r w:rsidR="00954686">
      <w:rPr>
        <w:rFonts w:ascii="Times New Roman" w:hAnsi="Times New Roman"/>
        <w:noProof/>
        <w:snapToGrid w:val="0"/>
        <w:sz w:val="16"/>
        <w:lang w:eastAsia="en-US"/>
      </w:rPr>
      <w:t>4</w:t>
    </w:r>
    <w:r>
      <w:rPr>
        <w:rFonts w:ascii="Times New Roman" w:hAnsi="Times New Roman"/>
        <w:snapToGrid w:val="0"/>
        <w:sz w:val="16"/>
        <w:lang w:eastAsia="en-US"/>
      </w:rPr>
      <w:fldChar w:fldCharType="end"/>
    </w:r>
    <w:r>
      <w:rPr>
        <w:rFonts w:ascii="Times New Roman" w:hAnsi="Times New Roman"/>
        <w:snapToGrid w:val="0"/>
        <w:sz w:val="16"/>
        <w:lang w:eastAsia="en-US"/>
      </w:rPr>
      <w:t xml:space="preserve"> of </w:t>
    </w:r>
    <w:r>
      <w:rPr>
        <w:rFonts w:ascii="Times New Roman" w:hAnsi="Times New Roman"/>
        <w:snapToGrid w:val="0"/>
        <w:sz w:val="16"/>
        <w:lang w:eastAsia="en-US"/>
      </w:rPr>
      <w:fldChar w:fldCharType="begin"/>
    </w:r>
    <w:r>
      <w:rPr>
        <w:rFonts w:ascii="Times New Roman" w:hAnsi="Times New Roman"/>
        <w:snapToGrid w:val="0"/>
        <w:sz w:val="16"/>
        <w:lang w:eastAsia="en-US"/>
      </w:rPr>
      <w:instrText xml:space="preserve"> NUMPAGES </w:instrText>
    </w:r>
    <w:r>
      <w:rPr>
        <w:rFonts w:ascii="Times New Roman" w:hAnsi="Times New Roman"/>
        <w:snapToGrid w:val="0"/>
        <w:sz w:val="16"/>
        <w:lang w:eastAsia="en-US"/>
      </w:rPr>
      <w:fldChar w:fldCharType="separate"/>
    </w:r>
    <w:r w:rsidR="00954686">
      <w:rPr>
        <w:rFonts w:ascii="Times New Roman" w:hAnsi="Times New Roman"/>
        <w:noProof/>
        <w:snapToGrid w:val="0"/>
        <w:sz w:val="16"/>
        <w:lang w:eastAsia="en-US"/>
      </w:rPr>
      <w:t>4</w:t>
    </w:r>
    <w:r>
      <w:rPr>
        <w:rFonts w:ascii="Times New Roman" w:hAnsi="Times New Roman"/>
        <w:snapToGrid w:val="0"/>
        <w:sz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88A9" w14:textId="77777777" w:rsidR="001E4634" w:rsidRDefault="001E4634">
      <w:r>
        <w:separator/>
      </w:r>
    </w:p>
  </w:footnote>
  <w:footnote w:type="continuationSeparator" w:id="0">
    <w:p w14:paraId="3A03DCB3" w14:textId="77777777" w:rsidR="001E4634" w:rsidRDefault="001E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276A"/>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335FD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B7784D"/>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4E1BEA"/>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7ED46E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0C100C"/>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F5C222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1F76B86"/>
    <w:multiLevelType w:val="singleLevel"/>
    <w:tmpl w:val="0C090003"/>
    <w:lvl w:ilvl="0">
      <w:start w:val="1"/>
      <w:numFmt w:val="bullet"/>
      <w:lvlText w:val=""/>
      <w:lvlJc w:val="left"/>
      <w:pPr>
        <w:tabs>
          <w:tab w:val="num" w:pos="360"/>
        </w:tabs>
        <w:ind w:left="360" w:hanging="360"/>
      </w:pPr>
      <w:rPr>
        <w:rFonts w:ascii="Symbol" w:hAnsi="Symbol" w:hint="default"/>
      </w:rPr>
    </w:lvl>
  </w:abstractNum>
  <w:num w:numId="1" w16cid:durableId="1153176597">
    <w:abstractNumId w:val="0"/>
  </w:num>
  <w:num w:numId="2" w16cid:durableId="1373190383">
    <w:abstractNumId w:val="5"/>
  </w:num>
  <w:num w:numId="3" w16cid:durableId="1295059783">
    <w:abstractNumId w:val="6"/>
  </w:num>
  <w:num w:numId="4" w16cid:durableId="1816601211">
    <w:abstractNumId w:val="1"/>
  </w:num>
  <w:num w:numId="5" w16cid:durableId="1617516554">
    <w:abstractNumId w:val="4"/>
  </w:num>
  <w:num w:numId="6" w16cid:durableId="1072046660">
    <w:abstractNumId w:val="3"/>
  </w:num>
  <w:num w:numId="7" w16cid:durableId="1164858350">
    <w:abstractNumId w:val="2"/>
  </w:num>
  <w:num w:numId="8" w16cid:durableId="1445808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85"/>
    <w:rsid w:val="000A0927"/>
    <w:rsid w:val="001A43C8"/>
    <w:rsid w:val="001E4634"/>
    <w:rsid w:val="00201456"/>
    <w:rsid w:val="00210220"/>
    <w:rsid w:val="002F0F6F"/>
    <w:rsid w:val="00323328"/>
    <w:rsid w:val="00350A66"/>
    <w:rsid w:val="003E3D85"/>
    <w:rsid w:val="003F0834"/>
    <w:rsid w:val="0046176A"/>
    <w:rsid w:val="00572726"/>
    <w:rsid w:val="00861B63"/>
    <w:rsid w:val="008E0A8D"/>
    <w:rsid w:val="00954686"/>
    <w:rsid w:val="00972264"/>
    <w:rsid w:val="00B7361B"/>
    <w:rsid w:val="00C71250"/>
    <w:rsid w:val="00D03825"/>
    <w:rsid w:val="00D07B33"/>
    <w:rsid w:val="00F41520"/>
    <w:rsid w:val="00FF1E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589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153"/>
        <w:tab w:val="right" w:pos="8306"/>
      </w:tabs>
    </w:pPr>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left="1440" w:hanging="720"/>
      <w:jc w:val="both"/>
    </w:pPr>
    <w:rPr>
      <w:rFonts w:ascii="Times New Roman" w:hAnsi="Times New Roman"/>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B7361B"/>
    <w:rPr>
      <w:color w:val="0563C1" w:themeColor="hyperlink"/>
      <w:u w:val="single"/>
    </w:rPr>
  </w:style>
  <w:style w:type="paragraph" w:styleId="Revision">
    <w:name w:val="Revision"/>
    <w:hidden/>
    <w:uiPriority w:val="99"/>
    <w:semiHidden/>
    <w:rsid w:val="002F0F6F"/>
    <w:rPr>
      <w:rFonts w:ascii="Palatino" w:hAnsi="Palatino"/>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investigations/lodge-an-online-request-for-an-investigation-review/"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ma.gov.au/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5414</Characters>
  <Application>Microsoft Office Word</Application>
  <DocSecurity>0</DocSecurity>
  <Lines>45</Lines>
  <Paragraphs>12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2026-07-09T05:29:00Z</dcterms:created>
  <dcterms:modified xsi:type="dcterms:W3CDTF">2026-07-09T05:29:00Z</dcterms:modified>
</cp:coreProperties>
</file>