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99" w:rsidRDefault="001B0999">
      <w:pPr>
        <w:jc w:val="center"/>
        <w:rPr>
          <w:rFonts w:ascii="Arial" w:hAnsi="Arial" w:cs="Arial"/>
          <w:b/>
          <w:sz w:val="22"/>
        </w:rPr>
      </w:pPr>
    </w:p>
    <w:p w:rsidR="001B0999" w:rsidRDefault="001B0999">
      <w:pPr>
        <w:jc w:val="center"/>
        <w:rPr>
          <w:rFonts w:ascii="Arial" w:hAnsi="Arial" w:cs="Arial"/>
          <w:b/>
          <w:sz w:val="22"/>
        </w:rPr>
      </w:pPr>
    </w:p>
    <w:p w:rsidR="001B0999" w:rsidRDefault="0094569C">
      <w:pPr>
        <w:jc w:val="center"/>
        <w:rPr>
          <w:rFonts w:ascii="Arial" w:hAnsi="Arial" w:cs="Arial"/>
          <w:b/>
        </w:rPr>
      </w:pPr>
      <w:r>
        <w:rPr>
          <w:rFonts w:ascii="Arial" w:hAnsi="Arial" w:cs="Arial"/>
          <w:b/>
          <w:noProof/>
          <w:sz w:val="22"/>
        </w:rPr>
        <w:drawing>
          <wp:inline distT="0" distB="0" distL="0" distR="0">
            <wp:extent cx="2124075" cy="1228725"/>
            <wp:effectExtent l="0" t="0" r="9525" b="9525"/>
            <wp:docPr id="5" name="Picture 5" descr="RM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_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228725"/>
                    </a:xfrm>
                    <a:prstGeom prst="rect">
                      <a:avLst/>
                    </a:prstGeom>
                    <a:noFill/>
                    <a:ln>
                      <a:noFill/>
                    </a:ln>
                  </pic:spPr>
                </pic:pic>
              </a:graphicData>
            </a:graphic>
          </wp:inline>
        </w:drawing>
      </w:r>
    </w:p>
    <w:p w:rsidR="001B0999" w:rsidRDefault="001B0999">
      <w:pPr>
        <w:rPr>
          <w:rFonts w:ascii="Arial" w:hAnsi="Arial" w:cs="Arial"/>
          <w:b/>
          <w:sz w:val="30"/>
        </w:rPr>
      </w:pPr>
    </w:p>
    <w:p w:rsidR="001B0999" w:rsidRDefault="001B0999">
      <w:pPr>
        <w:rPr>
          <w:rFonts w:ascii="Arial" w:hAnsi="Arial" w:cs="Arial"/>
          <w:b/>
          <w:sz w:val="30"/>
        </w:rPr>
      </w:pPr>
    </w:p>
    <w:p w:rsidR="001B0999" w:rsidRDefault="001B0999">
      <w:pPr>
        <w:rPr>
          <w:rFonts w:ascii="Arial" w:hAnsi="Arial" w:cs="Arial"/>
          <w:b/>
          <w:sz w:val="30"/>
        </w:rPr>
      </w:pPr>
    </w:p>
    <w:p w:rsidR="001B0999" w:rsidRDefault="001B0999">
      <w:pPr>
        <w:jc w:val="center"/>
        <w:outlineLvl w:val="0"/>
        <w:rPr>
          <w:rFonts w:ascii="Arial" w:hAnsi="Arial" w:cs="Arial"/>
          <w:b/>
          <w:sz w:val="30"/>
        </w:rPr>
      </w:pPr>
      <w:r>
        <w:rPr>
          <w:rFonts w:ascii="Arial" w:hAnsi="Arial" w:cs="Arial"/>
          <w:b/>
          <w:sz w:val="30"/>
        </w:rPr>
        <w:t>Information for Applicants Requesting an Investigation/Review</w:t>
      </w:r>
    </w:p>
    <w:p w:rsidR="001B0999" w:rsidRDefault="001B0999">
      <w:pPr>
        <w:rPr>
          <w:rFonts w:ascii="Arial" w:hAnsi="Arial" w:cs="Arial"/>
        </w:rPr>
      </w:pPr>
      <w:r>
        <w:rPr>
          <w:rFonts w:ascii="Arial" w:hAnsi="Arial" w:cs="Arial"/>
        </w:rPr>
        <w:t>______________________________________________________________________</w:t>
      </w:r>
    </w:p>
    <w:p w:rsidR="001B0999" w:rsidRDefault="001B0999">
      <w:pPr>
        <w:pStyle w:val="BodyText"/>
        <w:tabs>
          <w:tab w:val="left" w:pos="7088"/>
        </w:tabs>
        <w:ind w:right="283"/>
        <w:jc w:val="center"/>
        <w:rPr>
          <w:rFonts w:ascii="Arial" w:hAnsi="Arial" w:cs="Arial"/>
          <w:b/>
          <w:i/>
        </w:rPr>
      </w:pPr>
    </w:p>
    <w:p w:rsidR="001B0999" w:rsidRDefault="001B0999">
      <w:pPr>
        <w:pStyle w:val="BodyText"/>
        <w:tabs>
          <w:tab w:val="left" w:pos="7088"/>
        </w:tabs>
        <w:ind w:right="283"/>
        <w:jc w:val="center"/>
        <w:rPr>
          <w:rFonts w:ascii="Arial" w:hAnsi="Arial" w:cs="Arial"/>
          <w:b/>
          <w:i/>
        </w:rPr>
      </w:pPr>
    </w:p>
    <w:p w:rsidR="001B0999" w:rsidRDefault="001B0999">
      <w:pPr>
        <w:pStyle w:val="BodyText"/>
        <w:tabs>
          <w:tab w:val="left" w:pos="7088"/>
        </w:tabs>
        <w:ind w:right="283"/>
        <w:jc w:val="center"/>
        <w:rPr>
          <w:rFonts w:ascii="Arial" w:hAnsi="Arial" w:cs="Arial"/>
          <w:b/>
          <w:i/>
        </w:rPr>
      </w:pPr>
      <w:r>
        <w:rPr>
          <w:rFonts w:ascii="Arial" w:hAnsi="Arial" w:cs="Arial"/>
          <w:b/>
          <w:i/>
        </w:rPr>
        <w:t>It is recommended that you read this information before completing the Request for an Investigation/Review Form.</w:t>
      </w:r>
    </w:p>
    <w:p w:rsidR="001B0999" w:rsidRDefault="001B0999">
      <w:pPr>
        <w:rPr>
          <w:rFonts w:ascii="Arial" w:hAnsi="Arial" w:cs="Arial"/>
          <w:sz w:val="10"/>
        </w:rPr>
      </w:pPr>
    </w:p>
    <w:p w:rsidR="001B0999" w:rsidRDefault="001B0999">
      <w:pPr>
        <w:rPr>
          <w:rFonts w:ascii="Arial" w:hAnsi="Arial" w:cs="Arial"/>
          <w:sz w:val="10"/>
        </w:rPr>
      </w:pPr>
    </w:p>
    <w:p w:rsidR="001B0999" w:rsidRDefault="001B0999">
      <w:pPr>
        <w:rPr>
          <w:rFonts w:ascii="Arial" w:hAnsi="Arial" w:cs="Arial"/>
          <w:sz w:val="10"/>
        </w:rPr>
      </w:pPr>
    </w:p>
    <w:p w:rsidR="001B0999" w:rsidRDefault="001B0999">
      <w:pPr>
        <w:rPr>
          <w:rFonts w:ascii="Arial" w:hAnsi="Arial" w:cs="Arial"/>
          <w:sz w:val="10"/>
        </w:rPr>
      </w:pPr>
    </w:p>
    <w:p w:rsidR="001B0999" w:rsidRDefault="001B0999">
      <w:pPr>
        <w:rPr>
          <w:rFonts w:ascii="Arial" w:hAnsi="Arial" w:cs="Arial"/>
          <w:sz w:val="10"/>
        </w:rPr>
      </w:pPr>
    </w:p>
    <w:p w:rsidR="001B0999" w:rsidRDefault="001B0999">
      <w:pPr>
        <w:rPr>
          <w:rFonts w:ascii="Arial" w:hAnsi="Arial" w:cs="Arial"/>
          <w:b/>
          <w:sz w:val="10"/>
        </w:rPr>
      </w:pPr>
    </w:p>
    <w:p w:rsidR="001B0999" w:rsidRDefault="001B0999">
      <w:pPr>
        <w:outlineLvl w:val="0"/>
        <w:rPr>
          <w:rFonts w:ascii="Arial" w:hAnsi="Arial" w:cs="Arial"/>
          <w:b/>
        </w:rPr>
      </w:pPr>
      <w:r>
        <w:rPr>
          <w:rFonts w:ascii="Arial" w:hAnsi="Arial" w:cs="Arial"/>
          <w:b/>
        </w:rPr>
        <w:t>The Repatriation Medical Authority</w:t>
      </w:r>
    </w:p>
    <w:p w:rsidR="001B0999" w:rsidRDefault="001B0999">
      <w:pPr>
        <w:rPr>
          <w:rFonts w:ascii="Arial" w:hAnsi="Arial" w:cs="Arial"/>
          <w:b/>
          <w:sz w:val="10"/>
        </w:rPr>
      </w:pPr>
    </w:p>
    <w:p w:rsidR="001B0999" w:rsidRDefault="001B0999" w:rsidP="0088426A">
      <w:pPr>
        <w:spacing w:after="120"/>
        <w:rPr>
          <w:rFonts w:ascii="Arial" w:hAnsi="Arial" w:cs="Arial"/>
        </w:rPr>
      </w:pPr>
      <w:r>
        <w:rPr>
          <w:rFonts w:ascii="Arial" w:hAnsi="Arial" w:cs="Arial"/>
        </w:rPr>
        <w:t xml:space="preserve">The Repatriation Medical Authority (the Authority) was established in 1994 under the </w:t>
      </w:r>
      <w:r>
        <w:rPr>
          <w:rFonts w:ascii="Arial" w:hAnsi="Arial" w:cs="Arial"/>
          <w:i/>
        </w:rPr>
        <w:t>Veterans’ Entitlements Act 1986</w:t>
      </w:r>
      <w:r>
        <w:rPr>
          <w:rFonts w:ascii="Arial" w:hAnsi="Arial" w:cs="Arial"/>
        </w:rPr>
        <w:t>.</w:t>
      </w:r>
    </w:p>
    <w:p w:rsidR="001B0999" w:rsidRDefault="001B0999" w:rsidP="0088426A">
      <w:pPr>
        <w:spacing w:after="120"/>
        <w:rPr>
          <w:rFonts w:ascii="Arial" w:hAnsi="Arial" w:cs="Arial"/>
        </w:rPr>
      </w:pPr>
      <w:r>
        <w:rPr>
          <w:rFonts w:ascii="Arial" w:hAnsi="Arial" w:cs="Arial"/>
        </w:rPr>
        <w:t xml:space="preserve">The Authority is comprised of five eminent medical practitioners and medical scientists.  It meets regularly to determine Statements of Principles concerning different kinds of injury, disease or death for the purposes of the </w:t>
      </w:r>
      <w:r>
        <w:rPr>
          <w:rFonts w:ascii="Arial" w:hAnsi="Arial" w:cs="Arial"/>
          <w:i/>
        </w:rPr>
        <w:t xml:space="preserve">Veterans’ Entitlements Act 1986 </w:t>
      </w:r>
      <w:r>
        <w:rPr>
          <w:rFonts w:ascii="Arial" w:hAnsi="Arial" w:cs="Arial"/>
        </w:rPr>
        <w:t xml:space="preserve">(the VEA) and the </w:t>
      </w:r>
      <w:r>
        <w:rPr>
          <w:rFonts w:ascii="Arial" w:hAnsi="Arial" w:cs="Arial"/>
          <w:i/>
        </w:rPr>
        <w:t xml:space="preserve">Military Rehabilitation and Compensation Act 2004 </w:t>
      </w:r>
      <w:r>
        <w:rPr>
          <w:rFonts w:ascii="Arial" w:hAnsi="Arial" w:cs="Arial"/>
        </w:rPr>
        <w:t>(the MRCA).</w:t>
      </w:r>
    </w:p>
    <w:p w:rsidR="001B0999" w:rsidRDefault="001B0999" w:rsidP="0088426A">
      <w:pPr>
        <w:pStyle w:val="BodyText"/>
        <w:spacing w:after="120"/>
        <w:jc w:val="left"/>
        <w:rPr>
          <w:rFonts w:ascii="Arial" w:hAnsi="Arial" w:cs="Arial"/>
        </w:rPr>
      </w:pPr>
      <w:r>
        <w:rPr>
          <w:rFonts w:ascii="Arial" w:hAnsi="Arial" w:cs="Arial"/>
        </w:rPr>
        <w:t xml:space="preserve">The Authority can investigate a particular kind of injury, disease or death of its own initiative or upon request by persons or organisations identified in the VEA and MRCA. </w:t>
      </w:r>
    </w:p>
    <w:p w:rsidR="001B0999" w:rsidRDefault="001B0999">
      <w:pPr>
        <w:jc w:val="both"/>
        <w:rPr>
          <w:rFonts w:ascii="Arial" w:hAnsi="Arial" w:cs="Arial"/>
        </w:rPr>
      </w:pPr>
    </w:p>
    <w:p w:rsidR="001B0999" w:rsidRDefault="001B0999">
      <w:pPr>
        <w:jc w:val="both"/>
        <w:outlineLvl w:val="0"/>
        <w:rPr>
          <w:rFonts w:ascii="Arial" w:hAnsi="Arial" w:cs="Arial"/>
          <w:b/>
        </w:rPr>
      </w:pPr>
      <w:r>
        <w:rPr>
          <w:rFonts w:ascii="Arial" w:hAnsi="Arial" w:cs="Arial"/>
          <w:b/>
        </w:rPr>
        <w:t>Who can Lodge a Request?</w:t>
      </w:r>
    </w:p>
    <w:p w:rsidR="001B0999" w:rsidRDefault="001B0999">
      <w:pPr>
        <w:jc w:val="both"/>
        <w:rPr>
          <w:rFonts w:ascii="Arial" w:hAnsi="Arial" w:cs="Arial"/>
          <w:b/>
          <w:sz w:val="10"/>
        </w:rPr>
      </w:pPr>
    </w:p>
    <w:p w:rsidR="001B0999" w:rsidRDefault="001B0999" w:rsidP="0088426A">
      <w:pPr>
        <w:numPr>
          <w:ilvl w:val="0"/>
          <w:numId w:val="6"/>
        </w:numPr>
        <w:rPr>
          <w:rFonts w:ascii="Arial" w:hAnsi="Arial" w:cs="Arial"/>
        </w:rPr>
      </w:pPr>
      <w:r>
        <w:rPr>
          <w:rFonts w:ascii="Arial" w:hAnsi="Arial" w:cs="Arial"/>
        </w:rPr>
        <w:t>A person eligible to make a claim for pension under Part II or IV of the VEA (that is, a veteran or a dependent of a veteran, or a member of the Forces or Peacekeeping Forces or a dependant of a member who is eligible to claim a repatriation pension about the injury, disease or death of the veteran or member); or</w:t>
      </w:r>
    </w:p>
    <w:p w:rsidR="001B0999" w:rsidRDefault="001B0999" w:rsidP="0088426A">
      <w:pPr>
        <w:rPr>
          <w:rFonts w:ascii="Arial" w:hAnsi="Arial" w:cs="Arial"/>
        </w:rPr>
      </w:pPr>
    </w:p>
    <w:p w:rsidR="001B0999" w:rsidRDefault="001B0999" w:rsidP="0088426A">
      <w:pPr>
        <w:numPr>
          <w:ilvl w:val="0"/>
          <w:numId w:val="6"/>
        </w:numPr>
        <w:rPr>
          <w:rFonts w:ascii="Arial" w:hAnsi="Arial" w:cs="Arial"/>
        </w:rPr>
      </w:pPr>
      <w:r>
        <w:rPr>
          <w:rFonts w:ascii="Arial" w:hAnsi="Arial" w:cs="Arial"/>
        </w:rPr>
        <w:t>a person eligible to make a claim for compensation under section 319 of the MRCA (that is, a member or a dependent of a deceased member); or</w:t>
      </w:r>
    </w:p>
    <w:p w:rsidR="001B0999" w:rsidRDefault="001B0999" w:rsidP="0088426A">
      <w:pPr>
        <w:rPr>
          <w:rFonts w:ascii="Arial" w:hAnsi="Arial" w:cs="Arial"/>
        </w:rPr>
      </w:pPr>
    </w:p>
    <w:p w:rsidR="001B0999" w:rsidRDefault="001B0999" w:rsidP="0088426A">
      <w:pPr>
        <w:rPr>
          <w:rFonts w:ascii="Arial" w:hAnsi="Arial" w:cs="Arial"/>
          <w:sz w:val="10"/>
        </w:rPr>
      </w:pPr>
    </w:p>
    <w:p w:rsidR="001B0999" w:rsidRDefault="001B0999" w:rsidP="0088426A">
      <w:pPr>
        <w:pStyle w:val="BodyText"/>
        <w:numPr>
          <w:ilvl w:val="0"/>
          <w:numId w:val="6"/>
        </w:numPr>
        <w:jc w:val="left"/>
        <w:rPr>
          <w:rFonts w:ascii="Arial" w:hAnsi="Arial" w:cs="Arial"/>
        </w:rPr>
      </w:pPr>
      <w:r>
        <w:rPr>
          <w:rFonts w:ascii="Arial" w:hAnsi="Arial" w:cs="Arial"/>
        </w:rPr>
        <w:t>an organisation representing veterans, Australian mariners, members of the Forces, members of Peacekeeping Forces, members within the meaning of the MRCA, or their dependants; or</w:t>
      </w:r>
    </w:p>
    <w:p w:rsidR="001B0999" w:rsidRDefault="001B0999" w:rsidP="0088426A">
      <w:pPr>
        <w:pStyle w:val="BodyText"/>
        <w:jc w:val="left"/>
        <w:rPr>
          <w:rFonts w:ascii="Arial" w:hAnsi="Arial" w:cs="Arial"/>
        </w:rPr>
      </w:pPr>
    </w:p>
    <w:p w:rsidR="001B0999" w:rsidRDefault="001B0999" w:rsidP="0088426A">
      <w:pPr>
        <w:rPr>
          <w:rFonts w:ascii="Arial" w:hAnsi="Arial" w:cs="Arial"/>
          <w:sz w:val="10"/>
        </w:rPr>
      </w:pPr>
    </w:p>
    <w:p w:rsidR="001B0999" w:rsidRDefault="001B0999" w:rsidP="0088426A">
      <w:pPr>
        <w:numPr>
          <w:ilvl w:val="0"/>
          <w:numId w:val="6"/>
        </w:numPr>
        <w:rPr>
          <w:rFonts w:ascii="Arial" w:hAnsi="Arial" w:cs="Arial"/>
        </w:rPr>
      </w:pPr>
      <w:r>
        <w:rPr>
          <w:rFonts w:ascii="Arial" w:hAnsi="Arial" w:cs="Arial"/>
        </w:rPr>
        <w:t>the Repatriation Commission or the Military Rehabilitation and Compensation Commission.</w:t>
      </w:r>
    </w:p>
    <w:p w:rsidR="001B0999" w:rsidRDefault="001B0999">
      <w:pPr>
        <w:jc w:val="both"/>
        <w:rPr>
          <w:rFonts w:ascii="Arial" w:hAnsi="Arial" w:cs="Arial"/>
        </w:rPr>
      </w:pPr>
      <w:r>
        <w:rPr>
          <w:rFonts w:ascii="Arial" w:hAnsi="Arial" w:cs="Arial"/>
        </w:rPr>
        <w:br w:type="page"/>
      </w:r>
    </w:p>
    <w:p w:rsidR="001B0999" w:rsidRDefault="001B0999">
      <w:pPr>
        <w:jc w:val="both"/>
        <w:rPr>
          <w:rFonts w:ascii="Arial" w:hAnsi="Arial" w:cs="Arial"/>
        </w:rPr>
      </w:pPr>
    </w:p>
    <w:p w:rsidR="001B0999" w:rsidRDefault="001B0999">
      <w:pPr>
        <w:jc w:val="both"/>
        <w:rPr>
          <w:rFonts w:ascii="Arial" w:hAnsi="Arial" w:cs="Arial"/>
          <w:b/>
        </w:rPr>
      </w:pPr>
      <w:r>
        <w:rPr>
          <w:rFonts w:ascii="Arial" w:hAnsi="Arial" w:cs="Arial"/>
          <w:b/>
        </w:rPr>
        <w:t>What Can the Authority be Requested to Do Under S.196E of the VEA?</w:t>
      </w:r>
    </w:p>
    <w:p w:rsidR="001B0999" w:rsidRDefault="001B0999">
      <w:pPr>
        <w:jc w:val="both"/>
        <w:rPr>
          <w:rFonts w:ascii="Arial" w:hAnsi="Arial" w:cs="Arial"/>
          <w:b/>
          <w:sz w:val="10"/>
        </w:rPr>
      </w:pPr>
    </w:p>
    <w:p w:rsidR="001B0999" w:rsidRDefault="001B0999" w:rsidP="0088426A">
      <w:pPr>
        <w:numPr>
          <w:ilvl w:val="0"/>
          <w:numId w:val="5"/>
        </w:numPr>
        <w:tabs>
          <w:tab w:val="left" w:pos="7088"/>
        </w:tabs>
        <w:rPr>
          <w:rFonts w:ascii="Arial" w:hAnsi="Arial" w:cs="Arial"/>
        </w:rPr>
      </w:pPr>
      <w:r>
        <w:rPr>
          <w:rFonts w:ascii="Arial" w:hAnsi="Arial" w:cs="Arial"/>
        </w:rPr>
        <w:t>an investigation in respect of a particular kind of injury, disease or death with a view to making a Statement of Principles; or</w:t>
      </w:r>
    </w:p>
    <w:p w:rsidR="001B0999" w:rsidRDefault="001B0999" w:rsidP="0088426A">
      <w:pPr>
        <w:rPr>
          <w:rFonts w:ascii="Arial" w:hAnsi="Arial" w:cs="Arial"/>
          <w:sz w:val="10"/>
        </w:rPr>
      </w:pPr>
    </w:p>
    <w:p w:rsidR="001B0999" w:rsidRDefault="001B0999" w:rsidP="0088426A">
      <w:pPr>
        <w:numPr>
          <w:ilvl w:val="0"/>
          <w:numId w:val="5"/>
        </w:numPr>
        <w:tabs>
          <w:tab w:val="left" w:pos="7088"/>
        </w:tabs>
        <w:rPr>
          <w:rFonts w:ascii="Arial" w:hAnsi="Arial" w:cs="Arial"/>
        </w:rPr>
      </w:pPr>
      <w:r>
        <w:rPr>
          <w:rFonts w:ascii="Arial" w:hAnsi="Arial" w:cs="Arial"/>
        </w:rPr>
        <w:t>to review a decision not to make a Statement of Principles; or</w:t>
      </w:r>
    </w:p>
    <w:p w:rsidR="001B0999" w:rsidRDefault="001B0999" w:rsidP="0088426A">
      <w:pPr>
        <w:rPr>
          <w:rFonts w:ascii="Arial" w:hAnsi="Arial" w:cs="Arial"/>
          <w:sz w:val="10"/>
        </w:rPr>
      </w:pPr>
    </w:p>
    <w:p w:rsidR="001B0999" w:rsidRDefault="001B0999" w:rsidP="0088426A">
      <w:pPr>
        <w:numPr>
          <w:ilvl w:val="0"/>
          <w:numId w:val="5"/>
        </w:numPr>
        <w:tabs>
          <w:tab w:val="left" w:pos="7088"/>
        </w:tabs>
        <w:rPr>
          <w:rFonts w:ascii="Arial" w:hAnsi="Arial" w:cs="Arial"/>
        </w:rPr>
      </w:pPr>
      <w:r>
        <w:rPr>
          <w:rFonts w:ascii="Arial" w:hAnsi="Arial" w:cs="Arial"/>
        </w:rPr>
        <w:t xml:space="preserve">to review some or all of the contents of an existing Statement of Principles. </w:t>
      </w:r>
    </w:p>
    <w:p w:rsidR="001B0999" w:rsidRDefault="001B0999" w:rsidP="0088426A">
      <w:pPr>
        <w:pStyle w:val="Footer"/>
        <w:tabs>
          <w:tab w:val="clear" w:pos="4819"/>
          <w:tab w:val="clear" w:pos="9071"/>
        </w:tabs>
        <w:rPr>
          <w:rFonts w:ascii="Arial" w:hAnsi="Arial" w:cs="Arial"/>
        </w:rPr>
      </w:pPr>
    </w:p>
    <w:p w:rsidR="001B0999" w:rsidRDefault="001B0999">
      <w:pPr>
        <w:pStyle w:val="Footer"/>
        <w:tabs>
          <w:tab w:val="clear" w:pos="4819"/>
          <w:tab w:val="clear" w:pos="9071"/>
        </w:tabs>
        <w:rPr>
          <w:rFonts w:ascii="Arial" w:hAnsi="Arial" w:cs="Arial"/>
        </w:rPr>
      </w:pPr>
    </w:p>
    <w:p w:rsidR="001B0999" w:rsidRDefault="001B0999">
      <w:pPr>
        <w:jc w:val="both"/>
        <w:outlineLvl w:val="0"/>
        <w:rPr>
          <w:rFonts w:ascii="Arial" w:hAnsi="Arial" w:cs="Arial"/>
          <w:b/>
        </w:rPr>
      </w:pPr>
      <w:r>
        <w:rPr>
          <w:rFonts w:ascii="Arial" w:hAnsi="Arial" w:cs="Arial"/>
          <w:b/>
        </w:rPr>
        <w:t>When Can a Request for an Investigation or Review be Lodged?</w:t>
      </w:r>
    </w:p>
    <w:p w:rsidR="001B0999" w:rsidRDefault="001B0999">
      <w:pPr>
        <w:jc w:val="both"/>
        <w:rPr>
          <w:rFonts w:ascii="Arial" w:hAnsi="Arial" w:cs="Arial"/>
          <w:b/>
          <w:sz w:val="10"/>
        </w:rPr>
      </w:pPr>
    </w:p>
    <w:p w:rsidR="001B0999" w:rsidRDefault="001B0999">
      <w:pPr>
        <w:jc w:val="both"/>
        <w:outlineLvl w:val="0"/>
        <w:rPr>
          <w:rFonts w:ascii="Arial" w:hAnsi="Arial" w:cs="Arial"/>
        </w:rPr>
      </w:pPr>
      <w:r>
        <w:rPr>
          <w:rFonts w:ascii="Arial" w:hAnsi="Arial" w:cs="Arial"/>
        </w:rPr>
        <w:t>No time limits are applicable in relation to the above requests.</w:t>
      </w:r>
    </w:p>
    <w:p w:rsidR="001B0999" w:rsidRDefault="001B0999">
      <w:pPr>
        <w:jc w:val="both"/>
        <w:outlineLvl w:val="0"/>
        <w:rPr>
          <w:rFonts w:ascii="Arial" w:hAnsi="Arial" w:cs="Arial"/>
        </w:rPr>
      </w:pPr>
    </w:p>
    <w:p w:rsidR="001B0999" w:rsidRDefault="001B0999">
      <w:pPr>
        <w:jc w:val="both"/>
        <w:outlineLvl w:val="0"/>
        <w:rPr>
          <w:rFonts w:ascii="Arial" w:hAnsi="Arial" w:cs="Arial"/>
        </w:rPr>
      </w:pPr>
    </w:p>
    <w:p w:rsidR="001B0999" w:rsidRDefault="001B0999">
      <w:pPr>
        <w:jc w:val="both"/>
        <w:rPr>
          <w:rFonts w:ascii="Arial" w:hAnsi="Arial" w:cs="Arial"/>
          <w:b/>
        </w:rPr>
      </w:pPr>
      <w:r>
        <w:rPr>
          <w:rFonts w:ascii="Arial" w:hAnsi="Arial" w:cs="Arial"/>
          <w:b/>
        </w:rPr>
        <w:t>Can a Request for an Investigation be Declined by the Authority?</w:t>
      </w:r>
    </w:p>
    <w:p w:rsidR="001B0999" w:rsidRDefault="001B0999">
      <w:pPr>
        <w:jc w:val="both"/>
        <w:rPr>
          <w:rFonts w:ascii="Arial" w:hAnsi="Arial" w:cs="Arial"/>
          <w:b/>
        </w:rPr>
      </w:pPr>
    </w:p>
    <w:p w:rsidR="001B0999" w:rsidRDefault="001B0999" w:rsidP="0088426A">
      <w:pPr>
        <w:rPr>
          <w:rFonts w:ascii="Arial" w:hAnsi="Arial" w:cs="Arial"/>
        </w:rPr>
      </w:pPr>
      <w:r>
        <w:rPr>
          <w:rFonts w:ascii="Arial" w:hAnsi="Arial" w:cs="Arial"/>
        </w:rPr>
        <w:t xml:space="preserve">Yes.  There are a number of situations where the Authority can decide to </w:t>
      </w:r>
      <w:r>
        <w:rPr>
          <w:rFonts w:ascii="Arial" w:hAnsi="Arial" w:cs="Arial"/>
          <w:b/>
          <w:u w:val="single"/>
        </w:rPr>
        <w:t>decline</w:t>
      </w:r>
      <w:r>
        <w:rPr>
          <w:rFonts w:ascii="Arial" w:hAnsi="Arial" w:cs="Arial"/>
        </w:rPr>
        <w:t xml:space="preserve"> to carry out an investigation in respect of a particular kind of injury, disease or death. These are contained in ss.196C(4) and s.196CA of the VEA, and are as follows:</w:t>
      </w:r>
    </w:p>
    <w:p w:rsidR="001B0999" w:rsidRDefault="001B0999">
      <w:pPr>
        <w:jc w:val="both"/>
        <w:rPr>
          <w:rFonts w:ascii="Arial" w:hAnsi="Arial" w:cs="Arial"/>
        </w:rPr>
      </w:pPr>
    </w:p>
    <w:p w:rsidR="001B0999" w:rsidRDefault="001B0999">
      <w:pPr>
        <w:jc w:val="both"/>
        <w:rPr>
          <w:rFonts w:ascii="Arial" w:hAnsi="Arial" w:cs="Arial"/>
        </w:rPr>
      </w:pPr>
    </w:p>
    <w:p w:rsidR="001B0999" w:rsidRDefault="001B0999" w:rsidP="0088426A">
      <w:pPr>
        <w:rPr>
          <w:rFonts w:ascii="Arial" w:hAnsi="Arial" w:cs="Arial"/>
          <w:b/>
        </w:rPr>
      </w:pPr>
      <w:r>
        <w:rPr>
          <w:rFonts w:ascii="Arial" w:hAnsi="Arial" w:cs="Arial"/>
          <w:b/>
        </w:rPr>
        <w:t>Ss.196C(4)</w:t>
      </w:r>
    </w:p>
    <w:p w:rsidR="001B0999" w:rsidRDefault="001B0999" w:rsidP="0088426A">
      <w:pPr>
        <w:numPr>
          <w:ilvl w:val="0"/>
          <w:numId w:val="14"/>
        </w:numPr>
        <w:spacing w:before="120"/>
        <w:ind w:left="357" w:hanging="357"/>
        <w:rPr>
          <w:rFonts w:ascii="Arial" w:hAnsi="Arial" w:cs="Arial"/>
        </w:rPr>
      </w:pPr>
      <w:r>
        <w:rPr>
          <w:rFonts w:ascii="Arial" w:hAnsi="Arial" w:cs="Arial"/>
        </w:rPr>
        <w:t>If it is less than 12 months since the Authority:</w:t>
      </w:r>
    </w:p>
    <w:p w:rsidR="001B0999" w:rsidRDefault="001B0999" w:rsidP="0088426A">
      <w:pPr>
        <w:spacing w:before="120" w:line="360" w:lineRule="auto"/>
        <w:ind w:left="720"/>
        <w:rPr>
          <w:rFonts w:ascii="Arial" w:hAnsi="Arial" w:cs="Arial"/>
        </w:rPr>
      </w:pPr>
      <w:r>
        <w:rPr>
          <w:rFonts w:ascii="Arial" w:hAnsi="Arial" w:cs="Arial"/>
          <w:sz w:val="16"/>
          <w:szCs w:val="16"/>
        </w:rPr>
        <w:t>►</w:t>
      </w:r>
      <w:r>
        <w:rPr>
          <w:rFonts w:ascii="Arial" w:hAnsi="Arial" w:cs="Arial"/>
        </w:rPr>
        <w:t xml:space="preserve"> determined a Statement of Principles; or</w:t>
      </w:r>
    </w:p>
    <w:p w:rsidR="001B0999" w:rsidRDefault="001B0999" w:rsidP="0088426A">
      <w:pPr>
        <w:spacing w:line="360" w:lineRule="auto"/>
        <w:ind w:left="360" w:firstLine="360"/>
        <w:rPr>
          <w:rFonts w:ascii="Arial" w:hAnsi="Arial" w:cs="Arial"/>
        </w:rPr>
      </w:pPr>
      <w:r>
        <w:rPr>
          <w:rFonts w:ascii="Arial" w:hAnsi="Arial" w:cs="Arial"/>
          <w:sz w:val="16"/>
          <w:szCs w:val="16"/>
        </w:rPr>
        <w:t>►</w:t>
      </w:r>
      <w:r>
        <w:rPr>
          <w:rFonts w:ascii="Arial" w:hAnsi="Arial" w:cs="Arial"/>
        </w:rPr>
        <w:t xml:space="preserve"> amended a Statement of Principles; or</w:t>
      </w:r>
    </w:p>
    <w:p w:rsidR="001B0999" w:rsidRDefault="001B0999" w:rsidP="0088426A">
      <w:pPr>
        <w:spacing w:line="360" w:lineRule="auto"/>
        <w:ind w:left="993" w:hanging="273"/>
        <w:rPr>
          <w:rFonts w:ascii="Arial" w:hAnsi="Arial" w:cs="Arial"/>
        </w:rPr>
      </w:pPr>
      <w:r>
        <w:rPr>
          <w:rFonts w:ascii="Arial" w:hAnsi="Arial" w:cs="Arial"/>
          <w:sz w:val="16"/>
          <w:szCs w:val="16"/>
        </w:rPr>
        <w:t>►</w:t>
      </w:r>
      <w:r>
        <w:rPr>
          <w:rFonts w:ascii="Arial" w:hAnsi="Arial" w:cs="Arial"/>
        </w:rPr>
        <w:t xml:space="preserve"> declared that it does not propose to make or amend a Statement of Principles in respect of that particular kind of injury, disease or death; and</w:t>
      </w:r>
    </w:p>
    <w:p w:rsidR="001B0999" w:rsidRDefault="001B0999" w:rsidP="0088426A">
      <w:pPr>
        <w:spacing w:line="360" w:lineRule="auto"/>
        <w:ind w:firstLine="360"/>
        <w:rPr>
          <w:rFonts w:ascii="Arial" w:hAnsi="Arial" w:cs="Arial"/>
        </w:rPr>
      </w:pPr>
      <w:r>
        <w:rPr>
          <w:rFonts w:ascii="Arial" w:hAnsi="Arial" w:cs="Arial"/>
          <w:sz w:val="16"/>
          <w:szCs w:val="16"/>
        </w:rPr>
        <w:tab/>
        <w:t>►</w:t>
      </w:r>
      <w:r>
        <w:rPr>
          <w:rFonts w:ascii="Arial" w:hAnsi="Arial" w:cs="Arial"/>
        </w:rPr>
        <w:t xml:space="preserve"> the Authority thinks there are no grounds for such a review. </w:t>
      </w:r>
    </w:p>
    <w:p w:rsidR="001B0999" w:rsidRDefault="001B0999" w:rsidP="0088426A">
      <w:pPr>
        <w:ind w:firstLine="360"/>
        <w:rPr>
          <w:rFonts w:ascii="Arial" w:hAnsi="Arial" w:cs="Arial"/>
        </w:rPr>
      </w:pPr>
      <w:r>
        <w:rPr>
          <w:rFonts w:ascii="Arial" w:hAnsi="Arial" w:cs="Arial"/>
        </w:rPr>
        <w:tab/>
      </w:r>
    </w:p>
    <w:p w:rsidR="001B0999" w:rsidRDefault="001B0999" w:rsidP="0088426A">
      <w:pPr>
        <w:ind w:firstLine="360"/>
        <w:rPr>
          <w:rFonts w:ascii="Arial" w:hAnsi="Arial" w:cs="Arial"/>
        </w:rPr>
      </w:pPr>
    </w:p>
    <w:p w:rsidR="001B0999" w:rsidRDefault="001B0999" w:rsidP="0088426A">
      <w:pPr>
        <w:tabs>
          <w:tab w:val="num" w:pos="720"/>
        </w:tabs>
        <w:rPr>
          <w:rFonts w:ascii="Arial" w:hAnsi="Arial" w:cs="Arial"/>
        </w:rPr>
      </w:pPr>
      <w:r>
        <w:rPr>
          <w:rFonts w:ascii="Arial" w:hAnsi="Arial" w:cs="Arial"/>
          <w:b/>
        </w:rPr>
        <w:t>S.196CA</w:t>
      </w:r>
    </w:p>
    <w:p w:rsidR="001B0999" w:rsidRDefault="001B0999" w:rsidP="0088426A">
      <w:pPr>
        <w:numPr>
          <w:ilvl w:val="0"/>
          <w:numId w:val="14"/>
        </w:numPr>
        <w:spacing w:before="120"/>
        <w:ind w:left="357" w:hanging="357"/>
        <w:rPr>
          <w:rFonts w:ascii="Arial" w:hAnsi="Arial" w:cs="Arial"/>
        </w:rPr>
      </w:pPr>
      <w:r>
        <w:rPr>
          <w:rFonts w:ascii="Arial" w:hAnsi="Arial" w:cs="Arial"/>
        </w:rPr>
        <w:t xml:space="preserve">If the request does not state the grounds on which the review is sought (ss.196CA(1)(a) of the VEA refers); </w:t>
      </w:r>
    </w:p>
    <w:p w:rsidR="001B0999" w:rsidRDefault="001B0999" w:rsidP="0088426A">
      <w:pPr>
        <w:ind w:left="2160"/>
        <w:rPr>
          <w:rFonts w:ascii="Arial" w:hAnsi="Arial" w:cs="Arial"/>
        </w:rPr>
      </w:pPr>
      <w:r>
        <w:rPr>
          <w:rFonts w:ascii="Arial" w:hAnsi="Arial" w:cs="Arial"/>
        </w:rPr>
        <w:t>or</w:t>
      </w:r>
    </w:p>
    <w:p w:rsidR="001B0999" w:rsidRDefault="001B0999" w:rsidP="0088426A">
      <w:pPr>
        <w:ind w:left="284"/>
        <w:rPr>
          <w:rFonts w:ascii="Arial" w:hAnsi="Arial" w:cs="Arial"/>
          <w:sz w:val="10"/>
          <w:szCs w:val="10"/>
        </w:rPr>
      </w:pPr>
    </w:p>
    <w:p w:rsidR="001B0999" w:rsidRDefault="001B0999" w:rsidP="0088426A">
      <w:pPr>
        <w:numPr>
          <w:ilvl w:val="0"/>
          <w:numId w:val="10"/>
        </w:numPr>
        <w:tabs>
          <w:tab w:val="clear" w:pos="360"/>
          <w:tab w:val="num" w:pos="-1560"/>
        </w:tabs>
        <w:rPr>
          <w:rFonts w:ascii="Arial" w:hAnsi="Arial" w:cs="Arial"/>
        </w:rPr>
      </w:pPr>
      <w:r>
        <w:rPr>
          <w:rFonts w:ascii="Arial" w:hAnsi="Arial" w:cs="Arial"/>
        </w:rPr>
        <w:t xml:space="preserve">the Authority considers that the request does not identify sufficient relevant information to support the grounds on which the review is sought or to otherwise justify the review (ss.196CA(1)(b) of the VEA refers);  </w:t>
      </w:r>
    </w:p>
    <w:p w:rsidR="001B0999" w:rsidRDefault="001B0999" w:rsidP="0088426A">
      <w:pPr>
        <w:ind w:left="2160"/>
        <w:rPr>
          <w:rFonts w:ascii="Arial" w:hAnsi="Arial" w:cs="Arial"/>
        </w:rPr>
      </w:pPr>
      <w:r>
        <w:rPr>
          <w:rFonts w:ascii="Arial" w:hAnsi="Arial" w:cs="Arial"/>
        </w:rPr>
        <w:t>or</w:t>
      </w:r>
    </w:p>
    <w:p w:rsidR="001B0999" w:rsidRDefault="001B0999" w:rsidP="0088426A">
      <w:pPr>
        <w:ind w:left="284" w:firstLine="1876"/>
        <w:rPr>
          <w:rFonts w:ascii="Arial" w:hAnsi="Arial" w:cs="Arial"/>
          <w:sz w:val="10"/>
          <w:szCs w:val="10"/>
        </w:rPr>
      </w:pPr>
    </w:p>
    <w:p w:rsidR="001B0999" w:rsidRDefault="001B0999" w:rsidP="0088426A">
      <w:pPr>
        <w:numPr>
          <w:ilvl w:val="0"/>
          <w:numId w:val="11"/>
        </w:numPr>
        <w:rPr>
          <w:rFonts w:ascii="Arial" w:hAnsi="Arial" w:cs="Arial"/>
        </w:rPr>
      </w:pPr>
      <w:r>
        <w:rPr>
          <w:rFonts w:ascii="Arial" w:hAnsi="Arial" w:cs="Arial"/>
        </w:rPr>
        <w:t>the request is vexatious or frivolous (ss.196CA(1)(c) of the VEA refers).</w:t>
      </w:r>
    </w:p>
    <w:p w:rsidR="001B0999" w:rsidRDefault="001B0999" w:rsidP="0088426A">
      <w:pPr>
        <w:rPr>
          <w:rFonts w:ascii="Arial" w:hAnsi="Arial" w:cs="Arial"/>
        </w:rPr>
      </w:pPr>
    </w:p>
    <w:p w:rsidR="001B0999" w:rsidRDefault="001B0999" w:rsidP="0088426A">
      <w:pPr>
        <w:rPr>
          <w:rFonts w:ascii="Arial" w:hAnsi="Arial" w:cs="Arial"/>
        </w:rPr>
      </w:pPr>
    </w:p>
    <w:p w:rsidR="001B0999" w:rsidRDefault="001B0999" w:rsidP="0088426A">
      <w:pPr>
        <w:rPr>
          <w:rFonts w:ascii="Arial" w:hAnsi="Arial" w:cs="Arial"/>
        </w:rPr>
      </w:pPr>
      <w:r>
        <w:rPr>
          <w:rFonts w:ascii="Arial" w:hAnsi="Arial" w:cs="Arial"/>
        </w:rPr>
        <w:t>As the Authority must rely upon “sound medical-scientific evidence” as defined in s.5AB of the VEA (</w:t>
      </w:r>
      <w:r>
        <w:rPr>
          <w:rFonts w:ascii="Arial" w:hAnsi="Arial" w:cs="Arial"/>
          <w:i/>
        </w:rPr>
        <w:t>refer below</w:t>
      </w:r>
      <w:r>
        <w:rPr>
          <w:rFonts w:ascii="Arial" w:hAnsi="Arial" w:cs="Arial"/>
        </w:rPr>
        <w:t xml:space="preserve">) in the determination of Statements of Principles, it is important to bear this definition in mind when providing any information for the Authority to consider. </w:t>
      </w:r>
    </w:p>
    <w:p w:rsidR="001B0999" w:rsidRDefault="001B0999" w:rsidP="0088426A">
      <w:pPr>
        <w:rPr>
          <w:rFonts w:ascii="Arial" w:hAnsi="Arial" w:cs="Arial"/>
        </w:rPr>
      </w:pPr>
    </w:p>
    <w:p w:rsidR="001B0999" w:rsidRDefault="001B0999" w:rsidP="0088426A">
      <w:pPr>
        <w:rPr>
          <w:rFonts w:ascii="Arial" w:hAnsi="Arial" w:cs="Arial"/>
        </w:rPr>
      </w:pPr>
    </w:p>
    <w:p w:rsidR="001B0999" w:rsidRDefault="001B0999" w:rsidP="0088426A">
      <w:pPr>
        <w:rPr>
          <w:rFonts w:ascii="Arial" w:hAnsi="Arial" w:cs="Arial"/>
        </w:rPr>
      </w:pPr>
      <w:r>
        <w:rPr>
          <w:rFonts w:ascii="Arial" w:hAnsi="Arial" w:cs="Arial"/>
          <w:b/>
        </w:rPr>
        <w:t>S.5AB</w:t>
      </w:r>
      <w:r>
        <w:rPr>
          <w:rFonts w:ascii="Arial" w:hAnsi="Arial" w:cs="Arial"/>
        </w:rPr>
        <w:t xml:space="preserve"> - Information about a particular kind of injury, disease or death is taken to be</w:t>
      </w:r>
      <w:r>
        <w:rPr>
          <w:rFonts w:ascii="Arial" w:hAnsi="Arial" w:cs="Arial"/>
          <w:b/>
        </w:rPr>
        <w:t xml:space="preserve"> </w:t>
      </w:r>
      <w:r>
        <w:rPr>
          <w:rFonts w:ascii="Arial" w:hAnsi="Arial" w:cs="Arial"/>
          <w:b/>
          <w:i/>
        </w:rPr>
        <w:t>sound</w:t>
      </w:r>
      <w:r>
        <w:rPr>
          <w:rFonts w:ascii="Arial" w:hAnsi="Arial" w:cs="Arial"/>
          <w:i/>
        </w:rPr>
        <w:t xml:space="preserve"> </w:t>
      </w:r>
      <w:r>
        <w:rPr>
          <w:rFonts w:ascii="Arial" w:hAnsi="Arial" w:cs="Arial"/>
          <w:b/>
          <w:i/>
        </w:rPr>
        <w:t>medical-scientific evidence</w:t>
      </w:r>
      <w:r>
        <w:rPr>
          <w:rFonts w:ascii="Arial" w:hAnsi="Arial" w:cs="Arial"/>
        </w:rPr>
        <w:t xml:space="preserve"> if:</w:t>
      </w:r>
    </w:p>
    <w:p w:rsidR="001B0999" w:rsidRDefault="001B0999" w:rsidP="0088426A">
      <w:pPr>
        <w:rPr>
          <w:rFonts w:ascii="Arial" w:hAnsi="Arial" w:cs="Arial"/>
        </w:rPr>
      </w:pPr>
    </w:p>
    <w:p w:rsidR="001B0999" w:rsidRDefault="001B0999" w:rsidP="0088426A">
      <w:pPr>
        <w:rPr>
          <w:rFonts w:ascii="Arial" w:hAnsi="Arial" w:cs="Arial"/>
        </w:rPr>
      </w:pPr>
    </w:p>
    <w:p w:rsidR="001B0999" w:rsidRDefault="001B0999" w:rsidP="0088426A">
      <w:pPr>
        <w:rPr>
          <w:rFonts w:ascii="Arial" w:hAnsi="Arial" w:cs="Arial"/>
        </w:rPr>
      </w:pPr>
    </w:p>
    <w:p w:rsidR="001B0999" w:rsidRDefault="001B0999" w:rsidP="0088426A">
      <w:pPr>
        <w:rPr>
          <w:rFonts w:ascii="Arial" w:hAnsi="Arial" w:cs="Arial"/>
        </w:rPr>
      </w:pPr>
      <w:r>
        <w:rPr>
          <w:rFonts w:ascii="Arial" w:hAnsi="Arial" w:cs="Arial"/>
        </w:rPr>
        <w:t>(a)</w:t>
      </w:r>
      <w:r>
        <w:rPr>
          <w:rFonts w:ascii="Arial" w:hAnsi="Arial" w:cs="Arial"/>
        </w:rPr>
        <w:tab/>
        <w:t>the information:</w:t>
      </w:r>
    </w:p>
    <w:p w:rsidR="001B0999" w:rsidRDefault="001B0999" w:rsidP="0088426A">
      <w:pPr>
        <w:rPr>
          <w:rFonts w:ascii="Arial" w:hAnsi="Arial" w:cs="Arial"/>
        </w:rPr>
      </w:pPr>
    </w:p>
    <w:p w:rsidR="001B0999" w:rsidRDefault="001B0999" w:rsidP="0088426A">
      <w:pPr>
        <w:ind w:left="1440" w:hanging="720"/>
        <w:rPr>
          <w:rFonts w:ascii="Arial" w:hAnsi="Arial" w:cs="Arial"/>
        </w:rPr>
      </w:pPr>
      <w:r>
        <w:rPr>
          <w:rFonts w:ascii="Arial" w:hAnsi="Arial" w:cs="Arial"/>
        </w:rPr>
        <w:t>(i)</w:t>
      </w:r>
      <w:r>
        <w:rPr>
          <w:rFonts w:ascii="Arial" w:hAnsi="Arial" w:cs="Arial"/>
        </w:rPr>
        <w:tab/>
        <w:t xml:space="preserve">is consistent with material relating to medical science that has been published in a medical or scientific publication and has been, in the opinion of the Repatriation Medical Authority, subjected to a peer review process; or </w:t>
      </w:r>
    </w:p>
    <w:p w:rsidR="001B0999" w:rsidRDefault="001B0999" w:rsidP="0088426A">
      <w:pPr>
        <w:ind w:left="1440" w:hanging="720"/>
        <w:rPr>
          <w:rFonts w:ascii="Arial" w:hAnsi="Arial" w:cs="Arial"/>
        </w:rPr>
      </w:pPr>
    </w:p>
    <w:p w:rsidR="001B0999" w:rsidRDefault="001B0999" w:rsidP="0088426A">
      <w:pPr>
        <w:numPr>
          <w:ilvl w:val="0"/>
          <w:numId w:val="16"/>
        </w:numPr>
        <w:rPr>
          <w:rFonts w:ascii="Arial" w:hAnsi="Arial" w:cs="Arial"/>
        </w:rPr>
      </w:pPr>
      <w:r>
        <w:rPr>
          <w:rFonts w:ascii="Arial" w:hAnsi="Arial" w:cs="Arial"/>
        </w:rPr>
        <w:t>in accordance with generally accepted medical practice, would serve as the basis for the diagnosis and management of a medical condition; and</w:t>
      </w:r>
    </w:p>
    <w:p w:rsidR="001B0999" w:rsidRDefault="001B0999" w:rsidP="0088426A">
      <w:pPr>
        <w:ind w:left="720"/>
        <w:rPr>
          <w:rFonts w:ascii="Arial" w:hAnsi="Arial" w:cs="Arial"/>
        </w:rPr>
      </w:pPr>
    </w:p>
    <w:p w:rsidR="001B0999" w:rsidRDefault="001B0999" w:rsidP="0088426A">
      <w:pPr>
        <w:numPr>
          <w:ilvl w:val="0"/>
          <w:numId w:val="15"/>
        </w:numPr>
        <w:ind w:hanging="720"/>
        <w:rPr>
          <w:rFonts w:ascii="Arial" w:hAnsi="Arial" w:cs="Arial"/>
        </w:rPr>
      </w:pPr>
      <w:r>
        <w:rPr>
          <w:rFonts w:ascii="Arial" w:hAnsi="Arial" w:cs="Arial"/>
        </w:rPr>
        <w:t>in the case of information about how that kind of injury, disease or death may be caused - meets the applicable criteria for assessing causation currently applied in the field of epidemiology.</w:t>
      </w:r>
    </w:p>
    <w:p w:rsidR="001B0999" w:rsidRDefault="001B0999" w:rsidP="0088426A">
      <w:pPr>
        <w:ind w:left="360" w:hanging="360"/>
        <w:rPr>
          <w:rFonts w:ascii="Arial" w:hAnsi="Arial" w:cs="Arial"/>
        </w:rPr>
      </w:pPr>
    </w:p>
    <w:p w:rsidR="001B0999" w:rsidRDefault="001B0999" w:rsidP="0088426A">
      <w:pPr>
        <w:ind w:left="360" w:hanging="360"/>
        <w:outlineLvl w:val="0"/>
        <w:rPr>
          <w:rFonts w:ascii="Arial" w:hAnsi="Arial" w:cs="Arial"/>
          <w:b/>
        </w:rPr>
      </w:pPr>
      <w:r>
        <w:rPr>
          <w:rFonts w:ascii="Arial" w:hAnsi="Arial" w:cs="Arial"/>
          <w:b/>
        </w:rPr>
        <w:t>Other Important Notes for Persons Requesting an Investigation</w:t>
      </w:r>
    </w:p>
    <w:p w:rsidR="001B0999" w:rsidRDefault="001B0999" w:rsidP="0088426A">
      <w:pPr>
        <w:ind w:left="360" w:hanging="360"/>
        <w:rPr>
          <w:rFonts w:ascii="Arial" w:hAnsi="Arial" w:cs="Arial"/>
          <w:b/>
          <w:sz w:val="10"/>
        </w:rPr>
      </w:pPr>
    </w:p>
    <w:p w:rsidR="001B0999" w:rsidRDefault="001B0999" w:rsidP="0088426A">
      <w:pPr>
        <w:rPr>
          <w:rFonts w:ascii="Arial" w:hAnsi="Arial" w:cs="Arial"/>
        </w:rPr>
      </w:pPr>
      <w:r>
        <w:rPr>
          <w:rFonts w:ascii="Arial" w:hAnsi="Arial" w:cs="Arial"/>
        </w:rPr>
        <w:t>A request to the Authority must be made on the</w:t>
      </w:r>
      <w:r w:rsidR="00941805">
        <w:rPr>
          <w:rFonts w:ascii="Arial" w:hAnsi="Arial" w:cs="Arial"/>
        </w:rPr>
        <w:t xml:space="preserve"> approved</w:t>
      </w:r>
      <w:r>
        <w:rPr>
          <w:rFonts w:ascii="Arial" w:hAnsi="Arial" w:cs="Arial"/>
        </w:rPr>
        <w:t xml:space="preserve"> </w:t>
      </w:r>
      <w:r>
        <w:rPr>
          <w:rFonts w:ascii="Arial" w:hAnsi="Arial" w:cs="Arial"/>
          <w:b/>
        </w:rPr>
        <w:t>Request for an Investigation/Review Form</w:t>
      </w:r>
      <w:r>
        <w:rPr>
          <w:rFonts w:ascii="Arial" w:hAnsi="Arial" w:cs="Arial"/>
        </w:rPr>
        <w:t>.  A separate Request Form must be complete</w:t>
      </w:r>
      <w:r w:rsidR="00941805">
        <w:rPr>
          <w:rFonts w:ascii="Arial" w:hAnsi="Arial" w:cs="Arial"/>
        </w:rPr>
        <w:t xml:space="preserve">d for each particular request.  A request can be completed and submitted </w:t>
      </w:r>
      <w:hyperlink r:id="rId8" w:history="1">
        <w:r w:rsidR="00941805" w:rsidRPr="00941805">
          <w:rPr>
            <w:rStyle w:val="Hyperlink"/>
            <w:rFonts w:ascii="Arial" w:hAnsi="Arial" w:cs="Arial"/>
          </w:rPr>
          <w:t>on-line</w:t>
        </w:r>
      </w:hyperlink>
      <w:r w:rsidR="00941805">
        <w:rPr>
          <w:rFonts w:ascii="Arial" w:hAnsi="Arial" w:cs="Arial"/>
        </w:rPr>
        <w:t xml:space="preserve">, together with any supporting materials or can be mailed or emailed to: </w:t>
      </w:r>
      <w:hyperlink r:id="rId9" w:history="1">
        <w:r w:rsidR="00941805">
          <w:rPr>
            <w:rStyle w:val="Hyperlink"/>
            <w:rFonts w:ascii="Arial" w:hAnsi="Arial" w:cs="Arial"/>
          </w:rPr>
          <w:t>info@rma.gov.au</w:t>
        </w:r>
      </w:hyperlink>
      <w:r w:rsidR="00941805">
        <w:rPr>
          <w:rFonts w:ascii="Arial" w:hAnsi="Arial" w:cs="Arial"/>
        </w:rPr>
        <w:t>.</w:t>
      </w:r>
    </w:p>
    <w:p w:rsidR="001B0999" w:rsidRDefault="001B0999">
      <w:pPr>
        <w:jc w:val="both"/>
        <w:rPr>
          <w:rFonts w:ascii="Arial" w:hAnsi="Arial" w:cs="Arial"/>
        </w:rPr>
      </w:pPr>
    </w:p>
    <w:p w:rsidR="00941805" w:rsidRDefault="00941805" w:rsidP="0094180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001B0999">
        <w:rPr>
          <w:rFonts w:ascii="Arial" w:hAnsi="Arial" w:cs="Arial"/>
        </w:rPr>
        <w:tab/>
      </w:r>
      <w:r w:rsidR="001B0999">
        <w:rPr>
          <w:rFonts w:ascii="Arial" w:hAnsi="Arial" w:cs="Arial"/>
          <w:b/>
        </w:rPr>
        <w:t>Repatriation Medical Authority</w:t>
      </w:r>
      <w:r>
        <w:rPr>
          <w:rFonts w:ascii="Arial" w:hAnsi="Arial" w:cs="Arial"/>
          <w:b/>
        </w:rPr>
        <w:t xml:space="preserve">  </w:t>
      </w:r>
      <w:r w:rsidR="001B0999">
        <w:rPr>
          <w:rFonts w:ascii="Arial" w:hAnsi="Arial" w:cs="Arial"/>
        </w:rPr>
        <w:tab/>
      </w:r>
      <w:r w:rsidR="001B099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B0999">
        <w:rPr>
          <w:rFonts w:ascii="Arial" w:hAnsi="Arial" w:cs="Arial"/>
        </w:rPr>
        <w:tab/>
      </w:r>
      <w:r w:rsidR="001B0999">
        <w:rPr>
          <w:rFonts w:ascii="Arial" w:hAnsi="Arial" w:cs="Arial"/>
          <w:b/>
        </w:rPr>
        <w:t>G</w:t>
      </w:r>
      <w:r>
        <w:rPr>
          <w:rFonts w:ascii="Arial" w:hAnsi="Arial" w:cs="Arial"/>
          <w:b/>
        </w:rPr>
        <w:t>PO Box 1014</w:t>
      </w:r>
    </w:p>
    <w:p w:rsidR="001B0999" w:rsidRDefault="001B0999" w:rsidP="00941805">
      <w:pPr>
        <w:ind w:left="3600"/>
        <w:rPr>
          <w:rFonts w:ascii="Arial" w:hAnsi="Arial" w:cs="Arial"/>
          <w:b/>
        </w:rPr>
      </w:pPr>
      <w:r>
        <w:rPr>
          <w:rFonts w:ascii="Arial" w:hAnsi="Arial" w:cs="Arial"/>
          <w:b/>
        </w:rPr>
        <w:t>Brisbane Qld 4001</w:t>
      </w:r>
    </w:p>
    <w:p w:rsidR="001B0999" w:rsidRDefault="001B0999">
      <w:pPr>
        <w:jc w:val="both"/>
        <w:rPr>
          <w:rFonts w:ascii="Arial" w:hAnsi="Arial" w:cs="Arial"/>
          <w:b/>
        </w:rPr>
      </w:pPr>
    </w:p>
    <w:p w:rsidR="001B0999" w:rsidRDefault="001B0999">
      <w:pPr>
        <w:jc w:val="both"/>
        <w:rPr>
          <w:rFonts w:ascii="Arial" w:hAnsi="Arial" w:cs="Arial"/>
          <w:sz w:val="10"/>
        </w:rPr>
      </w:pPr>
    </w:p>
    <w:p w:rsidR="001B0999" w:rsidRDefault="001B0999" w:rsidP="008842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Authority does not make or review decisions about individual claims for pension, benefits or compensation.  If you have any queries regarding such claims, you should contact the Department of Veterans’ Affairs.</w:t>
      </w:r>
    </w:p>
    <w:p w:rsidR="001B0999" w:rsidRDefault="001B0999" w:rsidP="0088426A">
      <w:pPr>
        <w:rPr>
          <w:rFonts w:ascii="Arial" w:hAnsi="Arial" w:cs="Arial"/>
          <w:i/>
        </w:rPr>
      </w:pPr>
    </w:p>
    <w:p w:rsidR="001B0999" w:rsidRDefault="001B0999" w:rsidP="0088426A">
      <w:pPr>
        <w:rPr>
          <w:rFonts w:ascii="Arial" w:hAnsi="Arial" w:cs="Arial"/>
          <w:i/>
        </w:rPr>
      </w:pPr>
      <w:r>
        <w:rPr>
          <w:rFonts w:ascii="Arial" w:hAnsi="Arial" w:cs="Arial"/>
          <w:b/>
        </w:rPr>
        <w:t>Information Privacy Principles (IPP)</w:t>
      </w:r>
    </w:p>
    <w:p w:rsidR="001B0999" w:rsidRDefault="001B0999" w:rsidP="0088426A">
      <w:pPr>
        <w:rPr>
          <w:rFonts w:ascii="Arial" w:hAnsi="Arial" w:cs="Arial"/>
        </w:rPr>
      </w:pPr>
    </w:p>
    <w:p w:rsidR="001B0999" w:rsidRDefault="001B0999" w:rsidP="0088426A">
      <w:pPr>
        <w:pStyle w:val="Heading1"/>
        <w:jc w:val="left"/>
        <w:rPr>
          <w:rFonts w:ascii="Arial" w:hAnsi="Arial" w:cs="Arial"/>
          <w:b w:val="0"/>
        </w:rPr>
      </w:pPr>
      <w:r>
        <w:rPr>
          <w:rFonts w:ascii="Arial" w:hAnsi="Arial" w:cs="Arial"/>
          <w:b w:val="0"/>
        </w:rPr>
        <w:t>In accordance with IPP Principle 2, please be advised that:</w:t>
      </w:r>
    </w:p>
    <w:p w:rsidR="001B0999" w:rsidRDefault="001B0999" w:rsidP="0088426A">
      <w:pPr>
        <w:rPr>
          <w:rFonts w:ascii="Arial" w:hAnsi="Arial" w:cs="Arial"/>
        </w:rPr>
      </w:pPr>
    </w:p>
    <w:p w:rsidR="001B0999" w:rsidRDefault="001B0999" w:rsidP="0088426A">
      <w:pPr>
        <w:numPr>
          <w:ilvl w:val="0"/>
          <w:numId w:val="12"/>
        </w:numPr>
        <w:rPr>
          <w:rFonts w:ascii="Arial" w:hAnsi="Arial" w:cs="Arial"/>
        </w:rPr>
      </w:pPr>
      <w:r>
        <w:rPr>
          <w:rFonts w:ascii="Arial" w:hAnsi="Arial" w:cs="Arial"/>
        </w:rPr>
        <w:t xml:space="preserve">any personal information requested on the </w:t>
      </w:r>
      <w:r>
        <w:rPr>
          <w:rFonts w:ascii="Arial" w:hAnsi="Arial" w:cs="Arial"/>
          <w:b/>
        </w:rPr>
        <w:t>Request for an Investigation/Review Form</w:t>
      </w:r>
      <w:r>
        <w:rPr>
          <w:rFonts w:ascii="Arial" w:hAnsi="Arial" w:cs="Arial"/>
        </w:rPr>
        <w:t xml:space="preserve"> is required in order to process this request for investigation or review; and </w:t>
      </w:r>
    </w:p>
    <w:p w:rsidR="001B0999" w:rsidRDefault="001B0999" w:rsidP="0088426A">
      <w:pPr>
        <w:rPr>
          <w:rFonts w:ascii="Arial" w:hAnsi="Arial" w:cs="Arial"/>
        </w:rPr>
      </w:pPr>
    </w:p>
    <w:p w:rsidR="001B0999" w:rsidRDefault="001B0999" w:rsidP="0088426A">
      <w:pPr>
        <w:pStyle w:val="BodyText"/>
        <w:numPr>
          <w:ilvl w:val="0"/>
          <w:numId w:val="13"/>
        </w:numPr>
        <w:jc w:val="left"/>
        <w:rPr>
          <w:rFonts w:ascii="Arial" w:hAnsi="Arial" w:cs="Arial"/>
        </w:rPr>
      </w:pPr>
      <w:r>
        <w:rPr>
          <w:rFonts w:ascii="Arial" w:hAnsi="Arial" w:cs="Arial"/>
        </w:rPr>
        <w:t>the Authority may disclose personal information to the Repatriation Commission, the Military Rehabilitation and Compensation Commission and/or the Specialist Medical Review Council.</w:t>
      </w:r>
    </w:p>
    <w:p w:rsidR="001B0999" w:rsidRDefault="001B0999" w:rsidP="0088426A">
      <w:pPr>
        <w:pStyle w:val="BodyText"/>
        <w:jc w:val="left"/>
        <w:rPr>
          <w:rFonts w:ascii="Arial" w:hAnsi="Arial" w:cs="Arial"/>
        </w:rPr>
      </w:pPr>
    </w:p>
    <w:p w:rsidR="001B0999" w:rsidRDefault="001B0999" w:rsidP="0088426A">
      <w:pPr>
        <w:rPr>
          <w:rFonts w:ascii="Arial" w:hAnsi="Arial" w:cs="Arial"/>
          <w:b/>
          <w:szCs w:val="24"/>
        </w:rPr>
      </w:pPr>
      <w:r>
        <w:rPr>
          <w:rFonts w:ascii="Arial" w:hAnsi="Arial" w:cs="Arial"/>
          <w:b/>
          <w:szCs w:val="24"/>
        </w:rPr>
        <w:t>Disclosure of Information</w:t>
      </w:r>
    </w:p>
    <w:p w:rsidR="001B0999" w:rsidRDefault="001B0999" w:rsidP="0088426A">
      <w:pPr>
        <w:rPr>
          <w:rFonts w:ascii="Arial" w:hAnsi="Arial" w:cs="Arial"/>
          <w:szCs w:val="24"/>
        </w:rPr>
      </w:pPr>
    </w:p>
    <w:p w:rsidR="001B0999" w:rsidRDefault="001B0999" w:rsidP="0088426A">
      <w:pPr>
        <w:rPr>
          <w:rFonts w:ascii="Arial" w:hAnsi="Arial" w:cs="Arial"/>
          <w:szCs w:val="24"/>
        </w:rPr>
      </w:pPr>
      <w:r>
        <w:rPr>
          <w:rFonts w:ascii="Arial" w:hAnsi="Arial" w:cs="Arial"/>
          <w:szCs w:val="24"/>
        </w:rPr>
        <w:t>Under section 196K of the VEA, certain decisions made by the Authority are reviewable by the Specialist Medical Review Council (SMRC).  If a valid application for review by the SMRC is made, the VEA requires the Authority to disclose to the SMRC all information relevant to its determination</w:t>
      </w:r>
      <w:bookmarkStart w:id="0" w:name="_GoBack"/>
      <w:bookmarkEnd w:id="0"/>
      <w:r>
        <w:rPr>
          <w:rFonts w:ascii="Arial" w:hAnsi="Arial" w:cs="Arial"/>
          <w:szCs w:val="24"/>
        </w:rPr>
        <w:t xml:space="preserve"> or decision.  This includes applications for investigation or review, and submissions received relevant to the matter being reviewed by the SMRC.</w:t>
      </w:r>
    </w:p>
    <w:sectPr w:rsidR="001B0999">
      <w:footerReference w:type="default" r:id="rId10"/>
      <w:pgSz w:w="11907" w:h="16840" w:code="9"/>
      <w:pgMar w:top="567" w:right="1134" w:bottom="99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99" w:rsidRDefault="001B0999">
      <w:r>
        <w:separator/>
      </w:r>
    </w:p>
  </w:endnote>
  <w:endnote w:type="continuationSeparator" w:id="0">
    <w:p w:rsidR="001B0999" w:rsidRDefault="001B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999" w:rsidRDefault="00941805">
    <w:pPr>
      <w:pStyle w:val="Footer"/>
      <w:rPr>
        <w:sz w:val="16"/>
      </w:rPr>
    </w:pPr>
    <w:r>
      <w:rPr>
        <w:sz w:val="16"/>
      </w:rPr>
      <w:t>RMA002</w:t>
    </w:r>
    <w:r>
      <w:rPr>
        <w:sz w:val="16"/>
      </w:rPr>
      <w:tab/>
      <w:t>February 2016</w:t>
    </w:r>
    <w:r w:rsidR="001B0999">
      <w:rPr>
        <w:sz w:val="16"/>
      </w:rPr>
      <w:tab/>
      <w:t xml:space="preserve"> </w:t>
    </w:r>
    <w:r w:rsidR="001B0999">
      <w:rPr>
        <w:snapToGrid w:val="0"/>
        <w:sz w:val="16"/>
        <w:lang w:eastAsia="en-US"/>
      </w:rPr>
      <w:t xml:space="preserve">Page </w:t>
    </w:r>
    <w:r w:rsidR="001B0999">
      <w:rPr>
        <w:snapToGrid w:val="0"/>
        <w:sz w:val="16"/>
        <w:lang w:eastAsia="en-US"/>
      </w:rPr>
      <w:fldChar w:fldCharType="begin"/>
    </w:r>
    <w:r w:rsidR="001B0999">
      <w:rPr>
        <w:snapToGrid w:val="0"/>
        <w:sz w:val="16"/>
        <w:lang w:eastAsia="en-US"/>
      </w:rPr>
      <w:instrText xml:space="preserve"> PAGE </w:instrText>
    </w:r>
    <w:r w:rsidR="001B0999">
      <w:rPr>
        <w:snapToGrid w:val="0"/>
        <w:sz w:val="16"/>
        <w:lang w:eastAsia="en-US"/>
      </w:rPr>
      <w:fldChar w:fldCharType="separate"/>
    </w:r>
    <w:r w:rsidR="0094569C">
      <w:rPr>
        <w:noProof/>
        <w:snapToGrid w:val="0"/>
        <w:sz w:val="16"/>
        <w:lang w:eastAsia="en-US"/>
      </w:rPr>
      <w:t>3</w:t>
    </w:r>
    <w:r w:rsidR="001B0999">
      <w:rPr>
        <w:snapToGrid w:val="0"/>
        <w:sz w:val="16"/>
        <w:lang w:eastAsia="en-US"/>
      </w:rPr>
      <w:fldChar w:fldCharType="end"/>
    </w:r>
    <w:r w:rsidR="001B0999">
      <w:rPr>
        <w:snapToGrid w:val="0"/>
        <w:sz w:val="16"/>
        <w:lang w:eastAsia="en-US"/>
      </w:rPr>
      <w:t xml:space="preserve"> of </w:t>
    </w:r>
    <w:r w:rsidR="001B0999">
      <w:rPr>
        <w:snapToGrid w:val="0"/>
        <w:sz w:val="16"/>
        <w:lang w:eastAsia="en-US"/>
      </w:rPr>
      <w:fldChar w:fldCharType="begin"/>
    </w:r>
    <w:r w:rsidR="001B0999">
      <w:rPr>
        <w:snapToGrid w:val="0"/>
        <w:sz w:val="16"/>
        <w:lang w:eastAsia="en-US"/>
      </w:rPr>
      <w:instrText xml:space="preserve"> NUMPAGES </w:instrText>
    </w:r>
    <w:r w:rsidR="001B0999">
      <w:rPr>
        <w:snapToGrid w:val="0"/>
        <w:sz w:val="16"/>
        <w:lang w:eastAsia="en-US"/>
      </w:rPr>
      <w:fldChar w:fldCharType="separate"/>
    </w:r>
    <w:r w:rsidR="0094569C">
      <w:rPr>
        <w:noProof/>
        <w:snapToGrid w:val="0"/>
        <w:sz w:val="16"/>
        <w:lang w:eastAsia="en-US"/>
      </w:rPr>
      <w:t>3</w:t>
    </w:r>
    <w:r w:rsidR="001B0999">
      <w:rPr>
        <w:snapToGrid w:val="0"/>
        <w:sz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99" w:rsidRDefault="001B0999">
      <w:r>
        <w:separator/>
      </w:r>
    </w:p>
  </w:footnote>
  <w:footnote w:type="continuationSeparator" w:id="0">
    <w:p w:rsidR="001B0999" w:rsidRDefault="001B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40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181F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B24EC7"/>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1ED170A8"/>
    <w:multiLevelType w:val="hybridMultilevel"/>
    <w:tmpl w:val="36361C2C"/>
    <w:lvl w:ilvl="0" w:tplc="AA5E59EC">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1044BD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DA0D58"/>
    <w:multiLevelType w:val="singleLevel"/>
    <w:tmpl w:val="D5E0A76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2317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D11F4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F036DE"/>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956DE7"/>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1D24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311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C842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3B251E"/>
    <w:multiLevelType w:val="singleLevel"/>
    <w:tmpl w:val="00CA9AB4"/>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6BC5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855A95"/>
    <w:multiLevelType w:val="hybridMultilevel"/>
    <w:tmpl w:val="78BEB11E"/>
    <w:lvl w:ilvl="0" w:tplc="64604AC2">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3"/>
  </w:num>
  <w:num w:numId="2">
    <w:abstractNumId w:val="8"/>
  </w:num>
  <w:num w:numId="3">
    <w:abstractNumId w:val="2"/>
  </w:num>
  <w:num w:numId="4">
    <w:abstractNumId w:val="5"/>
  </w:num>
  <w:num w:numId="5">
    <w:abstractNumId w:val="7"/>
  </w:num>
  <w:num w:numId="6">
    <w:abstractNumId w:val="4"/>
  </w:num>
  <w:num w:numId="7">
    <w:abstractNumId w:val="9"/>
  </w:num>
  <w:num w:numId="8">
    <w:abstractNumId w:val="0"/>
  </w:num>
  <w:num w:numId="9">
    <w:abstractNumId w:val="12"/>
  </w:num>
  <w:num w:numId="10">
    <w:abstractNumId w:val="6"/>
  </w:num>
  <w:num w:numId="11">
    <w:abstractNumId w:val="11"/>
  </w:num>
  <w:num w:numId="12">
    <w:abstractNumId w:val="10"/>
  </w:num>
  <w:num w:numId="13">
    <w:abstractNumId w:val="14"/>
  </w:num>
  <w:num w:numId="14">
    <w:abstractNumId w:val="1"/>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intFractionalCharacterWidth/>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05"/>
    <w:rsid w:val="001B0999"/>
    <w:rsid w:val="0088426A"/>
    <w:rsid w:val="00941805"/>
    <w:rsid w:val="00945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819"/>
        <w:tab w:val="right" w:pos="9071"/>
      </w:tabs>
    </w:p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sid w:val="009418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ma.gov.au/investigations/lodge-an-online-request-for-an-investigation-re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ma.gov.a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5970</CharactersWithSpaces>
  <SharedDoc>false</SharedDoc>
  <HLinks>
    <vt:vector size="12" baseType="variant">
      <vt:variant>
        <vt:i4>4259914</vt:i4>
      </vt:variant>
      <vt:variant>
        <vt:i4>3</vt:i4>
      </vt:variant>
      <vt:variant>
        <vt:i4>0</vt:i4>
      </vt:variant>
      <vt:variant>
        <vt:i4>5</vt:i4>
      </vt:variant>
      <vt:variant>
        <vt:lpwstr>http://www.rma.gov.au/contact-us/</vt:lpwstr>
      </vt:variant>
      <vt:variant>
        <vt:lpwstr/>
      </vt:variant>
      <vt:variant>
        <vt:i4>4915200</vt:i4>
      </vt:variant>
      <vt:variant>
        <vt:i4>0</vt:i4>
      </vt:variant>
      <vt:variant>
        <vt:i4>0</vt:i4>
      </vt:variant>
      <vt:variant>
        <vt:i4>5</vt:i4>
      </vt:variant>
      <vt:variant>
        <vt:lpwstr>http://www.rma.gov.au/investigations/lodge-an-online-request-for-an-investigation-review/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2012-10-16T03:17:00Z</cp:lastPrinted>
  <dcterms:created xsi:type="dcterms:W3CDTF">2016-03-30T05:19:00Z</dcterms:created>
  <dcterms:modified xsi:type="dcterms:W3CDTF">2016-03-30T05:19:00Z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