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3900" w14:textId="77777777" w:rsidR="00614DF1" w:rsidRDefault="00614DF1" w:rsidP="000B1F11">
      <w:pPr>
        <w:pStyle w:val="FormTitle"/>
      </w:pPr>
      <w:r>
        <w:rPr>
          <w:noProof/>
        </w:rPr>
        <w:drawing>
          <wp:inline distT="0" distB="0" distL="0" distR="0" wp14:anchorId="1BAFB9C9" wp14:editId="3F770C84">
            <wp:extent cx="3063875" cy="934720"/>
            <wp:effectExtent l="0" t="0" r="3175" b="0"/>
            <wp:docPr id="1" name="Picture 1"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75" cy="934720"/>
                    </a:xfrm>
                    <a:prstGeom prst="rect">
                      <a:avLst/>
                    </a:prstGeom>
                    <a:noFill/>
                    <a:ln>
                      <a:noFill/>
                    </a:ln>
                  </pic:spPr>
                </pic:pic>
              </a:graphicData>
            </a:graphic>
          </wp:inline>
        </w:drawing>
      </w:r>
    </w:p>
    <w:p w14:paraId="69E899ED" w14:textId="77777777" w:rsidR="00614DF1" w:rsidRDefault="00614DF1" w:rsidP="00614DF1">
      <w:pPr>
        <w:pStyle w:val="FormTitle"/>
        <w:rPr>
          <w:rFonts w:ascii="Times New Roman" w:hAnsi="Times New Roman" w:cs="Times New Roman"/>
          <w:sz w:val="24"/>
          <w:szCs w:val="24"/>
        </w:rPr>
      </w:pPr>
    </w:p>
    <w:p w14:paraId="1B660CA4" w14:textId="77777777" w:rsidR="00614DF1" w:rsidRDefault="00614DF1" w:rsidP="00614DF1">
      <w:pPr>
        <w:pStyle w:val="FormTitle"/>
        <w:rPr>
          <w:rFonts w:ascii="Times New Roman" w:hAnsi="Times New Roman" w:cs="Times New Roman"/>
          <w:sz w:val="24"/>
          <w:szCs w:val="24"/>
        </w:rPr>
      </w:pPr>
    </w:p>
    <w:p w14:paraId="34FFA680" w14:textId="77777777" w:rsidR="00614DF1" w:rsidRDefault="00614DF1" w:rsidP="00614DF1">
      <w:pPr>
        <w:pStyle w:val="FormTitle"/>
        <w:rPr>
          <w:rFonts w:ascii="Times New Roman" w:hAnsi="Times New Roman" w:cs="Times New Roman"/>
          <w:sz w:val="24"/>
          <w:szCs w:val="24"/>
        </w:rPr>
      </w:pPr>
    </w:p>
    <w:p w14:paraId="4EA35BCF" w14:textId="77777777" w:rsidR="00614DF1" w:rsidRDefault="00614DF1" w:rsidP="00614DF1">
      <w:pPr>
        <w:pStyle w:val="FormTitle"/>
        <w:rPr>
          <w:sz w:val="24"/>
          <w:szCs w:val="24"/>
        </w:rPr>
      </w:pPr>
      <w:r>
        <w:rPr>
          <w:sz w:val="24"/>
          <w:szCs w:val="24"/>
        </w:rPr>
        <w:t xml:space="preserve">REPATRIATION MEDICAL AUTHORITY </w:t>
      </w:r>
    </w:p>
    <w:p w14:paraId="6C05EFD6" w14:textId="77777777" w:rsidR="00614DF1" w:rsidRDefault="00614DF1" w:rsidP="00614DF1">
      <w:pPr>
        <w:pStyle w:val="FormTitle"/>
        <w:rPr>
          <w:sz w:val="24"/>
          <w:szCs w:val="24"/>
        </w:rPr>
      </w:pPr>
      <w:r>
        <w:rPr>
          <w:sz w:val="24"/>
          <w:szCs w:val="24"/>
        </w:rPr>
        <w:t>STATEMENT of REASONS</w:t>
      </w:r>
    </w:p>
    <w:p w14:paraId="3ACEC434" w14:textId="067691D7" w:rsidR="00614DF1" w:rsidRPr="003F7DD3" w:rsidRDefault="00614DF1" w:rsidP="00614DF1">
      <w:pPr>
        <w:pStyle w:val="FormTitle"/>
        <w:rPr>
          <w:i/>
          <w:sz w:val="24"/>
          <w:szCs w:val="24"/>
        </w:rPr>
      </w:pPr>
      <w:r w:rsidRPr="00C661F4">
        <w:rPr>
          <w:sz w:val="24"/>
          <w:szCs w:val="24"/>
        </w:rPr>
        <w:t>s</w:t>
      </w:r>
      <w:r w:rsidR="00A873B9">
        <w:rPr>
          <w:sz w:val="24"/>
          <w:szCs w:val="24"/>
        </w:rPr>
        <w:t xml:space="preserve">ubsection </w:t>
      </w:r>
      <w:proofErr w:type="gramStart"/>
      <w:r w:rsidR="00A873B9">
        <w:rPr>
          <w:sz w:val="24"/>
          <w:szCs w:val="24"/>
        </w:rPr>
        <w:t>196b(</w:t>
      </w:r>
      <w:proofErr w:type="gramEnd"/>
      <w:r w:rsidR="00A873B9">
        <w:rPr>
          <w:sz w:val="24"/>
          <w:szCs w:val="24"/>
        </w:rPr>
        <w:t>9),</w:t>
      </w:r>
      <w:r w:rsidRPr="00C661F4">
        <w:rPr>
          <w:sz w:val="24"/>
          <w:szCs w:val="24"/>
        </w:rPr>
        <w:t xml:space="preserve"> </w:t>
      </w:r>
      <w:r>
        <w:rPr>
          <w:i/>
          <w:sz w:val="24"/>
          <w:szCs w:val="24"/>
        </w:rPr>
        <w:t>Veterans' Entitlements Act 1986</w:t>
      </w:r>
    </w:p>
    <w:p w14:paraId="2949C241" w14:textId="7ADC3392" w:rsidR="00614DF1" w:rsidRDefault="00614DF1" w:rsidP="00614DF1">
      <w:pPr>
        <w:pStyle w:val="FormTitle"/>
        <w:spacing w:after="0"/>
        <w:rPr>
          <w:rFonts w:ascii="Times New Roman" w:hAnsi="Times New Roman" w:cs="Times New Roman"/>
        </w:rPr>
      </w:pPr>
      <w:r>
        <w:rPr>
          <w:sz w:val="24"/>
          <w:szCs w:val="24"/>
        </w:rPr>
        <w:t xml:space="preserve">Decision </w:t>
      </w:r>
      <w:r w:rsidRPr="00437AB9">
        <w:rPr>
          <w:sz w:val="24"/>
          <w:szCs w:val="24"/>
        </w:rPr>
        <w:t xml:space="preserve">not to </w:t>
      </w:r>
      <w:r w:rsidR="00A873B9">
        <w:rPr>
          <w:sz w:val="24"/>
          <w:szCs w:val="24"/>
        </w:rPr>
        <w:t>amend the</w:t>
      </w:r>
      <w:r w:rsidRPr="00437AB9">
        <w:rPr>
          <w:sz w:val="24"/>
          <w:szCs w:val="24"/>
        </w:rPr>
        <w:t xml:space="preserve"> Statement</w:t>
      </w:r>
      <w:r w:rsidR="00127661">
        <w:rPr>
          <w:sz w:val="24"/>
          <w:szCs w:val="24"/>
        </w:rPr>
        <w:t>s</w:t>
      </w:r>
      <w:r w:rsidRPr="00437AB9">
        <w:rPr>
          <w:sz w:val="24"/>
          <w:szCs w:val="24"/>
        </w:rPr>
        <w:t xml:space="preserve"> of Principles concerning </w:t>
      </w:r>
      <w:r w:rsidR="00A873B9">
        <w:rPr>
          <w:sz w:val="24"/>
          <w:szCs w:val="24"/>
        </w:rPr>
        <w:t xml:space="preserve">malignant neoplasm of the </w:t>
      </w:r>
      <w:r w:rsidR="003A5438">
        <w:rPr>
          <w:sz w:val="24"/>
          <w:szCs w:val="24"/>
        </w:rPr>
        <w:t>BRAIN</w:t>
      </w:r>
    </w:p>
    <w:p w14:paraId="0DADF668" w14:textId="4A8EBA04" w:rsidR="00614DF1" w:rsidRPr="00C52668" w:rsidRDefault="00614DF1" w:rsidP="00614DF1">
      <w:pPr>
        <w:pStyle w:val="TOC3"/>
      </w:pPr>
      <w:r w:rsidRPr="00C52668">
        <w:t xml:space="preserve">Instrument </w:t>
      </w:r>
      <w:r>
        <w:t>No</w:t>
      </w:r>
      <w:r w:rsidR="00127661">
        <w:t>s</w:t>
      </w:r>
      <w:r>
        <w:t xml:space="preserve">. </w:t>
      </w:r>
      <w:r w:rsidR="003A5438">
        <w:t>85</w:t>
      </w:r>
      <w:r w:rsidR="00C90309">
        <w:t xml:space="preserve"> and </w:t>
      </w:r>
      <w:r w:rsidR="003A5438">
        <w:t>86</w:t>
      </w:r>
      <w:r w:rsidR="005121CA">
        <w:t xml:space="preserve"> of 201</w:t>
      </w:r>
      <w:r w:rsidR="003A5438">
        <w:t>6</w:t>
      </w:r>
    </w:p>
    <w:p w14:paraId="65D2AF7F" w14:textId="77777777" w:rsidR="00614DF1" w:rsidRDefault="00614DF1" w:rsidP="00614DF1">
      <w:pPr>
        <w:pStyle w:val="TOC3"/>
      </w:pPr>
    </w:p>
    <w:p w14:paraId="5EA3926C" w14:textId="77777777" w:rsidR="00614DF1" w:rsidRDefault="00614DF1" w:rsidP="00614DF1"/>
    <w:p w14:paraId="570D2B64" w14:textId="77777777" w:rsidR="00286541" w:rsidRDefault="00614DF1" w:rsidP="00614DF1">
      <w:pPr>
        <w:pStyle w:val="TOC3"/>
      </w:pPr>
      <w:r>
        <w:br w:type="page"/>
      </w:r>
      <w:r>
        <w:rPr>
          <w:sz w:val="24"/>
          <w:szCs w:val="24"/>
        </w:rPr>
        <w:fldChar w:fldCharType="begin"/>
      </w:r>
      <w:r>
        <w:instrText xml:space="preserve"> TOC \h \z \t "Heading 2,4,Heading 3,5,Part Heading,3,Contents Heading,2,Alpha Heading,1" </w:instrText>
      </w:r>
      <w:r>
        <w:rPr>
          <w:sz w:val="24"/>
          <w:szCs w:val="24"/>
        </w:rPr>
        <w:fldChar w:fldCharType="separate"/>
      </w:r>
    </w:p>
    <w:p w14:paraId="2F466E93" w14:textId="48B69D7A" w:rsidR="00286541" w:rsidRDefault="00286541">
      <w:pPr>
        <w:pStyle w:val="TOC3"/>
        <w:rPr>
          <w:rFonts w:asciiTheme="minorHAnsi" w:eastAsiaTheme="minorEastAsia" w:hAnsiTheme="minorHAnsi" w:cstheme="minorBidi"/>
        </w:rPr>
      </w:pPr>
      <w:hyperlink w:anchor="_Toc79672471" w:history="1">
        <w:r w:rsidRPr="00D93A11">
          <w:rPr>
            <w:rStyle w:val="Hyperlink"/>
            <w:rFonts w:cs="Times New Roman"/>
          </w:rPr>
          <w:t>Part  I</w:t>
        </w:r>
        <w:r>
          <w:rPr>
            <w:rFonts w:asciiTheme="minorHAnsi" w:eastAsiaTheme="minorEastAsia" w:hAnsiTheme="minorHAnsi" w:cstheme="minorBidi"/>
          </w:rPr>
          <w:tab/>
        </w:r>
        <w:r w:rsidRPr="00D93A11">
          <w:rPr>
            <w:rStyle w:val="Hyperlink"/>
          </w:rPr>
          <w:t>Introduction</w:t>
        </w:r>
        <w:r>
          <w:rPr>
            <w:webHidden/>
          </w:rPr>
          <w:tab/>
        </w:r>
        <w:r>
          <w:rPr>
            <w:webHidden/>
          </w:rPr>
          <w:fldChar w:fldCharType="begin"/>
        </w:r>
        <w:r>
          <w:rPr>
            <w:webHidden/>
          </w:rPr>
          <w:instrText xml:space="preserve"> PAGEREF _Toc79672471 \h </w:instrText>
        </w:r>
        <w:r>
          <w:rPr>
            <w:webHidden/>
          </w:rPr>
        </w:r>
        <w:r>
          <w:rPr>
            <w:webHidden/>
          </w:rPr>
          <w:fldChar w:fldCharType="separate"/>
        </w:r>
        <w:r>
          <w:rPr>
            <w:webHidden/>
          </w:rPr>
          <w:t>3</w:t>
        </w:r>
        <w:r>
          <w:rPr>
            <w:webHidden/>
          </w:rPr>
          <w:fldChar w:fldCharType="end"/>
        </w:r>
      </w:hyperlink>
    </w:p>
    <w:p w14:paraId="3C0CCFAD" w14:textId="0D35BCA7" w:rsidR="00286541" w:rsidRDefault="00E77940">
      <w:pPr>
        <w:pStyle w:val="TOC3"/>
        <w:rPr>
          <w:rFonts w:asciiTheme="minorHAnsi" w:eastAsiaTheme="minorEastAsia" w:hAnsiTheme="minorHAnsi" w:cstheme="minorBidi"/>
        </w:rPr>
      </w:pPr>
      <w:hyperlink w:anchor="_Toc79672472" w:history="1">
        <w:r w:rsidR="00286541" w:rsidRPr="00D93A11">
          <w:rPr>
            <w:rStyle w:val="Hyperlink"/>
            <w:rFonts w:cs="Times New Roman"/>
          </w:rPr>
          <w:t>Part  II</w:t>
        </w:r>
        <w:r w:rsidR="00286541">
          <w:rPr>
            <w:rFonts w:asciiTheme="minorHAnsi" w:eastAsiaTheme="minorEastAsia" w:hAnsiTheme="minorHAnsi" w:cstheme="minorBidi"/>
          </w:rPr>
          <w:tab/>
        </w:r>
        <w:r w:rsidR="00286541" w:rsidRPr="00D93A11">
          <w:rPr>
            <w:rStyle w:val="Hyperlink"/>
          </w:rPr>
          <w:t>Background to the Request</w:t>
        </w:r>
        <w:r w:rsidR="00286541">
          <w:rPr>
            <w:webHidden/>
          </w:rPr>
          <w:tab/>
        </w:r>
        <w:r w:rsidR="00286541">
          <w:rPr>
            <w:webHidden/>
          </w:rPr>
          <w:fldChar w:fldCharType="begin"/>
        </w:r>
        <w:r w:rsidR="00286541">
          <w:rPr>
            <w:webHidden/>
          </w:rPr>
          <w:instrText xml:space="preserve"> PAGEREF _Toc79672472 \h </w:instrText>
        </w:r>
        <w:r w:rsidR="00286541">
          <w:rPr>
            <w:webHidden/>
          </w:rPr>
        </w:r>
        <w:r w:rsidR="00286541">
          <w:rPr>
            <w:webHidden/>
          </w:rPr>
          <w:fldChar w:fldCharType="separate"/>
        </w:r>
        <w:r w:rsidR="00286541">
          <w:rPr>
            <w:webHidden/>
          </w:rPr>
          <w:t>3</w:t>
        </w:r>
        <w:r w:rsidR="00286541">
          <w:rPr>
            <w:webHidden/>
          </w:rPr>
          <w:fldChar w:fldCharType="end"/>
        </w:r>
      </w:hyperlink>
    </w:p>
    <w:p w14:paraId="5287E442" w14:textId="4D5AD9A9" w:rsidR="00286541" w:rsidRDefault="00E77940">
      <w:pPr>
        <w:pStyle w:val="TOC3"/>
        <w:rPr>
          <w:rFonts w:asciiTheme="minorHAnsi" w:eastAsiaTheme="minorEastAsia" w:hAnsiTheme="minorHAnsi" w:cstheme="minorBidi"/>
        </w:rPr>
      </w:pPr>
      <w:hyperlink w:anchor="_Toc79672473" w:history="1">
        <w:r w:rsidR="00286541" w:rsidRPr="00D93A11">
          <w:rPr>
            <w:rStyle w:val="Hyperlink"/>
            <w:rFonts w:cs="Times New Roman"/>
          </w:rPr>
          <w:t>Part  III</w:t>
        </w:r>
        <w:r w:rsidR="00286541">
          <w:rPr>
            <w:rFonts w:asciiTheme="minorHAnsi" w:eastAsiaTheme="minorEastAsia" w:hAnsiTheme="minorHAnsi" w:cstheme="minorBidi"/>
          </w:rPr>
          <w:tab/>
        </w:r>
        <w:r w:rsidR="00286541" w:rsidRPr="00D93A11">
          <w:rPr>
            <w:rStyle w:val="Hyperlink"/>
          </w:rPr>
          <w:t>Evidence Previously Considered by the Authority</w:t>
        </w:r>
        <w:r w:rsidR="00286541">
          <w:rPr>
            <w:webHidden/>
          </w:rPr>
          <w:tab/>
        </w:r>
        <w:r w:rsidR="00286541">
          <w:rPr>
            <w:webHidden/>
          </w:rPr>
          <w:fldChar w:fldCharType="begin"/>
        </w:r>
        <w:r w:rsidR="00286541">
          <w:rPr>
            <w:webHidden/>
          </w:rPr>
          <w:instrText xml:space="preserve"> PAGEREF _Toc79672473 \h </w:instrText>
        </w:r>
        <w:r w:rsidR="00286541">
          <w:rPr>
            <w:webHidden/>
          </w:rPr>
        </w:r>
        <w:r w:rsidR="00286541">
          <w:rPr>
            <w:webHidden/>
          </w:rPr>
          <w:fldChar w:fldCharType="separate"/>
        </w:r>
        <w:r w:rsidR="00286541">
          <w:rPr>
            <w:webHidden/>
          </w:rPr>
          <w:t>4</w:t>
        </w:r>
        <w:r w:rsidR="00286541">
          <w:rPr>
            <w:webHidden/>
          </w:rPr>
          <w:fldChar w:fldCharType="end"/>
        </w:r>
      </w:hyperlink>
    </w:p>
    <w:p w14:paraId="424C8B99" w14:textId="4AEAB498" w:rsidR="00286541" w:rsidRDefault="00E77940">
      <w:pPr>
        <w:pStyle w:val="TOC3"/>
        <w:rPr>
          <w:rFonts w:asciiTheme="minorHAnsi" w:eastAsiaTheme="minorEastAsia" w:hAnsiTheme="minorHAnsi" w:cstheme="minorBidi"/>
        </w:rPr>
      </w:pPr>
      <w:hyperlink w:anchor="_Toc79672474" w:history="1">
        <w:r w:rsidR="00286541" w:rsidRPr="00D93A11">
          <w:rPr>
            <w:rStyle w:val="Hyperlink"/>
            <w:rFonts w:cs="Times New Roman"/>
          </w:rPr>
          <w:t>Part  IV</w:t>
        </w:r>
        <w:r w:rsidR="00286541">
          <w:rPr>
            <w:rFonts w:asciiTheme="minorHAnsi" w:eastAsiaTheme="minorEastAsia" w:hAnsiTheme="minorHAnsi" w:cstheme="minorBidi"/>
          </w:rPr>
          <w:tab/>
        </w:r>
        <w:r w:rsidR="00286541" w:rsidRPr="00D93A11">
          <w:rPr>
            <w:rStyle w:val="Hyperlink"/>
          </w:rPr>
          <w:t>New Information Considered by the Authority</w:t>
        </w:r>
        <w:r w:rsidR="00286541">
          <w:rPr>
            <w:webHidden/>
          </w:rPr>
          <w:tab/>
        </w:r>
        <w:r w:rsidR="00286541">
          <w:rPr>
            <w:webHidden/>
          </w:rPr>
          <w:fldChar w:fldCharType="begin"/>
        </w:r>
        <w:r w:rsidR="00286541">
          <w:rPr>
            <w:webHidden/>
          </w:rPr>
          <w:instrText xml:space="preserve"> PAGEREF _Toc79672474 \h </w:instrText>
        </w:r>
        <w:r w:rsidR="00286541">
          <w:rPr>
            <w:webHidden/>
          </w:rPr>
        </w:r>
        <w:r w:rsidR="00286541">
          <w:rPr>
            <w:webHidden/>
          </w:rPr>
          <w:fldChar w:fldCharType="separate"/>
        </w:r>
        <w:r w:rsidR="00286541">
          <w:rPr>
            <w:webHidden/>
          </w:rPr>
          <w:t>4</w:t>
        </w:r>
        <w:r w:rsidR="00286541">
          <w:rPr>
            <w:webHidden/>
          </w:rPr>
          <w:fldChar w:fldCharType="end"/>
        </w:r>
      </w:hyperlink>
    </w:p>
    <w:p w14:paraId="0D943B56" w14:textId="002A7574" w:rsidR="00286541" w:rsidRDefault="00E77940">
      <w:pPr>
        <w:pStyle w:val="TOC3"/>
        <w:rPr>
          <w:rFonts w:asciiTheme="minorHAnsi" w:eastAsiaTheme="minorEastAsia" w:hAnsiTheme="minorHAnsi" w:cstheme="minorBidi"/>
        </w:rPr>
      </w:pPr>
      <w:hyperlink w:anchor="_Toc79672475" w:history="1">
        <w:r w:rsidR="00286541" w:rsidRPr="00D93A11">
          <w:rPr>
            <w:rStyle w:val="Hyperlink"/>
            <w:rFonts w:cs="Times New Roman"/>
          </w:rPr>
          <w:t>Part  V</w:t>
        </w:r>
        <w:r w:rsidR="00286541">
          <w:rPr>
            <w:rFonts w:asciiTheme="minorHAnsi" w:eastAsiaTheme="minorEastAsia" w:hAnsiTheme="minorHAnsi" w:cstheme="minorBidi"/>
          </w:rPr>
          <w:tab/>
        </w:r>
        <w:r w:rsidR="00286541" w:rsidRPr="00D93A11">
          <w:rPr>
            <w:rStyle w:val="Hyperlink"/>
          </w:rPr>
          <w:t>Summary of New and Existing Evidence</w:t>
        </w:r>
        <w:r w:rsidR="00286541">
          <w:rPr>
            <w:webHidden/>
          </w:rPr>
          <w:tab/>
        </w:r>
        <w:r w:rsidR="00286541">
          <w:rPr>
            <w:webHidden/>
          </w:rPr>
          <w:fldChar w:fldCharType="begin"/>
        </w:r>
        <w:r w:rsidR="00286541">
          <w:rPr>
            <w:webHidden/>
          </w:rPr>
          <w:instrText xml:space="preserve"> PAGEREF _Toc79672475 \h </w:instrText>
        </w:r>
        <w:r w:rsidR="00286541">
          <w:rPr>
            <w:webHidden/>
          </w:rPr>
        </w:r>
        <w:r w:rsidR="00286541">
          <w:rPr>
            <w:webHidden/>
          </w:rPr>
          <w:fldChar w:fldCharType="separate"/>
        </w:r>
        <w:r w:rsidR="00286541">
          <w:rPr>
            <w:webHidden/>
          </w:rPr>
          <w:t>5</w:t>
        </w:r>
        <w:r w:rsidR="00286541">
          <w:rPr>
            <w:webHidden/>
          </w:rPr>
          <w:fldChar w:fldCharType="end"/>
        </w:r>
      </w:hyperlink>
    </w:p>
    <w:p w14:paraId="0AB5020D" w14:textId="0B77F0F2" w:rsidR="00286541" w:rsidRDefault="00E77940">
      <w:pPr>
        <w:pStyle w:val="TOC3"/>
        <w:rPr>
          <w:rFonts w:asciiTheme="minorHAnsi" w:eastAsiaTheme="minorEastAsia" w:hAnsiTheme="minorHAnsi" w:cstheme="minorBidi"/>
        </w:rPr>
      </w:pPr>
      <w:hyperlink w:anchor="_Toc79672476" w:history="1">
        <w:r w:rsidR="00286541" w:rsidRPr="00D93A11">
          <w:rPr>
            <w:rStyle w:val="Hyperlink"/>
            <w:rFonts w:cs="Times New Roman"/>
          </w:rPr>
          <w:t>Part  VI</w:t>
        </w:r>
        <w:r w:rsidR="00286541">
          <w:rPr>
            <w:rFonts w:asciiTheme="minorHAnsi" w:eastAsiaTheme="minorEastAsia" w:hAnsiTheme="minorHAnsi" w:cstheme="minorBidi"/>
          </w:rPr>
          <w:tab/>
        </w:r>
        <w:r w:rsidR="00286541" w:rsidRPr="00D93A11">
          <w:rPr>
            <w:rStyle w:val="Hyperlink"/>
          </w:rPr>
          <w:t>Findings of Fact</w:t>
        </w:r>
        <w:r w:rsidR="00286541">
          <w:rPr>
            <w:webHidden/>
          </w:rPr>
          <w:tab/>
        </w:r>
        <w:r w:rsidR="00286541">
          <w:rPr>
            <w:webHidden/>
          </w:rPr>
          <w:fldChar w:fldCharType="begin"/>
        </w:r>
        <w:r w:rsidR="00286541">
          <w:rPr>
            <w:webHidden/>
          </w:rPr>
          <w:instrText xml:space="preserve"> PAGEREF _Toc79672476 \h </w:instrText>
        </w:r>
        <w:r w:rsidR="00286541">
          <w:rPr>
            <w:webHidden/>
          </w:rPr>
        </w:r>
        <w:r w:rsidR="00286541">
          <w:rPr>
            <w:webHidden/>
          </w:rPr>
          <w:fldChar w:fldCharType="separate"/>
        </w:r>
        <w:r w:rsidR="00286541">
          <w:rPr>
            <w:webHidden/>
          </w:rPr>
          <w:t>6</w:t>
        </w:r>
        <w:r w:rsidR="00286541">
          <w:rPr>
            <w:webHidden/>
          </w:rPr>
          <w:fldChar w:fldCharType="end"/>
        </w:r>
      </w:hyperlink>
    </w:p>
    <w:p w14:paraId="5D1C5BDA" w14:textId="5EB2561C" w:rsidR="00286541" w:rsidRDefault="00E77940">
      <w:pPr>
        <w:pStyle w:val="TOC3"/>
        <w:rPr>
          <w:rFonts w:asciiTheme="minorHAnsi" w:eastAsiaTheme="minorEastAsia" w:hAnsiTheme="minorHAnsi" w:cstheme="minorBidi"/>
        </w:rPr>
      </w:pPr>
      <w:hyperlink w:anchor="_Toc79672477" w:history="1">
        <w:r w:rsidR="00286541" w:rsidRPr="00D93A11">
          <w:rPr>
            <w:rStyle w:val="Hyperlink"/>
            <w:rFonts w:cs="Times New Roman"/>
          </w:rPr>
          <w:t>Part  VII</w:t>
        </w:r>
        <w:r w:rsidR="00286541">
          <w:rPr>
            <w:rFonts w:asciiTheme="minorHAnsi" w:eastAsiaTheme="minorEastAsia" w:hAnsiTheme="minorHAnsi" w:cstheme="minorBidi"/>
          </w:rPr>
          <w:tab/>
        </w:r>
        <w:r w:rsidR="00286541" w:rsidRPr="00D93A11">
          <w:rPr>
            <w:rStyle w:val="Hyperlink"/>
          </w:rPr>
          <w:t>Reasons for the Decision</w:t>
        </w:r>
        <w:r w:rsidR="00286541">
          <w:rPr>
            <w:webHidden/>
          </w:rPr>
          <w:tab/>
        </w:r>
        <w:r w:rsidR="00286541">
          <w:rPr>
            <w:webHidden/>
          </w:rPr>
          <w:fldChar w:fldCharType="begin"/>
        </w:r>
        <w:r w:rsidR="00286541">
          <w:rPr>
            <w:webHidden/>
          </w:rPr>
          <w:instrText xml:space="preserve"> PAGEREF _Toc79672477 \h </w:instrText>
        </w:r>
        <w:r w:rsidR="00286541">
          <w:rPr>
            <w:webHidden/>
          </w:rPr>
        </w:r>
        <w:r w:rsidR="00286541">
          <w:rPr>
            <w:webHidden/>
          </w:rPr>
          <w:fldChar w:fldCharType="separate"/>
        </w:r>
        <w:r w:rsidR="00286541">
          <w:rPr>
            <w:webHidden/>
          </w:rPr>
          <w:t>6</w:t>
        </w:r>
        <w:r w:rsidR="00286541">
          <w:rPr>
            <w:webHidden/>
          </w:rPr>
          <w:fldChar w:fldCharType="end"/>
        </w:r>
      </w:hyperlink>
    </w:p>
    <w:p w14:paraId="23FC9DB4" w14:textId="48E0108E" w:rsidR="00286541" w:rsidRDefault="00E77940">
      <w:pPr>
        <w:pStyle w:val="TOC3"/>
        <w:rPr>
          <w:rFonts w:asciiTheme="minorHAnsi" w:eastAsiaTheme="minorEastAsia" w:hAnsiTheme="minorHAnsi" w:cstheme="minorBidi"/>
        </w:rPr>
      </w:pPr>
      <w:hyperlink w:anchor="_Toc79672478" w:history="1">
        <w:r w:rsidR="00286541" w:rsidRPr="00D93A11">
          <w:rPr>
            <w:rStyle w:val="Hyperlink"/>
            <w:rFonts w:cs="Times New Roman"/>
          </w:rPr>
          <w:t>Part  VIII</w:t>
        </w:r>
        <w:r w:rsidR="00286541">
          <w:rPr>
            <w:rFonts w:asciiTheme="minorHAnsi" w:eastAsiaTheme="minorEastAsia" w:hAnsiTheme="minorHAnsi" w:cstheme="minorBidi"/>
          </w:rPr>
          <w:tab/>
        </w:r>
        <w:r w:rsidR="00286541" w:rsidRPr="00D93A11">
          <w:rPr>
            <w:rStyle w:val="Hyperlink"/>
          </w:rPr>
          <w:t>Conclusions</w:t>
        </w:r>
        <w:r w:rsidR="00286541">
          <w:rPr>
            <w:webHidden/>
          </w:rPr>
          <w:tab/>
        </w:r>
        <w:r w:rsidR="00286541">
          <w:rPr>
            <w:webHidden/>
          </w:rPr>
          <w:fldChar w:fldCharType="begin"/>
        </w:r>
        <w:r w:rsidR="00286541">
          <w:rPr>
            <w:webHidden/>
          </w:rPr>
          <w:instrText xml:space="preserve"> PAGEREF _Toc79672478 \h </w:instrText>
        </w:r>
        <w:r w:rsidR="00286541">
          <w:rPr>
            <w:webHidden/>
          </w:rPr>
        </w:r>
        <w:r w:rsidR="00286541">
          <w:rPr>
            <w:webHidden/>
          </w:rPr>
          <w:fldChar w:fldCharType="separate"/>
        </w:r>
        <w:r w:rsidR="00286541">
          <w:rPr>
            <w:webHidden/>
          </w:rPr>
          <w:t>9</w:t>
        </w:r>
        <w:r w:rsidR="00286541">
          <w:rPr>
            <w:webHidden/>
          </w:rPr>
          <w:fldChar w:fldCharType="end"/>
        </w:r>
      </w:hyperlink>
    </w:p>
    <w:p w14:paraId="2D3ABE43" w14:textId="40687BC8" w:rsidR="00286541" w:rsidRDefault="00E77940">
      <w:pPr>
        <w:pStyle w:val="TOC3"/>
        <w:rPr>
          <w:rFonts w:asciiTheme="minorHAnsi" w:eastAsiaTheme="minorEastAsia" w:hAnsiTheme="minorHAnsi" w:cstheme="minorBidi"/>
        </w:rPr>
      </w:pPr>
      <w:hyperlink w:anchor="_Toc79672479" w:history="1">
        <w:r w:rsidR="00286541" w:rsidRPr="00D93A11">
          <w:rPr>
            <w:rStyle w:val="Hyperlink"/>
            <w:rFonts w:cs="Times New Roman"/>
          </w:rPr>
          <w:t>Part  IX</w:t>
        </w:r>
        <w:r w:rsidR="00286541">
          <w:rPr>
            <w:rFonts w:asciiTheme="minorHAnsi" w:eastAsiaTheme="minorEastAsia" w:hAnsiTheme="minorHAnsi" w:cstheme="minorBidi"/>
          </w:rPr>
          <w:tab/>
        </w:r>
        <w:r w:rsidR="00286541" w:rsidRPr="00D93A11">
          <w:rPr>
            <w:rStyle w:val="Hyperlink"/>
          </w:rPr>
          <w:t>Decision</w:t>
        </w:r>
        <w:r w:rsidR="00286541">
          <w:rPr>
            <w:webHidden/>
          </w:rPr>
          <w:tab/>
        </w:r>
        <w:r w:rsidR="00286541">
          <w:rPr>
            <w:webHidden/>
          </w:rPr>
          <w:fldChar w:fldCharType="begin"/>
        </w:r>
        <w:r w:rsidR="00286541">
          <w:rPr>
            <w:webHidden/>
          </w:rPr>
          <w:instrText xml:space="preserve"> PAGEREF _Toc79672479 \h </w:instrText>
        </w:r>
        <w:r w:rsidR="00286541">
          <w:rPr>
            <w:webHidden/>
          </w:rPr>
        </w:r>
        <w:r w:rsidR="00286541">
          <w:rPr>
            <w:webHidden/>
          </w:rPr>
          <w:fldChar w:fldCharType="separate"/>
        </w:r>
        <w:r w:rsidR="00286541">
          <w:rPr>
            <w:webHidden/>
          </w:rPr>
          <w:t>9</w:t>
        </w:r>
        <w:r w:rsidR="00286541">
          <w:rPr>
            <w:webHidden/>
          </w:rPr>
          <w:fldChar w:fldCharType="end"/>
        </w:r>
      </w:hyperlink>
    </w:p>
    <w:p w14:paraId="1971BF2C" w14:textId="77777777" w:rsidR="00614DF1" w:rsidRDefault="00614DF1" w:rsidP="00614DF1">
      <w:r>
        <w:fldChar w:fldCharType="end"/>
      </w:r>
    </w:p>
    <w:p w14:paraId="3BBFC204" w14:textId="77777777" w:rsidR="00614DF1" w:rsidRDefault="00614DF1" w:rsidP="00614DF1">
      <w:pPr>
        <w:tabs>
          <w:tab w:val="left" w:pos="1635"/>
        </w:tabs>
      </w:pPr>
      <w:r>
        <w:tab/>
      </w:r>
    </w:p>
    <w:p w14:paraId="4682F4C9" w14:textId="77777777" w:rsidR="00614DF1" w:rsidRDefault="00614DF1" w:rsidP="00614DF1"/>
    <w:p w14:paraId="28F59AFD" w14:textId="77777777" w:rsidR="00614DF1" w:rsidRDefault="00614DF1" w:rsidP="00614DF1">
      <w:pPr>
        <w:sectPr w:rsidR="00614DF1">
          <w:footerReference w:type="even" r:id="rId9"/>
          <w:footerReference w:type="default" r:id="rId10"/>
          <w:footerReference w:type="first" r:id="rId11"/>
          <w:pgSz w:w="11900" w:h="16840" w:code="9"/>
          <w:pgMar w:top="1418" w:right="1361" w:bottom="1418" w:left="1361" w:header="561" w:footer="561" w:gutter="0"/>
          <w:pgNumType w:start="1"/>
          <w:cols w:space="720"/>
          <w:titlePg/>
          <w:docGrid w:linePitch="299"/>
        </w:sectPr>
      </w:pPr>
    </w:p>
    <w:p w14:paraId="714798D3" w14:textId="77777777" w:rsidR="00614DF1" w:rsidRDefault="00614DF1" w:rsidP="00614DF1">
      <w:pPr>
        <w:pStyle w:val="PartHeading"/>
      </w:pPr>
      <w:bookmarkStart w:id="0" w:name="InsertFileHere"/>
      <w:bookmarkStart w:id="1" w:name="TOC"/>
      <w:bookmarkStart w:id="2" w:name="_Toc79672471"/>
      <w:bookmarkEnd w:id="0"/>
      <w:bookmarkEnd w:id="1"/>
      <w:r>
        <w:lastRenderedPageBreak/>
        <w:t>Introduction</w:t>
      </w:r>
      <w:bookmarkEnd w:id="2"/>
    </w:p>
    <w:p w14:paraId="3E1C44BE" w14:textId="0BCCA63B" w:rsidR="00867A23" w:rsidRDefault="00867A23" w:rsidP="00867A23">
      <w:pPr>
        <w:pStyle w:val="NumberLevel1"/>
        <w:numPr>
          <w:ilvl w:val="0"/>
          <w:numId w:val="4"/>
        </w:numPr>
        <w:tabs>
          <w:tab w:val="clear" w:pos="567"/>
        </w:tabs>
        <w:outlineLvl w:val="9"/>
      </w:pPr>
      <w:r>
        <w:t xml:space="preserve">On 25 March 2021, the Repatriation Medical Authority (the Authority) received a request from </w:t>
      </w:r>
      <w:r w:rsidR="00E77940">
        <w:t>the applicant</w:t>
      </w:r>
      <w:bookmarkStart w:id="3" w:name="_GoBack"/>
      <w:bookmarkEnd w:id="3"/>
      <w:r>
        <w:t>. The applicant sought a review, by way of an investigation, of</w:t>
      </w:r>
      <w:r w:rsidRPr="006A1B9A">
        <w:t xml:space="preserve"> </w:t>
      </w:r>
      <w:r>
        <w:t>the contents of the Statements of Principles (SOPs) concerning malignant neoplasm of the brain (Instrument Nos. 85 and 86 of 2016). The applicant requested that the Authority review the SOPs concerning malignant neoplasm of the brain (Instrument Nos. 85 and 86 of 2016) in relation to the following exposures:</w:t>
      </w:r>
    </w:p>
    <w:p w14:paraId="5D860849" w14:textId="77777777" w:rsidR="00867A23" w:rsidRDefault="00867A23" w:rsidP="00867A23">
      <w:pPr>
        <w:pStyle w:val="NumberLevel1"/>
        <w:numPr>
          <w:ilvl w:val="1"/>
          <w:numId w:val="4"/>
        </w:numPr>
        <w:outlineLvl w:val="9"/>
      </w:pPr>
      <w:r>
        <w:t>pesticides and herbicides; and</w:t>
      </w:r>
    </w:p>
    <w:p w14:paraId="79F8BB7F" w14:textId="77777777" w:rsidR="00867A23" w:rsidRPr="00EE2F35" w:rsidRDefault="00867A23" w:rsidP="00867A23">
      <w:pPr>
        <w:pStyle w:val="NumberLevel1"/>
        <w:numPr>
          <w:ilvl w:val="1"/>
          <w:numId w:val="4"/>
        </w:numPr>
        <w:outlineLvl w:val="9"/>
      </w:pPr>
      <w:proofErr w:type="gramStart"/>
      <w:r>
        <w:t>non-ionising</w:t>
      </w:r>
      <w:proofErr w:type="gramEnd"/>
      <w:r>
        <w:t xml:space="preserve"> radiation.</w:t>
      </w:r>
    </w:p>
    <w:p w14:paraId="563DF551" w14:textId="77777777" w:rsidR="00867A23" w:rsidRDefault="00867A23" w:rsidP="00867A23">
      <w:pPr>
        <w:pStyle w:val="NumberLevel1"/>
        <w:numPr>
          <w:ilvl w:val="0"/>
          <w:numId w:val="4"/>
        </w:numPr>
        <w:outlineLvl w:val="9"/>
      </w:pPr>
      <w:r w:rsidRPr="00E504A1">
        <w:t xml:space="preserve">The request for review was made under s 196E of the </w:t>
      </w:r>
      <w:r w:rsidRPr="00E504A1">
        <w:rPr>
          <w:i/>
        </w:rPr>
        <w:t>Veterans' Entitlements Act 1986</w:t>
      </w:r>
      <w:r>
        <w:rPr>
          <w:i/>
        </w:rPr>
        <w:t xml:space="preserve"> </w:t>
      </w:r>
      <w:r w:rsidRPr="009A5DAE">
        <w:t>(the</w:t>
      </w:r>
      <w:r w:rsidRPr="00E504A1">
        <w:t xml:space="preserve"> VEA) by </w:t>
      </w:r>
      <w:r w:rsidRPr="00AD04E1">
        <w:t>an organisation representing veterans, Australian mariners, members of the Forces, members of Peacekeeping Forces, or members within the meaning of the MRCA, or their dependants</w:t>
      </w:r>
      <w:r w:rsidRPr="00E504A1">
        <w:t>.</w:t>
      </w:r>
    </w:p>
    <w:p w14:paraId="64C5DB8A" w14:textId="5926CA1B" w:rsidR="00867A23" w:rsidRDefault="00867A23" w:rsidP="00867A23">
      <w:pPr>
        <w:pStyle w:val="NumberLevel1"/>
        <w:numPr>
          <w:ilvl w:val="0"/>
          <w:numId w:val="4"/>
        </w:numPr>
        <w:tabs>
          <w:tab w:val="clear" w:pos="567"/>
        </w:tabs>
        <w:outlineLvl w:val="9"/>
      </w:pPr>
      <w:r>
        <w:t>At its meeting on 5 May 2021, the Authority decided not to review the contents of the SOPs concerning malignant neoplasm of the brain in relation to herbicides generally or non-ionising radiation. A statement of reasons for this decision was issued to the applicant on 21 May 2021.</w:t>
      </w:r>
    </w:p>
    <w:p w14:paraId="2229AB60" w14:textId="0A1C27D0" w:rsidR="006952E4" w:rsidRDefault="00867A23" w:rsidP="00867A23">
      <w:pPr>
        <w:pStyle w:val="NumberLevel1"/>
        <w:numPr>
          <w:ilvl w:val="0"/>
          <w:numId w:val="4"/>
        </w:numPr>
        <w:tabs>
          <w:tab w:val="clear" w:pos="567"/>
        </w:tabs>
        <w:outlineLvl w:val="9"/>
      </w:pPr>
      <w:r>
        <w:t xml:space="preserve">However, after an initial review of the available sound medical-scientific evidence (SMSE) the Authority decided to conduct a focussed review </w:t>
      </w:r>
      <w:r w:rsidRPr="000F5307">
        <w:t>in relation to exposure to carbamate insecticides and fungicides as a factor for malignant neoplasm of the brain</w:t>
      </w:r>
      <w:r>
        <w:t xml:space="preserve">. </w:t>
      </w:r>
      <w:r w:rsidR="006952E4">
        <w:t>A notice of investigation advertising this focussed review was published in the Government Notices Gazette on 1 June 2021.</w:t>
      </w:r>
    </w:p>
    <w:p w14:paraId="44A47619" w14:textId="091FC087" w:rsidR="00DF012E" w:rsidRDefault="00867A23" w:rsidP="00867A23">
      <w:pPr>
        <w:pStyle w:val="NumberLevel1"/>
        <w:numPr>
          <w:ilvl w:val="0"/>
          <w:numId w:val="4"/>
        </w:numPr>
        <w:tabs>
          <w:tab w:val="clear" w:pos="567"/>
        </w:tabs>
        <w:outlineLvl w:val="9"/>
      </w:pPr>
      <w:r>
        <w:t xml:space="preserve">Having completed the review, the Authority decided at its meeting on 4 August 2021 not to amend the SOPs concerning malignant neoplasm of the brain to include a factor in relation to </w:t>
      </w:r>
      <w:r w:rsidRPr="000F5307">
        <w:t>exposure to carbamate insecticides and fungicides</w:t>
      </w:r>
      <w:r>
        <w:t xml:space="preserve">. This Statement of Reasons provides the Authority's reasons for deciding not to amend the SOPs </w:t>
      </w:r>
      <w:r w:rsidR="00BE2CC2">
        <w:t>to include such a factor.</w:t>
      </w:r>
    </w:p>
    <w:p w14:paraId="66C0DA15" w14:textId="77777777" w:rsidR="00614DF1" w:rsidRDefault="00614DF1" w:rsidP="00614DF1">
      <w:pPr>
        <w:pStyle w:val="PartHeading"/>
      </w:pPr>
      <w:bookmarkStart w:id="4" w:name="_Toc79672472"/>
      <w:r>
        <w:t>Background to the Request</w:t>
      </w:r>
      <w:bookmarkEnd w:id="4"/>
      <w:r>
        <w:t xml:space="preserve"> </w:t>
      </w:r>
    </w:p>
    <w:p w14:paraId="04E2C0A4" w14:textId="77777777" w:rsidR="00BE2CC2" w:rsidRDefault="00BE2CC2" w:rsidP="00BE2CC2">
      <w:pPr>
        <w:pStyle w:val="NumberLevel1"/>
        <w:numPr>
          <w:ilvl w:val="0"/>
          <w:numId w:val="4"/>
        </w:numPr>
      </w:pPr>
      <w:r>
        <w:t>The applicant requested that the Authority consider adding the following factors to the SOPs concerning malignant neoplasm of the brain (Instrument Nos. 85 and 86 of 2016):</w:t>
      </w:r>
    </w:p>
    <w:p w14:paraId="0A04FAFE" w14:textId="77777777" w:rsidR="00BE2CC2" w:rsidRDefault="00BE2CC2" w:rsidP="00BE2CC2">
      <w:pPr>
        <w:pStyle w:val="NumberLevel1"/>
        <w:numPr>
          <w:ilvl w:val="1"/>
          <w:numId w:val="15"/>
        </w:numPr>
        <w:tabs>
          <w:tab w:val="clear" w:pos="927"/>
          <w:tab w:val="num" w:pos="1134"/>
        </w:tabs>
        <w:ind w:left="1134" w:hanging="567"/>
        <w:outlineLvl w:val="9"/>
      </w:pPr>
      <w:r>
        <w:t>exposure to pesticides and herbicides; and</w:t>
      </w:r>
    </w:p>
    <w:p w14:paraId="7C1DAA93" w14:textId="77777777" w:rsidR="00BE2CC2" w:rsidRDefault="00BE2CC2" w:rsidP="00BE2CC2">
      <w:pPr>
        <w:pStyle w:val="NumberLevel1"/>
        <w:numPr>
          <w:ilvl w:val="1"/>
          <w:numId w:val="15"/>
        </w:numPr>
        <w:tabs>
          <w:tab w:val="clear" w:pos="927"/>
          <w:tab w:val="num" w:pos="1134"/>
        </w:tabs>
        <w:ind w:left="1134" w:hanging="567"/>
        <w:outlineLvl w:val="9"/>
      </w:pPr>
      <w:proofErr w:type="gramStart"/>
      <w:r>
        <w:t>exposure</w:t>
      </w:r>
      <w:proofErr w:type="gramEnd"/>
      <w:r>
        <w:t xml:space="preserve"> to non-ionising radiation.</w:t>
      </w:r>
    </w:p>
    <w:p w14:paraId="1925D479" w14:textId="3A261BF0" w:rsidR="00BE2CC2" w:rsidRDefault="00BE2CC2" w:rsidP="00BE2CC2">
      <w:pPr>
        <w:pStyle w:val="NumberLevel1"/>
        <w:tabs>
          <w:tab w:val="clear" w:pos="360"/>
        </w:tabs>
        <w:ind w:left="567" w:firstLine="0"/>
      </w:pPr>
      <w:r>
        <w:t xml:space="preserve">Each of these requests was supported by a single ground. However, only the information related to exposure to pesticides and herbicides is presently relevant. </w:t>
      </w:r>
    </w:p>
    <w:p w14:paraId="5B54DE3A" w14:textId="77777777" w:rsidR="00BE2CC2" w:rsidRDefault="00BE2CC2" w:rsidP="00BE2CC2">
      <w:pPr>
        <w:pStyle w:val="NumberLevel1"/>
        <w:tabs>
          <w:tab w:val="clear" w:pos="360"/>
        </w:tabs>
      </w:pPr>
      <w:r>
        <w:rPr>
          <w:b/>
        </w:rPr>
        <w:t>Pesticides and herbicides</w:t>
      </w:r>
    </w:p>
    <w:p w14:paraId="70913A47" w14:textId="5B11BA81" w:rsidR="00BE2CC2" w:rsidRDefault="00BE2CC2" w:rsidP="00BE2CC2">
      <w:pPr>
        <w:pStyle w:val="NumberLevel1"/>
        <w:numPr>
          <w:ilvl w:val="0"/>
          <w:numId w:val="4"/>
        </w:numPr>
      </w:pPr>
      <w:r>
        <w:t xml:space="preserve">The applicant stated that 'I have been requested by a family member for the RMA to review this SOP as the family member believes that information coming out of the USA supports a (tenuous) link between MN of Brain and pesticide and herbicide exposure'. </w:t>
      </w:r>
    </w:p>
    <w:p w14:paraId="61DE40B8" w14:textId="0AC632A2" w:rsidR="00BE2CC2" w:rsidRDefault="00BE2CC2" w:rsidP="00BE2CC2">
      <w:pPr>
        <w:pStyle w:val="NumberLevel1"/>
        <w:numPr>
          <w:ilvl w:val="0"/>
          <w:numId w:val="4"/>
        </w:numPr>
      </w:pPr>
      <w:r>
        <w:lastRenderedPageBreak/>
        <w:t>In support of this ground, the applicant provided three papers published in academic journals</w:t>
      </w:r>
      <w:r>
        <w:rPr>
          <w:rStyle w:val="FootnoteReference"/>
        </w:rPr>
        <w:footnoteReference w:id="1"/>
      </w:r>
      <w:r>
        <w:t>, and one feature article published in the online news website 'The Daily Beast'</w:t>
      </w:r>
      <w:r>
        <w:rPr>
          <w:rStyle w:val="FootnoteReference"/>
        </w:rPr>
        <w:footnoteReference w:id="2"/>
      </w:r>
      <w:r>
        <w:t>. The Authority made the following observations in relation to this supporting information:</w:t>
      </w:r>
    </w:p>
    <w:p w14:paraId="2665B108" w14:textId="77777777" w:rsidR="00BE2CC2" w:rsidRDefault="00BE2CC2" w:rsidP="00BE2CC2">
      <w:pPr>
        <w:pStyle w:val="NumberLevel1"/>
        <w:numPr>
          <w:ilvl w:val="1"/>
          <w:numId w:val="15"/>
        </w:numPr>
        <w:tabs>
          <w:tab w:val="clear" w:pos="927"/>
          <w:tab w:val="num" w:pos="1134"/>
        </w:tabs>
        <w:ind w:left="1134" w:hanging="567"/>
        <w:outlineLvl w:val="9"/>
      </w:pPr>
      <w:r>
        <w:t>two of the three academic papers addressed malignant neoplasm of the brain in agricultural workers and farmers (</w:t>
      </w:r>
      <w:proofErr w:type="spellStart"/>
      <w:r>
        <w:t>Fallahi</w:t>
      </w:r>
      <w:proofErr w:type="spellEnd"/>
      <w:r>
        <w:t xml:space="preserve"> et al (2017) and Lee et al (2005)), while the third paper (Hagan et al (2017)) was not relevant to the topic of this request;</w:t>
      </w:r>
    </w:p>
    <w:p w14:paraId="26453FBF" w14:textId="77777777" w:rsidR="00BE2CC2" w:rsidRDefault="00BE2CC2" w:rsidP="00BE2CC2">
      <w:pPr>
        <w:pStyle w:val="NumberLevel1"/>
        <w:numPr>
          <w:ilvl w:val="1"/>
          <w:numId w:val="15"/>
        </w:numPr>
        <w:tabs>
          <w:tab w:val="clear" w:pos="927"/>
          <w:tab w:val="num" w:pos="1134"/>
        </w:tabs>
        <w:ind w:left="1134" w:hanging="567"/>
        <w:outlineLvl w:val="9"/>
      </w:pPr>
      <w:proofErr w:type="gramStart"/>
      <w:r>
        <w:t>the</w:t>
      </w:r>
      <w:proofErr w:type="gramEnd"/>
      <w:r>
        <w:t xml:space="preserve"> article in The Daily Beast would not meet the definition of 'sound medical-scientific evidence' (SMSE) in subsection 5AB(2) of the VEA, and it is </w:t>
      </w:r>
      <w:r w:rsidRPr="004337F2">
        <w:t>only</w:t>
      </w:r>
      <w:r>
        <w:t xml:space="preserve"> SMSE on which the Authority is permitted to rely in forming any view during an investigation (subsection 196C(3), VEA). </w:t>
      </w:r>
    </w:p>
    <w:p w14:paraId="49368CD1" w14:textId="0E413FFC" w:rsidR="00BE2CC2" w:rsidRDefault="00BE2CC2" w:rsidP="00BE2CC2">
      <w:pPr>
        <w:pStyle w:val="NumberLevel1"/>
        <w:keepLines/>
        <w:numPr>
          <w:ilvl w:val="0"/>
          <w:numId w:val="4"/>
        </w:numPr>
      </w:pPr>
      <w:r>
        <w:t>Consequently, of the information provided in support of the request, the Authority had regard only to the two academic papers (</w:t>
      </w:r>
      <w:proofErr w:type="spellStart"/>
      <w:r>
        <w:t>Fallahi</w:t>
      </w:r>
      <w:proofErr w:type="spellEnd"/>
      <w:r>
        <w:t xml:space="preserve"> et al (2017) and Lee et al (2005)) which were relevant to the topic of the association between exposure to pesticides and herbicides and malignant neoplasm of the brain.</w:t>
      </w:r>
    </w:p>
    <w:p w14:paraId="7325E237" w14:textId="7F304353" w:rsidR="00614DF1" w:rsidRDefault="008128F5" w:rsidP="00614DF1">
      <w:pPr>
        <w:pStyle w:val="PartHeading"/>
      </w:pPr>
      <w:bookmarkStart w:id="5" w:name="_Toc79672473"/>
      <w:r>
        <w:t>Evidence</w:t>
      </w:r>
      <w:r w:rsidR="00614DF1">
        <w:t xml:space="preserve"> Previously Considered by the Authority</w:t>
      </w:r>
      <w:bookmarkEnd w:id="5"/>
    </w:p>
    <w:p w14:paraId="2FB2E41D" w14:textId="77777777" w:rsidR="00BE2CC2" w:rsidRPr="00C52668" w:rsidRDefault="00BE2CC2" w:rsidP="00BE2CC2">
      <w:pPr>
        <w:pStyle w:val="NumberLevel1"/>
        <w:keepNext/>
        <w:keepLines/>
        <w:numPr>
          <w:ilvl w:val="0"/>
          <w:numId w:val="4"/>
        </w:numPr>
        <w:outlineLvl w:val="9"/>
      </w:pPr>
      <w:r w:rsidRPr="00C52668">
        <w:t xml:space="preserve">At the time that the </w:t>
      </w:r>
      <w:r>
        <w:t>SOPs</w:t>
      </w:r>
      <w:r w:rsidRPr="00F97A62">
        <w:t xml:space="preserve"> concerning </w:t>
      </w:r>
      <w:r>
        <w:t>malignant neoplasm of the brain</w:t>
      </w:r>
      <w:r>
        <w:rPr>
          <w:i/>
        </w:rPr>
        <w:t xml:space="preserve"> </w:t>
      </w:r>
      <w:r w:rsidRPr="00F97A62">
        <w:t>(No</w:t>
      </w:r>
      <w:r>
        <w:t>s</w:t>
      </w:r>
      <w:r w:rsidRPr="00F97A62">
        <w:t xml:space="preserve">. </w:t>
      </w:r>
      <w:r>
        <w:t xml:space="preserve">85 and 86 </w:t>
      </w:r>
      <w:r w:rsidRPr="00F97A62">
        <w:t>of</w:t>
      </w:r>
      <w:r>
        <w:t xml:space="preserve"> 2016</w:t>
      </w:r>
      <w:r w:rsidRPr="00F97A62">
        <w:t>)</w:t>
      </w:r>
      <w:r>
        <w:t xml:space="preserve"> were </w:t>
      </w:r>
      <w:r w:rsidRPr="00C52668">
        <w:t>determined, the Authority had before it information including:</w:t>
      </w:r>
    </w:p>
    <w:p w14:paraId="7CE5F4C3" w14:textId="77777777" w:rsidR="00BE2CC2" w:rsidRPr="00C52668" w:rsidRDefault="00BE2CC2" w:rsidP="00BE2CC2">
      <w:pPr>
        <w:pStyle w:val="ListParagraph"/>
        <w:keepNext/>
        <w:keepLines/>
        <w:numPr>
          <w:ilvl w:val="0"/>
          <w:numId w:val="11"/>
        </w:numPr>
        <w:spacing w:before="120"/>
        <w:ind w:left="993" w:hanging="426"/>
        <w:rPr>
          <w:rFonts w:ascii="Arial" w:hAnsi="Arial" w:cs="Arial"/>
          <w:sz w:val="22"/>
          <w:szCs w:val="22"/>
        </w:rPr>
      </w:pPr>
      <w:r w:rsidRPr="00C52668">
        <w:rPr>
          <w:rFonts w:ascii="Arial" w:hAnsi="Arial" w:cs="Arial"/>
          <w:sz w:val="22"/>
          <w:szCs w:val="22"/>
        </w:rPr>
        <w:t xml:space="preserve">briefing papers prepared in </w:t>
      </w:r>
      <w:r>
        <w:rPr>
          <w:rFonts w:ascii="Arial" w:hAnsi="Arial" w:cs="Arial"/>
          <w:sz w:val="22"/>
          <w:szCs w:val="22"/>
        </w:rPr>
        <w:t>October 2016</w:t>
      </w:r>
      <w:r w:rsidRPr="00C52668">
        <w:rPr>
          <w:rFonts w:ascii="Arial" w:hAnsi="Arial" w:cs="Arial"/>
          <w:sz w:val="22"/>
          <w:szCs w:val="22"/>
        </w:rPr>
        <w:t xml:space="preserve"> by a Repatriation Medical Authority medical researcher; and</w:t>
      </w:r>
      <w:r>
        <w:rPr>
          <w:rFonts w:ascii="Arial" w:hAnsi="Arial" w:cs="Arial"/>
          <w:sz w:val="22"/>
          <w:szCs w:val="22"/>
        </w:rPr>
        <w:t xml:space="preserve"> </w:t>
      </w:r>
    </w:p>
    <w:p w14:paraId="1803A42D" w14:textId="1CEBE0F1" w:rsidR="00614DF1" w:rsidRPr="00C52668" w:rsidRDefault="00BE2CC2" w:rsidP="00BE2CC2">
      <w:pPr>
        <w:pStyle w:val="NumberLevel1"/>
        <w:numPr>
          <w:ilvl w:val="0"/>
          <w:numId w:val="11"/>
        </w:numPr>
        <w:spacing w:before="0"/>
        <w:ind w:left="993" w:hanging="426"/>
        <w:outlineLvl w:val="9"/>
      </w:pPr>
      <w:proofErr w:type="gramStart"/>
      <w:r w:rsidRPr="00C52668">
        <w:t>an</w:t>
      </w:r>
      <w:proofErr w:type="gramEnd"/>
      <w:r w:rsidRPr="00C52668">
        <w:t xml:space="preserve"> extensive number of articles published in the peer-reviewed literature.</w:t>
      </w:r>
    </w:p>
    <w:p w14:paraId="5EBE230B" w14:textId="77777777" w:rsidR="00614DF1" w:rsidRDefault="00614DF1" w:rsidP="00614DF1">
      <w:pPr>
        <w:pStyle w:val="PartHeading"/>
      </w:pPr>
      <w:bookmarkStart w:id="6" w:name="_Toc79672474"/>
      <w:r>
        <w:t>New Information Considered by the Authority</w:t>
      </w:r>
      <w:bookmarkEnd w:id="6"/>
    </w:p>
    <w:p w14:paraId="7A0637E6" w14:textId="75BD219A" w:rsidR="00614DF1" w:rsidRDefault="00BE2CC2" w:rsidP="00097496">
      <w:pPr>
        <w:pStyle w:val="NumberLevel1"/>
        <w:numPr>
          <w:ilvl w:val="0"/>
          <w:numId w:val="4"/>
        </w:numPr>
        <w:outlineLvl w:val="9"/>
        <w:rPr>
          <w:szCs w:val="24"/>
        </w:rPr>
      </w:pPr>
      <w:r w:rsidRPr="001E082D">
        <w:rPr>
          <w:szCs w:val="24"/>
        </w:rPr>
        <w:t>The information provided by the applicant, identified above, was considered.</w:t>
      </w:r>
      <w:r>
        <w:rPr>
          <w:szCs w:val="24"/>
        </w:rPr>
        <w:t xml:space="preserve"> </w:t>
      </w:r>
      <w:r w:rsidRPr="00097496">
        <w:rPr>
          <w:szCs w:val="24"/>
        </w:rPr>
        <w:t>A discussion paper that considered the information supplied by the applicant and other available relevant SMSE was prepared by a Repatriation Medic</w:t>
      </w:r>
      <w:r>
        <w:rPr>
          <w:szCs w:val="24"/>
        </w:rPr>
        <w:t>al Authority medical researcher for</w:t>
      </w:r>
      <w:r w:rsidR="00D96B81">
        <w:rPr>
          <w:szCs w:val="24"/>
        </w:rPr>
        <w:t xml:space="preserve"> the Authority's meeting held on </w:t>
      </w:r>
      <w:r>
        <w:rPr>
          <w:szCs w:val="24"/>
        </w:rPr>
        <w:t>5 May</w:t>
      </w:r>
      <w:r w:rsidR="00D96B81">
        <w:rPr>
          <w:szCs w:val="24"/>
        </w:rPr>
        <w:t xml:space="preserve"> 2021.</w:t>
      </w:r>
    </w:p>
    <w:p w14:paraId="36555742" w14:textId="3428CBFB" w:rsidR="00D96B81" w:rsidRPr="00097496" w:rsidRDefault="00D96B81" w:rsidP="00097496">
      <w:pPr>
        <w:pStyle w:val="NumberLevel1"/>
        <w:numPr>
          <w:ilvl w:val="0"/>
          <w:numId w:val="4"/>
        </w:numPr>
        <w:outlineLvl w:val="9"/>
        <w:rPr>
          <w:szCs w:val="24"/>
        </w:rPr>
      </w:pPr>
      <w:r>
        <w:rPr>
          <w:szCs w:val="24"/>
        </w:rPr>
        <w:t xml:space="preserve">A briefing paper </w:t>
      </w:r>
      <w:r w:rsidR="008E26CC">
        <w:rPr>
          <w:szCs w:val="24"/>
        </w:rPr>
        <w:t xml:space="preserve">providing a more detailed analysis of the current SMSE </w:t>
      </w:r>
      <w:r>
        <w:rPr>
          <w:szCs w:val="24"/>
        </w:rPr>
        <w:t xml:space="preserve">was prepared by a medical researcher for the Authority's </w:t>
      </w:r>
      <w:r w:rsidR="008E26CC">
        <w:rPr>
          <w:szCs w:val="24"/>
        </w:rPr>
        <w:t xml:space="preserve">meeting held on </w:t>
      </w:r>
      <w:r w:rsidR="00BE2CC2">
        <w:rPr>
          <w:szCs w:val="24"/>
        </w:rPr>
        <w:t>4 August</w:t>
      </w:r>
      <w:r w:rsidR="008E26CC">
        <w:rPr>
          <w:szCs w:val="24"/>
        </w:rPr>
        <w:t xml:space="preserve"> 2021, as part of the focussed review into '</w:t>
      </w:r>
      <w:r w:rsidR="00BE2CC2">
        <w:rPr>
          <w:szCs w:val="24"/>
        </w:rPr>
        <w:t>exposure to carbamate insecticides and fungicides</w:t>
      </w:r>
      <w:r w:rsidR="008E26CC">
        <w:rPr>
          <w:szCs w:val="24"/>
        </w:rPr>
        <w:t xml:space="preserve">' as a factor in malignant neoplasm of the </w:t>
      </w:r>
      <w:r w:rsidR="00BE2CC2">
        <w:rPr>
          <w:szCs w:val="24"/>
        </w:rPr>
        <w:t>brain</w:t>
      </w:r>
      <w:r w:rsidR="008E26CC">
        <w:rPr>
          <w:szCs w:val="24"/>
        </w:rPr>
        <w:t xml:space="preserve">. </w:t>
      </w:r>
    </w:p>
    <w:p w14:paraId="5B9B5FCC" w14:textId="7275CCE7" w:rsidR="00614DF1" w:rsidRDefault="00614DF1" w:rsidP="00BE2CC2">
      <w:pPr>
        <w:pStyle w:val="PartHeading"/>
      </w:pPr>
      <w:bookmarkStart w:id="7" w:name="_Toc79672475"/>
      <w:r>
        <w:lastRenderedPageBreak/>
        <w:t xml:space="preserve">Summary of New and Existing </w:t>
      </w:r>
      <w:r w:rsidR="008128F5">
        <w:t>Evidence</w:t>
      </w:r>
      <w:bookmarkEnd w:id="7"/>
    </w:p>
    <w:p w14:paraId="3A4D9CBC" w14:textId="77777777" w:rsidR="00BE2CC2" w:rsidRPr="00896B69" w:rsidRDefault="00BE2CC2" w:rsidP="00BE2CC2">
      <w:pPr>
        <w:pStyle w:val="NumberLevel1"/>
        <w:keepNext/>
        <w:keepLines/>
        <w:numPr>
          <w:ilvl w:val="0"/>
          <w:numId w:val="4"/>
        </w:numPr>
        <w:rPr>
          <w:szCs w:val="24"/>
        </w:rPr>
      </w:pPr>
      <w:r w:rsidRPr="00896B69">
        <w:rPr>
          <w:szCs w:val="24"/>
        </w:rPr>
        <w:t>Findings of the available SMSE that was considered at the last full investigation, as well as recently published reviews and other studies, are insufficient to suggest a causal association between herbicides or specific herbicides and malignant neoplasm of the brain.</w:t>
      </w:r>
    </w:p>
    <w:p w14:paraId="4E82AD7D" w14:textId="77777777" w:rsidR="00BE2CC2" w:rsidRPr="00896B69" w:rsidRDefault="00BE2CC2" w:rsidP="00BE2CC2">
      <w:pPr>
        <w:pStyle w:val="NumberLevel1"/>
        <w:numPr>
          <w:ilvl w:val="0"/>
          <w:numId w:val="4"/>
        </w:numPr>
        <w:rPr>
          <w:szCs w:val="24"/>
        </w:rPr>
      </w:pPr>
      <w:r w:rsidRPr="00896B69">
        <w:rPr>
          <w:szCs w:val="24"/>
        </w:rPr>
        <w:t xml:space="preserve">The American case-control study by Lee et al (2005) cited by the applicant had already </w:t>
      </w:r>
      <w:r>
        <w:rPr>
          <w:szCs w:val="24"/>
        </w:rPr>
        <w:t>been</w:t>
      </w:r>
      <w:r w:rsidRPr="00896B69">
        <w:rPr>
          <w:szCs w:val="24"/>
        </w:rPr>
        <w:t xml:space="preserve"> considered in the previous investigation and had significant methodological limitations. Some isolated positive associations were observed in males but not females, m</w:t>
      </w:r>
      <w:r w:rsidRPr="00896B69">
        <w:rPr>
          <w:color w:val="000000"/>
          <w:shd w:val="clear" w:color="auto" w:fill="FFFFFF"/>
        </w:rPr>
        <w:t>ost of the positive associations were limited to proxy respondents and the study was retrospective and subject to recall bias.</w:t>
      </w:r>
      <w:r w:rsidRPr="00896B69">
        <w:rPr>
          <w:szCs w:val="24"/>
        </w:rPr>
        <w:t xml:space="preserve"> The other article provided by the applicant (</w:t>
      </w:r>
      <w:proofErr w:type="spellStart"/>
      <w:r w:rsidRPr="00896B69">
        <w:rPr>
          <w:szCs w:val="24"/>
        </w:rPr>
        <w:t>Fallahi</w:t>
      </w:r>
      <w:proofErr w:type="spellEnd"/>
      <w:r w:rsidRPr="00896B69">
        <w:rPr>
          <w:szCs w:val="24"/>
        </w:rPr>
        <w:t xml:space="preserve"> et al 2017), related to farming as a risk factor without specification of herbicide use. </w:t>
      </w:r>
    </w:p>
    <w:p w14:paraId="4EF3B1ED" w14:textId="0FE179D6" w:rsidR="00BE2CC2" w:rsidRPr="00BE2CC2" w:rsidRDefault="00BE2CC2" w:rsidP="00BE2CC2">
      <w:pPr>
        <w:pStyle w:val="NumberLevel1"/>
        <w:numPr>
          <w:ilvl w:val="0"/>
          <w:numId w:val="4"/>
        </w:numPr>
        <w:rPr>
          <w:szCs w:val="24"/>
        </w:rPr>
      </w:pPr>
      <w:r w:rsidRPr="00896B69">
        <w:rPr>
          <w:szCs w:val="24"/>
        </w:rPr>
        <w:t xml:space="preserve">A search of the literature located </w:t>
      </w:r>
      <w:r w:rsidRPr="00BE2CC2">
        <w:rPr>
          <w:szCs w:val="24"/>
        </w:rPr>
        <w:t xml:space="preserve">one cohort study and one case-control study </w:t>
      </w:r>
      <w:r w:rsidR="000A788D">
        <w:rPr>
          <w:szCs w:val="24"/>
        </w:rPr>
        <w:t>which found</w:t>
      </w:r>
      <w:r w:rsidR="000A788D" w:rsidRPr="00BE2CC2">
        <w:rPr>
          <w:szCs w:val="24"/>
        </w:rPr>
        <w:t xml:space="preserve"> </w:t>
      </w:r>
      <w:r w:rsidRPr="00BE2CC2">
        <w:rPr>
          <w:szCs w:val="24"/>
        </w:rPr>
        <w:t>significant positive associations between glioma and use of carbamate insecticides (</w:t>
      </w:r>
      <w:proofErr w:type="spellStart"/>
      <w:r w:rsidRPr="00BE2CC2">
        <w:rPr>
          <w:szCs w:val="24"/>
        </w:rPr>
        <w:t>Piel</w:t>
      </w:r>
      <w:proofErr w:type="spellEnd"/>
      <w:r w:rsidRPr="00BE2CC2">
        <w:rPr>
          <w:szCs w:val="24"/>
        </w:rPr>
        <w:t xml:space="preserve"> et al 2019a)</w:t>
      </w:r>
      <w:r w:rsidR="00E51A46">
        <w:rPr>
          <w:rStyle w:val="FootnoteReference"/>
          <w:szCs w:val="24"/>
        </w:rPr>
        <w:footnoteReference w:id="3"/>
      </w:r>
      <w:r w:rsidRPr="00BE2CC2">
        <w:rPr>
          <w:szCs w:val="24"/>
        </w:rPr>
        <w:t xml:space="preserve"> and specific carbamate insecticides (</w:t>
      </w:r>
      <w:proofErr w:type="spellStart"/>
      <w:r w:rsidRPr="00BE2CC2">
        <w:rPr>
          <w:szCs w:val="24"/>
        </w:rPr>
        <w:t>Piel</w:t>
      </w:r>
      <w:proofErr w:type="spellEnd"/>
      <w:r w:rsidRPr="00BE2CC2">
        <w:rPr>
          <w:szCs w:val="24"/>
        </w:rPr>
        <w:t xml:space="preserve"> et al 2019a, Lee et al 2005). One cohort study (</w:t>
      </w:r>
      <w:proofErr w:type="spellStart"/>
      <w:r w:rsidRPr="00BE2CC2">
        <w:rPr>
          <w:szCs w:val="24"/>
        </w:rPr>
        <w:t>Piel</w:t>
      </w:r>
      <w:proofErr w:type="spellEnd"/>
      <w:r w:rsidRPr="00BE2CC2">
        <w:rPr>
          <w:szCs w:val="24"/>
        </w:rPr>
        <w:t xml:space="preserve"> et al 2019b)</w:t>
      </w:r>
      <w:r w:rsidR="00E51A46">
        <w:rPr>
          <w:rStyle w:val="FootnoteReference"/>
          <w:szCs w:val="24"/>
        </w:rPr>
        <w:footnoteReference w:id="4"/>
      </w:r>
      <w:r w:rsidRPr="00BE2CC2">
        <w:rPr>
          <w:szCs w:val="24"/>
        </w:rPr>
        <w:t xml:space="preserve"> found significant positive associations between glioma and use of carbamate fungicides, as well as specific carbamate fungicides. An earlier study of this cohort (</w:t>
      </w:r>
      <w:proofErr w:type="spellStart"/>
      <w:r w:rsidRPr="00BE2CC2">
        <w:rPr>
          <w:szCs w:val="24"/>
        </w:rPr>
        <w:t>Lemarchand</w:t>
      </w:r>
      <w:proofErr w:type="spellEnd"/>
      <w:r w:rsidRPr="00BE2CC2">
        <w:rPr>
          <w:szCs w:val="24"/>
        </w:rPr>
        <w:t xml:space="preserve"> et al 2017)</w:t>
      </w:r>
      <w:r w:rsidR="00E51A46">
        <w:rPr>
          <w:rStyle w:val="FootnoteReference"/>
          <w:szCs w:val="24"/>
        </w:rPr>
        <w:footnoteReference w:id="5"/>
      </w:r>
      <w:r w:rsidRPr="00BE2CC2">
        <w:rPr>
          <w:szCs w:val="24"/>
        </w:rPr>
        <w:t xml:space="preserve"> reported that glioma risks were not significantly increased in any category, including those who used pesticides on crops.</w:t>
      </w:r>
    </w:p>
    <w:p w14:paraId="5A059C22" w14:textId="4B5FEF72" w:rsidR="00BE2CC2" w:rsidRDefault="00BE2CC2" w:rsidP="00BE2CC2">
      <w:pPr>
        <w:pStyle w:val="NumberLevel1"/>
        <w:numPr>
          <w:ilvl w:val="0"/>
          <w:numId w:val="4"/>
        </w:numPr>
        <w:outlineLvl w:val="9"/>
        <w:rPr>
          <w:szCs w:val="24"/>
        </w:rPr>
      </w:pPr>
      <w:r w:rsidRPr="00BE2CC2">
        <w:rPr>
          <w:szCs w:val="24"/>
        </w:rPr>
        <w:t>The two French cohort studies found significant or borderline significant linear trends with duration of use for most individual carbamates. Conversely, a US case-control study (</w:t>
      </w:r>
      <w:proofErr w:type="spellStart"/>
      <w:r w:rsidRPr="00BE2CC2">
        <w:rPr>
          <w:szCs w:val="24"/>
        </w:rPr>
        <w:t>Yiin</w:t>
      </w:r>
      <w:proofErr w:type="spellEnd"/>
      <w:r w:rsidRPr="00BE2CC2">
        <w:rPr>
          <w:szCs w:val="24"/>
        </w:rPr>
        <w:t xml:space="preserve"> et al 2012)</w:t>
      </w:r>
      <w:r w:rsidR="00E51A46">
        <w:rPr>
          <w:rStyle w:val="FootnoteReference"/>
          <w:szCs w:val="24"/>
        </w:rPr>
        <w:footnoteReference w:id="6"/>
      </w:r>
      <w:r w:rsidRPr="00BE2CC2">
        <w:rPr>
          <w:szCs w:val="24"/>
        </w:rPr>
        <w:t xml:space="preserve"> found no significant positive associations with glioma with cumulative years or estimated lifetime cumulative exposure of any class of farm </w:t>
      </w:r>
      <w:r w:rsidR="00E51A46">
        <w:rPr>
          <w:szCs w:val="24"/>
        </w:rPr>
        <w:t>pesticide, including carbamates</w:t>
      </w:r>
      <w:r w:rsidR="000A788D">
        <w:rPr>
          <w:szCs w:val="24"/>
        </w:rPr>
        <w:t>.</w:t>
      </w:r>
    </w:p>
    <w:p w14:paraId="22113E71" w14:textId="3602D299" w:rsidR="00E51A46" w:rsidRPr="00E51A46" w:rsidRDefault="00E51A46" w:rsidP="00BE2CC2">
      <w:pPr>
        <w:pStyle w:val="NumberLevel1"/>
        <w:numPr>
          <w:ilvl w:val="0"/>
          <w:numId w:val="4"/>
        </w:numPr>
        <w:outlineLvl w:val="9"/>
        <w:rPr>
          <w:szCs w:val="24"/>
        </w:rPr>
      </w:pPr>
      <w:r>
        <w:t xml:space="preserve">While some studies have found increased risk of gliomas or brain tumours in farmers or in association with pesticide use, particular </w:t>
      </w:r>
      <w:r w:rsidR="000A788D">
        <w:t xml:space="preserve">chemicals </w:t>
      </w:r>
      <w:r>
        <w:t>remain difficult to identify. A problem with studies of multiple chemical exposures is collinearity</w:t>
      </w:r>
      <w:r w:rsidR="000A788D">
        <w:t>;</w:t>
      </w:r>
      <w:r>
        <w:t xml:space="preserve"> </w:t>
      </w:r>
      <w:r w:rsidR="000A788D">
        <w:t>s</w:t>
      </w:r>
      <w:r>
        <w:t xml:space="preserve">ome positive associations could be explained by co-exposures to other carbamates or other chemical groups such as organophosphates, organochlorines or inorganic chemicals. </w:t>
      </w:r>
    </w:p>
    <w:p w14:paraId="555596A5" w14:textId="673941C0" w:rsidR="00E51A46" w:rsidRPr="00530741" w:rsidRDefault="00E51A46" w:rsidP="00BE2CC2">
      <w:pPr>
        <w:pStyle w:val="NumberLevel1"/>
        <w:numPr>
          <w:ilvl w:val="0"/>
          <w:numId w:val="4"/>
        </w:numPr>
        <w:outlineLvl w:val="9"/>
        <w:rPr>
          <w:szCs w:val="24"/>
        </w:rPr>
      </w:pPr>
      <w:r>
        <w:t>In the French agricultural context 79% of farmers have worked on more than one farming type over their life</w:t>
      </w:r>
      <w:r w:rsidR="000A788D">
        <w:t xml:space="preserve">, thus potentially being exposed to multiple </w:t>
      </w:r>
      <w:r w:rsidR="00F06629">
        <w:t>chemicals</w:t>
      </w:r>
      <w:r w:rsidR="000A788D">
        <w:t xml:space="preserve"> of different classes and with different effects</w:t>
      </w:r>
      <w:r>
        <w:t xml:space="preserve"> (</w:t>
      </w:r>
      <w:proofErr w:type="spellStart"/>
      <w:r>
        <w:t>Piel</w:t>
      </w:r>
      <w:proofErr w:type="spellEnd"/>
      <w:r>
        <w:t xml:space="preserve"> et al 2017)</w:t>
      </w:r>
      <w:r>
        <w:rPr>
          <w:rStyle w:val="FootnoteReference"/>
        </w:rPr>
        <w:footnoteReference w:id="7"/>
      </w:r>
      <w:r>
        <w:t>. Other limitations of these studies are positive findings by chance due to multiple comparisons, and potential confounding from unknown risk factors, radiation exposure, other chemicals or a family history of brain cancer. There is a lack of information on specificities of use like the type of equipment, the duration of treatment days and the use of protective equipment.</w:t>
      </w:r>
    </w:p>
    <w:p w14:paraId="129ACF24" w14:textId="46C8B1EA" w:rsidR="00530741" w:rsidRPr="00E51A46" w:rsidRDefault="00530741" w:rsidP="00BE2CC2">
      <w:pPr>
        <w:pStyle w:val="NumberLevel1"/>
        <w:numPr>
          <w:ilvl w:val="0"/>
          <w:numId w:val="4"/>
        </w:numPr>
        <w:outlineLvl w:val="9"/>
        <w:rPr>
          <w:szCs w:val="24"/>
        </w:rPr>
      </w:pPr>
      <w:r>
        <w:lastRenderedPageBreak/>
        <w:t>The biological mechanism by which carbamates might cause brain cancer is not clearly established. Carbamate insecticides are not persistent in the environment and have a low potential for bioaccumulation (</w:t>
      </w:r>
      <w:proofErr w:type="spellStart"/>
      <w:r>
        <w:t>Piel</w:t>
      </w:r>
      <w:proofErr w:type="spellEnd"/>
      <w:r>
        <w:t xml:space="preserve"> et al 2019a). Experimental studies on effects of carbamate herbicides and fungicides in animals have not shown an increased risk of brain tumours (</w:t>
      </w:r>
      <w:proofErr w:type="spellStart"/>
      <w:r>
        <w:t>Piel</w:t>
      </w:r>
      <w:proofErr w:type="spellEnd"/>
      <w:r>
        <w:t xml:space="preserve"> et al 2019b).</w:t>
      </w:r>
    </w:p>
    <w:p w14:paraId="345211E6" w14:textId="449911A1" w:rsidR="00E51A46" w:rsidRPr="00896B69" w:rsidRDefault="00E51A46" w:rsidP="00E51A46">
      <w:pPr>
        <w:pStyle w:val="NumberLevel1"/>
        <w:keepLines/>
        <w:numPr>
          <w:ilvl w:val="0"/>
          <w:numId w:val="4"/>
        </w:numPr>
        <w:outlineLvl w:val="9"/>
        <w:rPr>
          <w:szCs w:val="24"/>
        </w:rPr>
      </w:pPr>
      <w:r>
        <w:t>Overall, the evidence showing an association between carbamate insecticides or fungicides is limited in quality and quantity (Grade 4). Longer follow up of the French cohort study with a comparison across all pesticide groups may help elucidate whether reported associations are specific to carbamates and whether effects persist beyond the initial 7 years of follow up. The authors anticipate more precise exposure metrics including probability, frequency and intensity of use.</w:t>
      </w:r>
    </w:p>
    <w:p w14:paraId="73C7FA98" w14:textId="77777777" w:rsidR="00614DF1" w:rsidRDefault="00614DF1" w:rsidP="00614DF1">
      <w:pPr>
        <w:pStyle w:val="PartHeading"/>
        <w:tabs>
          <w:tab w:val="num" w:pos="567"/>
        </w:tabs>
        <w:ind w:left="567" w:hanging="567"/>
      </w:pPr>
      <w:bookmarkStart w:id="8" w:name="_Toc79672476"/>
      <w:r>
        <w:t>Findings of Fact</w:t>
      </w:r>
      <w:bookmarkEnd w:id="8"/>
    </w:p>
    <w:p w14:paraId="59E59A05" w14:textId="7FE21377" w:rsidR="00614DF1" w:rsidRPr="00B45FAB" w:rsidRDefault="00614DF1" w:rsidP="007E32C9">
      <w:pPr>
        <w:pStyle w:val="NumberLevel1"/>
        <w:keepNext/>
        <w:numPr>
          <w:ilvl w:val="0"/>
          <w:numId w:val="4"/>
        </w:numPr>
        <w:tabs>
          <w:tab w:val="left" w:pos="567"/>
        </w:tabs>
        <w:outlineLvl w:val="9"/>
        <w:rPr>
          <w:szCs w:val="24"/>
        </w:rPr>
      </w:pPr>
      <w:r w:rsidRPr="00091898">
        <w:rPr>
          <w:szCs w:val="24"/>
        </w:rPr>
        <w:t>In light of the material discussed above, the Autho</w:t>
      </w:r>
      <w:r w:rsidR="00097496">
        <w:rPr>
          <w:szCs w:val="24"/>
        </w:rPr>
        <w:t>rity made the following finding</w:t>
      </w:r>
      <w:r w:rsidRPr="00091898">
        <w:rPr>
          <w:szCs w:val="24"/>
        </w:rPr>
        <w:t xml:space="preserve"> of fact:</w:t>
      </w:r>
    </w:p>
    <w:p w14:paraId="585294F2" w14:textId="1CBB7DEC" w:rsidR="00614DF1" w:rsidRPr="00520938" w:rsidRDefault="006D6BFE" w:rsidP="00B01CCA">
      <w:pPr>
        <w:pStyle w:val="NumberLevel1"/>
        <w:numPr>
          <w:ilvl w:val="1"/>
          <w:numId w:val="15"/>
        </w:numPr>
        <w:tabs>
          <w:tab w:val="clear" w:pos="927"/>
          <w:tab w:val="num" w:pos="1134"/>
        </w:tabs>
        <w:ind w:left="1134" w:hanging="567"/>
        <w:outlineLvl w:val="9"/>
        <w:rPr>
          <w:szCs w:val="24"/>
        </w:rPr>
      </w:pPr>
      <w:r>
        <w:rPr>
          <w:szCs w:val="24"/>
        </w:rPr>
        <w:t>T</w:t>
      </w:r>
      <w:r w:rsidR="00AC7CDD">
        <w:rPr>
          <w:szCs w:val="24"/>
        </w:rPr>
        <w:t xml:space="preserve">he </w:t>
      </w:r>
      <w:r w:rsidR="00B01CCA">
        <w:rPr>
          <w:szCs w:val="24"/>
        </w:rPr>
        <w:t xml:space="preserve">body of available SMSE </w:t>
      </w:r>
      <w:r w:rsidR="00097496">
        <w:rPr>
          <w:szCs w:val="24"/>
        </w:rPr>
        <w:t xml:space="preserve">does not support the existence of a causal association between </w:t>
      </w:r>
      <w:r w:rsidR="00096E9E">
        <w:rPr>
          <w:szCs w:val="24"/>
        </w:rPr>
        <w:t>exposure to carbamate insecticides or fungicides</w:t>
      </w:r>
      <w:r w:rsidR="00097496">
        <w:rPr>
          <w:szCs w:val="24"/>
        </w:rPr>
        <w:t xml:space="preserve"> and the clinical onset </w:t>
      </w:r>
      <w:r w:rsidR="00A4147F">
        <w:rPr>
          <w:szCs w:val="24"/>
        </w:rPr>
        <w:t xml:space="preserve">or clinical worsening </w:t>
      </w:r>
      <w:r w:rsidR="00097496">
        <w:rPr>
          <w:szCs w:val="24"/>
        </w:rPr>
        <w:t xml:space="preserve">of </w:t>
      </w:r>
      <w:r w:rsidR="008E26CC">
        <w:rPr>
          <w:szCs w:val="24"/>
        </w:rPr>
        <w:t xml:space="preserve">malignant neoplasm of the </w:t>
      </w:r>
      <w:r w:rsidR="00096E9E">
        <w:rPr>
          <w:szCs w:val="24"/>
        </w:rPr>
        <w:t>brain</w:t>
      </w:r>
      <w:r w:rsidR="00097496">
        <w:rPr>
          <w:szCs w:val="24"/>
        </w:rPr>
        <w:t>.</w:t>
      </w:r>
      <w:r>
        <w:rPr>
          <w:szCs w:val="24"/>
        </w:rPr>
        <w:t xml:space="preserve"> </w:t>
      </w:r>
      <w:r w:rsidRPr="00D7525A">
        <w:rPr>
          <w:szCs w:val="24"/>
        </w:rPr>
        <w:t xml:space="preserve">Consequently, the Authority is not satisfied that there is at least a reasonable hypothesis that </w:t>
      </w:r>
      <w:r w:rsidR="00096E9E">
        <w:rPr>
          <w:szCs w:val="24"/>
        </w:rPr>
        <w:t xml:space="preserve">being exposed to carbamate insecticides or fungicides </w:t>
      </w:r>
      <w:r w:rsidRPr="00D7525A">
        <w:rPr>
          <w:szCs w:val="24"/>
        </w:rPr>
        <w:t>is a factor which caus</w:t>
      </w:r>
      <w:r>
        <w:rPr>
          <w:szCs w:val="24"/>
        </w:rPr>
        <w:t xml:space="preserve">es, or contributes to, the clinical onset </w:t>
      </w:r>
      <w:r w:rsidR="00A4147F">
        <w:rPr>
          <w:szCs w:val="24"/>
        </w:rPr>
        <w:t xml:space="preserve">or clinical worsening </w:t>
      </w:r>
      <w:r>
        <w:rPr>
          <w:szCs w:val="24"/>
        </w:rPr>
        <w:t xml:space="preserve">of </w:t>
      </w:r>
      <w:r w:rsidR="008E26CC">
        <w:rPr>
          <w:szCs w:val="24"/>
        </w:rPr>
        <w:t xml:space="preserve">malignant neoplasm of the </w:t>
      </w:r>
      <w:r w:rsidR="00096E9E">
        <w:rPr>
          <w:szCs w:val="24"/>
        </w:rPr>
        <w:t>brain</w:t>
      </w:r>
      <w:r>
        <w:rPr>
          <w:szCs w:val="24"/>
        </w:rPr>
        <w:t>.</w:t>
      </w:r>
    </w:p>
    <w:p w14:paraId="21540F1A" w14:textId="77777777" w:rsidR="00614DF1" w:rsidRDefault="00614DF1" w:rsidP="00614DF1">
      <w:pPr>
        <w:pStyle w:val="PartHeading"/>
      </w:pPr>
      <w:bookmarkStart w:id="9" w:name="_Toc79672477"/>
      <w:r>
        <w:t>Reasons for the Decision</w:t>
      </w:r>
      <w:bookmarkEnd w:id="9"/>
    </w:p>
    <w:p w14:paraId="30D41C7B" w14:textId="66B3BBEE" w:rsidR="00614DF1" w:rsidRPr="007D6C12" w:rsidRDefault="00614DF1" w:rsidP="00614DF1">
      <w:pPr>
        <w:pStyle w:val="NumberLevel1"/>
        <w:numPr>
          <w:ilvl w:val="0"/>
          <w:numId w:val="4"/>
        </w:numPr>
        <w:outlineLvl w:val="9"/>
        <w:rPr>
          <w:szCs w:val="24"/>
        </w:rPr>
      </w:pPr>
      <w:r w:rsidRPr="00091898">
        <w:rPr>
          <w:szCs w:val="24"/>
        </w:rPr>
        <w:t xml:space="preserve">The Authority was cognisant of the provisions of the VEA, and had particular regard to subsection </w:t>
      </w:r>
      <w:proofErr w:type="gramStart"/>
      <w:r w:rsidRPr="00091898">
        <w:rPr>
          <w:szCs w:val="24"/>
        </w:rPr>
        <w:t>5AB(</w:t>
      </w:r>
      <w:proofErr w:type="gramEnd"/>
      <w:r w:rsidRPr="00091898">
        <w:rPr>
          <w:szCs w:val="24"/>
        </w:rPr>
        <w:t xml:space="preserve">2) </w:t>
      </w:r>
      <w:r w:rsidR="000B28B4">
        <w:rPr>
          <w:szCs w:val="24"/>
        </w:rPr>
        <w:t>SMSE</w:t>
      </w:r>
      <w:r w:rsidRPr="00091898">
        <w:rPr>
          <w:szCs w:val="24"/>
        </w:rPr>
        <w:t>, s 5D injury/disease, and Part XI</w:t>
      </w:r>
      <w:r>
        <w:rPr>
          <w:szCs w:val="24"/>
        </w:rPr>
        <w:t>A</w:t>
      </w:r>
      <w:r w:rsidRPr="00091898">
        <w:rPr>
          <w:szCs w:val="24"/>
        </w:rPr>
        <w:t>.</w:t>
      </w:r>
    </w:p>
    <w:p w14:paraId="545571D3" w14:textId="5CADC5A0" w:rsidR="00614DF1" w:rsidRPr="00C52668" w:rsidRDefault="000B28B4" w:rsidP="00614DF1">
      <w:pPr>
        <w:pStyle w:val="BodyText"/>
        <w:spacing w:after="120"/>
        <w:ind w:left="567"/>
        <w:rPr>
          <w:rFonts w:ascii="Arial" w:hAnsi="Arial" w:cs="Arial"/>
          <w:sz w:val="22"/>
          <w:szCs w:val="22"/>
        </w:rPr>
      </w:pPr>
      <w:r>
        <w:rPr>
          <w:rFonts w:ascii="Arial" w:hAnsi="Arial" w:cs="Arial"/>
          <w:sz w:val="22"/>
          <w:szCs w:val="22"/>
        </w:rPr>
        <w:t>SMSE</w:t>
      </w:r>
      <w:r w:rsidR="00614DF1" w:rsidRPr="00C52668">
        <w:rPr>
          <w:rFonts w:ascii="Arial" w:hAnsi="Arial" w:cs="Arial"/>
          <w:sz w:val="22"/>
          <w:szCs w:val="22"/>
        </w:rPr>
        <w:t xml:space="preserve"> is defined as follows:</w:t>
      </w:r>
    </w:p>
    <w:p w14:paraId="6CFC8F01" w14:textId="77777777" w:rsidR="00614DF1" w:rsidRPr="00C52668" w:rsidRDefault="00614DF1" w:rsidP="00614DF1">
      <w:pPr>
        <w:pStyle w:val="ListParagraph"/>
        <w:spacing w:after="120" w:line="280" w:lineRule="atLeast"/>
        <w:ind w:left="567" w:right="567"/>
        <w:contextualSpacing w:val="0"/>
        <w:rPr>
          <w:rFonts w:ascii="Arial" w:hAnsi="Arial" w:cs="Arial"/>
          <w:i/>
          <w:sz w:val="22"/>
          <w:szCs w:val="22"/>
        </w:rPr>
      </w:pPr>
      <w:r w:rsidRPr="00C52668">
        <w:rPr>
          <w:rFonts w:ascii="Arial" w:hAnsi="Arial" w:cs="Arial"/>
          <w:i/>
          <w:sz w:val="22"/>
          <w:szCs w:val="22"/>
        </w:rPr>
        <w:t>"Information about a particular kind of injury, disease or death is taken to be</w:t>
      </w:r>
      <w:r w:rsidRPr="00C52668">
        <w:rPr>
          <w:rFonts w:ascii="Arial" w:hAnsi="Arial" w:cs="Arial"/>
          <w:b/>
          <w:i/>
          <w:sz w:val="22"/>
          <w:szCs w:val="22"/>
        </w:rPr>
        <w:t xml:space="preserve"> sound</w:t>
      </w:r>
      <w:r w:rsidRPr="00C52668">
        <w:rPr>
          <w:rFonts w:ascii="Arial" w:hAnsi="Arial" w:cs="Arial"/>
          <w:i/>
          <w:sz w:val="22"/>
          <w:szCs w:val="22"/>
        </w:rPr>
        <w:t xml:space="preserve"> </w:t>
      </w:r>
      <w:r w:rsidRPr="00C52668">
        <w:rPr>
          <w:rFonts w:ascii="Arial" w:hAnsi="Arial" w:cs="Arial"/>
          <w:b/>
          <w:i/>
          <w:sz w:val="22"/>
          <w:szCs w:val="22"/>
        </w:rPr>
        <w:t>medical-scientific evidence</w:t>
      </w:r>
      <w:r w:rsidRPr="00C52668">
        <w:rPr>
          <w:rFonts w:ascii="Arial" w:hAnsi="Arial" w:cs="Arial"/>
          <w:i/>
          <w:sz w:val="22"/>
          <w:szCs w:val="22"/>
        </w:rPr>
        <w:t xml:space="preserve"> if:</w:t>
      </w:r>
    </w:p>
    <w:p w14:paraId="30071406" w14:textId="77777777" w:rsidR="00614DF1" w:rsidRPr="00C52668" w:rsidRDefault="00614DF1" w:rsidP="00614DF1">
      <w:pPr>
        <w:pStyle w:val="ListParagraph"/>
        <w:spacing w:before="120" w:after="120"/>
        <w:ind w:left="1134" w:right="567" w:hanging="567"/>
        <w:contextualSpacing w:val="0"/>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Pr="00C52668">
        <w:rPr>
          <w:rFonts w:ascii="Arial" w:hAnsi="Arial" w:cs="Arial"/>
          <w:i/>
          <w:sz w:val="22"/>
          <w:szCs w:val="22"/>
        </w:rPr>
        <w:t>the</w:t>
      </w:r>
      <w:proofErr w:type="gramEnd"/>
      <w:r w:rsidRPr="00C52668">
        <w:rPr>
          <w:rFonts w:ascii="Arial" w:hAnsi="Arial" w:cs="Arial"/>
          <w:i/>
          <w:sz w:val="22"/>
          <w:szCs w:val="22"/>
        </w:rPr>
        <w:t xml:space="preserve"> information:</w:t>
      </w:r>
    </w:p>
    <w:p w14:paraId="1A97EAF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w:t>
      </w:r>
      <w:proofErr w:type="spellStart"/>
      <w:r w:rsidRPr="00C52668">
        <w:rPr>
          <w:rFonts w:ascii="Arial" w:hAnsi="Arial" w:cs="Arial"/>
          <w:i/>
          <w:sz w:val="22"/>
          <w:szCs w:val="22"/>
        </w:rPr>
        <w:t>i</w:t>
      </w:r>
      <w:proofErr w:type="spellEnd"/>
      <w:r w:rsidRPr="00C52668">
        <w:rPr>
          <w:rFonts w:ascii="Arial" w:hAnsi="Arial" w:cs="Arial"/>
          <w:i/>
          <w:sz w:val="22"/>
          <w:szCs w:val="22"/>
        </w:rPr>
        <w:t>)</w:t>
      </w:r>
      <w:r w:rsidRPr="00C52668">
        <w:rPr>
          <w:rFonts w:ascii="Arial" w:hAnsi="Arial" w:cs="Arial"/>
          <w:i/>
          <w:sz w:val="22"/>
          <w:szCs w:val="22"/>
        </w:rPr>
        <w:tab/>
        <w:t xml:space="preserve">is consistent with material relating to medical science that has been published in a medical or scientific publication and has been, in the opinion of the Repatriation Medical Authority, subjected to a peer review process; or </w:t>
      </w:r>
    </w:p>
    <w:p w14:paraId="511EF0AF" w14:textId="77777777" w:rsidR="00614DF1" w:rsidRPr="00C52668" w:rsidRDefault="00614DF1" w:rsidP="00614DF1">
      <w:pPr>
        <w:pStyle w:val="ListParagraph"/>
        <w:spacing w:line="260" w:lineRule="atLeast"/>
        <w:ind w:left="1701" w:right="567" w:hanging="567"/>
        <w:rPr>
          <w:rFonts w:ascii="Arial" w:hAnsi="Arial" w:cs="Arial"/>
          <w:i/>
          <w:sz w:val="22"/>
          <w:szCs w:val="22"/>
        </w:rPr>
      </w:pPr>
      <w:r w:rsidRPr="00C52668">
        <w:rPr>
          <w:rFonts w:ascii="Arial" w:hAnsi="Arial" w:cs="Arial"/>
          <w:i/>
          <w:sz w:val="22"/>
          <w:szCs w:val="22"/>
        </w:rPr>
        <w:t>(ii)</w:t>
      </w:r>
      <w:r w:rsidRPr="00C52668">
        <w:rPr>
          <w:rFonts w:ascii="Arial" w:hAnsi="Arial" w:cs="Arial"/>
          <w:i/>
          <w:sz w:val="22"/>
          <w:szCs w:val="22"/>
        </w:rPr>
        <w:tab/>
      </w:r>
      <w:proofErr w:type="gramStart"/>
      <w:r w:rsidRPr="00C52668">
        <w:rPr>
          <w:rFonts w:ascii="Arial" w:hAnsi="Arial" w:cs="Arial"/>
          <w:i/>
          <w:sz w:val="22"/>
          <w:szCs w:val="22"/>
        </w:rPr>
        <w:t>in</w:t>
      </w:r>
      <w:proofErr w:type="gramEnd"/>
      <w:r w:rsidRPr="00C52668">
        <w:rPr>
          <w:rFonts w:ascii="Arial" w:hAnsi="Arial" w:cs="Arial"/>
          <w:i/>
          <w:sz w:val="22"/>
          <w:szCs w:val="22"/>
        </w:rPr>
        <w:t xml:space="preserve"> accordance with generally accepted medical practice, would serve as the basis for the diagnosis and management of a medical condition; and</w:t>
      </w:r>
    </w:p>
    <w:p w14:paraId="2B043E52" w14:textId="77777777" w:rsidR="00614DF1" w:rsidRPr="00C52668" w:rsidRDefault="00614DF1" w:rsidP="00614DF1">
      <w:pPr>
        <w:pStyle w:val="NumberLevel1"/>
        <w:keepNext/>
        <w:keepLines/>
        <w:tabs>
          <w:tab w:val="clear" w:pos="360"/>
        </w:tabs>
        <w:spacing w:line="260" w:lineRule="atLeast"/>
        <w:ind w:left="1134" w:hanging="567"/>
        <w:outlineLvl w:val="9"/>
        <w:rPr>
          <w:i/>
        </w:rPr>
      </w:pPr>
      <w:r w:rsidRPr="00C52668">
        <w:rPr>
          <w:i/>
        </w:rPr>
        <w:t>(b)</w:t>
      </w:r>
      <w:r w:rsidRPr="00C52668">
        <w:rPr>
          <w:i/>
        </w:rPr>
        <w:tab/>
      </w:r>
      <w:proofErr w:type="gramStart"/>
      <w:r w:rsidRPr="00C52668">
        <w:rPr>
          <w:i/>
        </w:rPr>
        <w:t>in</w:t>
      </w:r>
      <w:proofErr w:type="gramEnd"/>
      <w:r w:rsidRPr="00C52668">
        <w:rPr>
          <w:i/>
        </w:rPr>
        <w:t xml:space="preserve"> the case of information about how that kind of injury, disease or death may be caused - meets the applicable criteria for assessing causation currently applied in the field of epidemiology."</w:t>
      </w:r>
    </w:p>
    <w:p w14:paraId="5CD793F9" w14:textId="2295FB4D" w:rsidR="00614DF1" w:rsidRPr="007D6C12" w:rsidRDefault="00614DF1" w:rsidP="00614DF1">
      <w:pPr>
        <w:pStyle w:val="NumberLevel1"/>
        <w:numPr>
          <w:ilvl w:val="0"/>
          <w:numId w:val="4"/>
        </w:numPr>
        <w:outlineLvl w:val="9"/>
        <w:rPr>
          <w:szCs w:val="24"/>
        </w:rPr>
      </w:pPr>
      <w:r w:rsidRPr="00091898">
        <w:rPr>
          <w:szCs w:val="24"/>
        </w:rPr>
        <w:t>The Authority noted s</w:t>
      </w:r>
      <w:r w:rsidR="00F71036">
        <w:rPr>
          <w:szCs w:val="24"/>
        </w:rPr>
        <w:t>ub-sections 196B(7)</w:t>
      </w:r>
      <w:r w:rsidR="00FF00D6">
        <w:rPr>
          <w:szCs w:val="24"/>
        </w:rPr>
        <w:t>, 196B(8)</w:t>
      </w:r>
      <w:r w:rsidR="00F71036">
        <w:rPr>
          <w:szCs w:val="24"/>
        </w:rPr>
        <w:t xml:space="preserve"> and 196B(9) and </w:t>
      </w:r>
      <w:r w:rsidRPr="00091898">
        <w:rPr>
          <w:szCs w:val="24"/>
        </w:rPr>
        <w:t>s</w:t>
      </w:r>
      <w:r w:rsidR="00F71036">
        <w:rPr>
          <w:szCs w:val="24"/>
        </w:rPr>
        <w:t>ection</w:t>
      </w:r>
      <w:r w:rsidR="00FF00D6">
        <w:rPr>
          <w:szCs w:val="24"/>
        </w:rPr>
        <w:t xml:space="preserve"> </w:t>
      </w:r>
      <w:r w:rsidRPr="00091898">
        <w:rPr>
          <w:szCs w:val="24"/>
        </w:rPr>
        <w:t>196E, which relevantly provide:</w:t>
      </w:r>
    </w:p>
    <w:p w14:paraId="55549C89" w14:textId="77777777" w:rsidR="00614DF1" w:rsidRPr="00C52668" w:rsidRDefault="00614DF1" w:rsidP="00614DF1">
      <w:pPr>
        <w:rPr>
          <w:rFonts w:ascii="Arial" w:hAnsi="Arial" w:cs="Arial"/>
          <w:b/>
          <w:i/>
          <w:sz w:val="22"/>
          <w:szCs w:val="22"/>
        </w:rPr>
      </w:pPr>
      <w:proofErr w:type="gramStart"/>
      <w:r w:rsidRPr="00C52668">
        <w:rPr>
          <w:rFonts w:ascii="Arial" w:hAnsi="Arial" w:cs="Arial"/>
          <w:sz w:val="22"/>
          <w:szCs w:val="22"/>
        </w:rPr>
        <w:t>196B(</w:t>
      </w:r>
      <w:proofErr w:type="gramEnd"/>
      <w:r w:rsidRPr="00C52668">
        <w:rPr>
          <w:rFonts w:ascii="Arial" w:hAnsi="Arial" w:cs="Arial"/>
          <w:sz w:val="22"/>
          <w:szCs w:val="22"/>
        </w:rPr>
        <w:t>7)</w:t>
      </w:r>
    </w:p>
    <w:p w14:paraId="2A060EE2" w14:textId="77777777" w:rsidR="00614DF1" w:rsidRPr="00C52668" w:rsidRDefault="00614DF1" w:rsidP="00614DF1">
      <w:pPr>
        <w:keepNext/>
        <w:spacing w:before="120" w:after="60" w:line="260" w:lineRule="atLeast"/>
        <w:ind w:left="567"/>
        <w:rPr>
          <w:rFonts w:ascii="Arial" w:hAnsi="Arial" w:cs="Arial"/>
          <w:i/>
          <w:sz w:val="22"/>
          <w:szCs w:val="22"/>
        </w:rPr>
      </w:pPr>
      <w:r w:rsidRPr="00C52668">
        <w:rPr>
          <w:rFonts w:ascii="Arial" w:hAnsi="Arial" w:cs="Arial"/>
          <w:i/>
          <w:sz w:val="22"/>
          <w:szCs w:val="22"/>
        </w:rPr>
        <w:t>If the Authority:</w:t>
      </w:r>
    </w:p>
    <w:p w14:paraId="4575C925" w14:textId="77777777" w:rsidR="00614DF1" w:rsidRPr="00C52668" w:rsidRDefault="00614DF1" w:rsidP="00614DF1">
      <w:pPr>
        <w:tabs>
          <w:tab w:val="left" w:pos="1134"/>
        </w:tabs>
        <w:spacing w:line="260" w:lineRule="atLeast"/>
        <w:ind w:left="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Pr="00C52668">
        <w:rPr>
          <w:rFonts w:ascii="Arial" w:hAnsi="Arial" w:cs="Arial"/>
          <w:i/>
          <w:sz w:val="22"/>
          <w:szCs w:val="22"/>
        </w:rPr>
        <w:t>is</w:t>
      </w:r>
      <w:proofErr w:type="gramEnd"/>
      <w:r w:rsidRPr="00C52668">
        <w:rPr>
          <w:rFonts w:ascii="Arial" w:hAnsi="Arial" w:cs="Arial"/>
          <w:i/>
          <w:sz w:val="22"/>
          <w:szCs w:val="22"/>
        </w:rPr>
        <w:t xml:space="preserve"> asked under section 196E to review:</w:t>
      </w:r>
    </w:p>
    <w:p w14:paraId="52B27080" w14:textId="77777777" w:rsidR="00614DF1"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w:t>
      </w:r>
      <w:proofErr w:type="spellStart"/>
      <w:r w:rsidRPr="00C52668">
        <w:rPr>
          <w:rFonts w:ascii="Arial" w:hAnsi="Arial" w:cs="Arial"/>
          <w:i/>
          <w:sz w:val="22"/>
          <w:szCs w:val="22"/>
        </w:rPr>
        <w:t>i</w:t>
      </w:r>
      <w:proofErr w:type="spellEnd"/>
      <w:r w:rsidRPr="00C52668">
        <w:rPr>
          <w:rFonts w:ascii="Arial" w:hAnsi="Arial" w:cs="Arial"/>
          <w:i/>
          <w:sz w:val="22"/>
          <w:szCs w:val="22"/>
        </w:rPr>
        <w:t>)</w:t>
      </w:r>
      <w:r w:rsidRPr="00C52668">
        <w:rPr>
          <w:rFonts w:ascii="Arial" w:hAnsi="Arial" w:cs="Arial"/>
          <w:i/>
          <w:sz w:val="22"/>
          <w:szCs w:val="22"/>
        </w:rPr>
        <w:tab/>
      </w:r>
      <w:proofErr w:type="gramStart"/>
      <w:r w:rsidRPr="00C52668">
        <w:rPr>
          <w:rFonts w:ascii="Arial" w:hAnsi="Arial" w:cs="Arial"/>
          <w:i/>
          <w:sz w:val="22"/>
          <w:szCs w:val="22"/>
        </w:rPr>
        <w:t>some</w:t>
      </w:r>
      <w:proofErr w:type="gramEnd"/>
      <w:r w:rsidRPr="00C52668">
        <w:rPr>
          <w:rFonts w:ascii="Arial" w:hAnsi="Arial" w:cs="Arial"/>
          <w:i/>
          <w:sz w:val="22"/>
          <w:szCs w:val="22"/>
        </w:rPr>
        <w:t xml:space="preserve"> or all of the contents of a Statement of Principles;</w:t>
      </w:r>
    </w:p>
    <w:p w14:paraId="2292B319" w14:textId="77777777" w:rsidR="00614DF1" w:rsidRDefault="00614DF1" w:rsidP="00614DF1">
      <w:pPr>
        <w:spacing w:line="260" w:lineRule="atLeast"/>
        <w:ind w:firstLine="567"/>
        <w:rPr>
          <w:rFonts w:ascii="Arial" w:hAnsi="Arial" w:cs="Arial"/>
          <w:i/>
          <w:sz w:val="22"/>
          <w:szCs w:val="22"/>
        </w:rPr>
      </w:pPr>
      <w:r>
        <w:rPr>
          <w:rFonts w:ascii="Arial" w:hAnsi="Arial" w:cs="Arial"/>
          <w:i/>
          <w:sz w:val="22"/>
          <w:szCs w:val="22"/>
        </w:rPr>
        <w:t>[…]</w:t>
      </w:r>
    </w:p>
    <w:p w14:paraId="70ED7C54" w14:textId="77777777" w:rsidR="00614DF1" w:rsidRPr="00C52668" w:rsidRDefault="00614DF1" w:rsidP="00614DF1">
      <w:pPr>
        <w:tabs>
          <w:tab w:val="left" w:pos="1134"/>
        </w:tabs>
        <w:spacing w:line="260" w:lineRule="atLeast"/>
        <w:ind w:left="567"/>
        <w:rPr>
          <w:rFonts w:ascii="Arial" w:hAnsi="Arial" w:cs="Arial"/>
          <w:i/>
          <w:sz w:val="22"/>
          <w:szCs w:val="22"/>
        </w:rPr>
      </w:pPr>
      <w:r>
        <w:rPr>
          <w:rFonts w:ascii="Arial" w:hAnsi="Arial" w:cs="Arial"/>
          <w:i/>
          <w:sz w:val="22"/>
          <w:szCs w:val="22"/>
        </w:rPr>
        <w:lastRenderedPageBreak/>
        <w:t>(b)</w:t>
      </w:r>
      <w:r>
        <w:rPr>
          <w:rFonts w:ascii="Arial" w:hAnsi="Arial" w:cs="Arial"/>
          <w:i/>
          <w:sz w:val="22"/>
          <w:szCs w:val="22"/>
        </w:rPr>
        <w:tab/>
      </w:r>
      <w:proofErr w:type="gramStart"/>
      <w:r w:rsidRPr="00666203">
        <w:rPr>
          <w:rFonts w:ascii="Arial" w:hAnsi="Arial" w:cs="Arial"/>
          <w:i/>
          <w:sz w:val="22"/>
          <w:szCs w:val="22"/>
        </w:rPr>
        <w:t>thinks</w:t>
      </w:r>
      <w:proofErr w:type="gramEnd"/>
      <w:r w:rsidRPr="00666203">
        <w:rPr>
          <w:rFonts w:ascii="Arial" w:hAnsi="Arial" w:cs="Arial"/>
          <w:i/>
          <w:sz w:val="22"/>
          <w:szCs w:val="22"/>
        </w:rPr>
        <w:t xml:space="preserve"> that there are grounds for such a review</w:t>
      </w:r>
      <w:r>
        <w:rPr>
          <w:rFonts w:ascii="Arial" w:hAnsi="Arial" w:cs="Arial"/>
          <w:i/>
          <w:sz w:val="22"/>
          <w:szCs w:val="22"/>
        </w:rPr>
        <w:t>;[…]</w:t>
      </w:r>
    </w:p>
    <w:p w14:paraId="61C78FD6" w14:textId="77777777" w:rsidR="00614DF1" w:rsidRPr="00C52668" w:rsidRDefault="00614DF1" w:rsidP="00614DF1">
      <w:pPr>
        <w:tabs>
          <w:tab w:val="left" w:pos="567"/>
        </w:tabs>
        <w:spacing w:line="260" w:lineRule="atLeast"/>
        <w:ind w:left="567"/>
        <w:rPr>
          <w:rFonts w:ascii="Arial" w:hAnsi="Arial" w:cs="Arial"/>
          <w:i/>
          <w:sz w:val="22"/>
          <w:szCs w:val="22"/>
        </w:rPr>
      </w:pPr>
      <w:proofErr w:type="gramStart"/>
      <w:r w:rsidRPr="00C52668">
        <w:rPr>
          <w:rFonts w:ascii="Arial" w:hAnsi="Arial" w:cs="Arial"/>
          <w:i/>
          <w:sz w:val="22"/>
          <w:szCs w:val="22"/>
        </w:rPr>
        <w:t>the</w:t>
      </w:r>
      <w:proofErr w:type="gramEnd"/>
      <w:r w:rsidRPr="00C52668">
        <w:rPr>
          <w:rFonts w:ascii="Arial" w:hAnsi="Arial" w:cs="Arial"/>
          <w:i/>
          <w:sz w:val="22"/>
          <w:szCs w:val="22"/>
        </w:rPr>
        <w:t xml:space="preserve"> Authority must, subject to subsection 196C(4) and section 196CA in a case where paragraph (a) applies, carry out an investigation to find out if there is new information available about:</w:t>
      </w:r>
    </w:p>
    <w:p w14:paraId="3FE5DF2E" w14:textId="77777777" w:rsidR="00614DF1" w:rsidRPr="00C52668" w:rsidRDefault="00614DF1" w:rsidP="00614DF1">
      <w:pPr>
        <w:spacing w:line="260" w:lineRule="atLeast"/>
        <w:ind w:left="1134" w:hanging="567"/>
        <w:rPr>
          <w:rFonts w:ascii="Arial" w:hAnsi="Arial" w:cs="Arial"/>
          <w:i/>
          <w:sz w:val="22"/>
          <w:szCs w:val="22"/>
        </w:rPr>
      </w:pPr>
      <w:r w:rsidRPr="00C52668">
        <w:rPr>
          <w:rFonts w:ascii="Arial" w:hAnsi="Arial" w:cs="Arial"/>
          <w:i/>
          <w:sz w:val="22"/>
          <w:szCs w:val="22"/>
        </w:rPr>
        <w:t>(d)</w:t>
      </w:r>
      <w:r w:rsidRPr="00C52668">
        <w:rPr>
          <w:rFonts w:ascii="Arial" w:hAnsi="Arial" w:cs="Arial"/>
          <w:i/>
          <w:sz w:val="22"/>
          <w:szCs w:val="22"/>
        </w:rPr>
        <w:tab/>
      </w:r>
      <w:proofErr w:type="gramStart"/>
      <w:r w:rsidRPr="00C52668">
        <w:rPr>
          <w:rFonts w:ascii="Arial" w:hAnsi="Arial" w:cs="Arial"/>
          <w:i/>
          <w:sz w:val="22"/>
          <w:szCs w:val="22"/>
        </w:rPr>
        <w:t>how</w:t>
      </w:r>
      <w:proofErr w:type="gramEnd"/>
      <w:r w:rsidRPr="00C52668">
        <w:rPr>
          <w:rFonts w:ascii="Arial" w:hAnsi="Arial" w:cs="Arial"/>
          <w:i/>
          <w:sz w:val="22"/>
          <w:szCs w:val="22"/>
        </w:rPr>
        <w:t xml:space="preserve"> the injury may be suffered, the disease may be contracted or the death may occur; or</w:t>
      </w:r>
    </w:p>
    <w:p w14:paraId="70AFCAC3" w14:textId="77777777" w:rsidR="00614DF1" w:rsidRPr="00C52668" w:rsidRDefault="00614DF1" w:rsidP="00614DF1">
      <w:pPr>
        <w:spacing w:after="120" w:line="260" w:lineRule="atLeast"/>
        <w:ind w:left="1134" w:hanging="567"/>
        <w:rPr>
          <w:rFonts w:ascii="Arial" w:hAnsi="Arial" w:cs="Arial"/>
          <w:i/>
          <w:sz w:val="22"/>
          <w:szCs w:val="22"/>
        </w:rPr>
      </w:pPr>
      <w:r w:rsidRPr="00C52668">
        <w:rPr>
          <w:rFonts w:ascii="Arial" w:hAnsi="Arial" w:cs="Arial"/>
          <w:i/>
          <w:sz w:val="22"/>
          <w:szCs w:val="22"/>
        </w:rPr>
        <w:t>(e)</w:t>
      </w:r>
      <w:r w:rsidRPr="00C52668">
        <w:rPr>
          <w:rFonts w:ascii="Arial" w:hAnsi="Arial" w:cs="Arial"/>
          <w:i/>
          <w:sz w:val="22"/>
          <w:szCs w:val="22"/>
        </w:rPr>
        <w:tab/>
      </w:r>
      <w:proofErr w:type="gramStart"/>
      <w:r w:rsidRPr="00C52668">
        <w:rPr>
          <w:rFonts w:ascii="Arial" w:hAnsi="Arial" w:cs="Arial"/>
          <w:i/>
          <w:sz w:val="22"/>
          <w:szCs w:val="22"/>
        </w:rPr>
        <w:t>the</w:t>
      </w:r>
      <w:proofErr w:type="gramEnd"/>
      <w:r w:rsidRPr="00C52668">
        <w:rPr>
          <w:rFonts w:ascii="Arial" w:hAnsi="Arial" w:cs="Arial"/>
          <w:i/>
          <w:sz w:val="22"/>
          <w:szCs w:val="22"/>
        </w:rPr>
        <w:t xml:space="preserve"> extent to which the disease, injury or death may be war-caused or defence-caused.</w:t>
      </w:r>
    </w:p>
    <w:p w14:paraId="2FF83BB6" w14:textId="5AC19703" w:rsidR="00FF00D6" w:rsidRDefault="00FF00D6" w:rsidP="00FF00D6">
      <w:pPr>
        <w:keepNext/>
        <w:keepLines/>
        <w:rPr>
          <w:rFonts w:ascii="Arial" w:hAnsi="Arial" w:cs="Arial"/>
          <w:sz w:val="22"/>
          <w:szCs w:val="22"/>
        </w:rPr>
      </w:pPr>
      <w:proofErr w:type="gramStart"/>
      <w:r>
        <w:rPr>
          <w:rFonts w:ascii="Arial" w:hAnsi="Arial" w:cs="Arial"/>
          <w:sz w:val="22"/>
          <w:szCs w:val="22"/>
        </w:rPr>
        <w:t>196B(</w:t>
      </w:r>
      <w:proofErr w:type="gramEnd"/>
      <w:r>
        <w:rPr>
          <w:rFonts w:ascii="Arial" w:hAnsi="Arial" w:cs="Arial"/>
          <w:sz w:val="22"/>
          <w:szCs w:val="22"/>
        </w:rPr>
        <w:t>8)</w:t>
      </w:r>
    </w:p>
    <w:p w14:paraId="4FCB3ACF" w14:textId="04FBDF0E" w:rsidR="00FF00D6" w:rsidRDefault="00FF00D6" w:rsidP="00FF00D6">
      <w:pPr>
        <w:keepNext/>
        <w:keepLines/>
        <w:rPr>
          <w:rFonts w:ascii="Arial" w:hAnsi="Arial" w:cs="Arial"/>
          <w:sz w:val="22"/>
          <w:szCs w:val="22"/>
        </w:rPr>
      </w:pPr>
    </w:p>
    <w:p w14:paraId="4DA8C8E4" w14:textId="688C8A6A" w:rsidR="00FF00D6" w:rsidRDefault="00FF00D6" w:rsidP="00FF00D6">
      <w:pPr>
        <w:keepNext/>
        <w:keepLines/>
        <w:ind w:left="567"/>
        <w:rPr>
          <w:rFonts w:ascii="Arial" w:hAnsi="Arial" w:cs="Arial"/>
          <w:i/>
          <w:sz w:val="22"/>
          <w:szCs w:val="22"/>
        </w:rPr>
      </w:pPr>
      <w:r w:rsidRPr="00FF00D6">
        <w:rPr>
          <w:rFonts w:ascii="Arial" w:hAnsi="Arial" w:cs="Arial"/>
          <w:i/>
          <w:sz w:val="22"/>
          <w:szCs w:val="22"/>
        </w:rPr>
        <w:t>If, after carrying out the investigation, the Authority is of the view that there is a new body of sound medical</w:t>
      </w:r>
      <w:r w:rsidRPr="00FF00D6">
        <w:rPr>
          <w:rFonts w:ascii="Cambria Math" w:hAnsi="Cambria Math" w:cs="Cambria Math"/>
          <w:i/>
          <w:sz w:val="22"/>
          <w:szCs w:val="22"/>
        </w:rPr>
        <w:t>‑</w:t>
      </w:r>
      <w:r w:rsidRPr="00FF00D6">
        <w:rPr>
          <w:rFonts w:ascii="Arial" w:hAnsi="Arial" w:cs="Arial"/>
          <w:i/>
          <w:sz w:val="22"/>
          <w:szCs w:val="22"/>
        </w:rPr>
        <w:t>scientific evidence availabl</w:t>
      </w:r>
      <w:r>
        <w:rPr>
          <w:rFonts w:ascii="Arial" w:hAnsi="Arial" w:cs="Arial"/>
          <w:i/>
          <w:sz w:val="22"/>
          <w:szCs w:val="22"/>
        </w:rPr>
        <w:t xml:space="preserve">e that, together with the sound </w:t>
      </w:r>
      <w:r w:rsidRPr="00FF00D6">
        <w:rPr>
          <w:rFonts w:ascii="Arial" w:hAnsi="Arial" w:cs="Arial"/>
          <w:i/>
          <w:sz w:val="22"/>
          <w:szCs w:val="22"/>
        </w:rPr>
        <w:t>medical</w:t>
      </w:r>
      <w:r w:rsidRPr="00FF00D6">
        <w:rPr>
          <w:rFonts w:ascii="Cambria Math" w:hAnsi="Cambria Math" w:cs="Cambria Math"/>
          <w:i/>
          <w:sz w:val="22"/>
          <w:szCs w:val="22"/>
        </w:rPr>
        <w:t>‑</w:t>
      </w:r>
      <w:r w:rsidRPr="00FF00D6">
        <w:rPr>
          <w:rFonts w:ascii="Arial" w:hAnsi="Arial" w:cs="Arial"/>
          <w:i/>
          <w:sz w:val="22"/>
          <w:szCs w:val="22"/>
        </w:rPr>
        <w:t>scientific evidence previously considered by the Authority, justifies the making of a Statement of Principles, or an amendment of the Statement of Principles already determined, in respect of that kind of injury, disease or death, the Authority must:</w:t>
      </w:r>
    </w:p>
    <w:p w14:paraId="4184A189" w14:textId="4C3ADDAE" w:rsidR="00FF00D6" w:rsidRDefault="00FF00D6" w:rsidP="00FF00D6">
      <w:pPr>
        <w:spacing w:line="260" w:lineRule="atLeast"/>
        <w:ind w:left="1701" w:hanging="567"/>
        <w:rPr>
          <w:rFonts w:ascii="Arial" w:hAnsi="Arial" w:cs="Arial"/>
          <w:i/>
          <w:sz w:val="22"/>
          <w:szCs w:val="22"/>
        </w:rPr>
      </w:pPr>
      <w:r>
        <w:rPr>
          <w:rFonts w:ascii="Arial" w:hAnsi="Arial" w:cs="Arial"/>
          <w:i/>
          <w:sz w:val="22"/>
          <w:szCs w:val="22"/>
        </w:rPr>
        <w:t>(a) […]; or</w:t>
      </w:r>
    </w:p>
    <w:p w14:paraId="214ECA76" w14:textId="7CD98AEE"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 xml:space="preserve">(b) </w:t>
      </w:r>
      <w:proofErr w:type="gramStart"/>
      <w:r w:rsidRPr="00FF00D6">
        <w:rPr>
          <w:rFonts w:ascii="Arial" w:hAnsi="Arial" w:cs="Arial"/>
          <w:i/>
          <w:sz w:val="22"/>
          <w:szCs w:val="22"/>
        </w:rPr>
        <w:t>make</w:t>
      </w:r>
      <w:proofErr w:type="gramEnd"/>
      <w:r w:rsidRPr="00FF00D6">
        <w:rPr>
          <w:rFonts w:ascii="Arial" w:hAnsi="Arial" w:cs="Arial"/>
          <w:i/>
          <w:sz w:val="22"/>
          <w:szCs w:val="22"/>
        </w:rPr>
        <w:t xml:space="preserve"> a determination amending the Statement of Principles determined under subsection (2) or (3) in respect of that kind of injury, disease or death; or</w:t>
      </w:r>
    </w:p>
    <w:p w14:paraId="40B3CE29" w14:textId="33A851E9" w:rsidR="00FF00D6" w:rsidRDefault="00FF00D6" w:rsidP="00FF00D6">
      <w:pPr>
        <w:spacing w:line="260" w:lineRule="atLeast"/>
        <w:ind w:left="1418" w:hanging="284"/>
        <w:rPr>
          <w:rFonts w:ascii="Arial" w:hAnsi="Arial" w:cs="Arial"/>
          <w:i/>
          <w:sz w:val="22"/>
          <w:szCs w:val="22"/>
        </w:rPr>
      </w:pPr>
      <w:r>
        <w:rPr>
          <w:rFonts w:ascii="Arial" w:hAnsi="Arial" w:cs="Arial"/>
          <w:i/>
          <w:sz w:val="22"/>
          <w:szCs w:val="22"/>
        </w:rPr>
        <w:t>(c) […];</w:t>
      </w:r>
    </w:p>
    <w:p w14:paraId="063FA701" w14:textId="6C97E3BF" w:rsidR="00FF00D6" w:rsidRPr="00FF00D6" w:rsidRDefault="00FF00D6" w:rsidP="00FF00D6">
      <w:pPr>
        <w:keepNext/>
        <w:keepLines/>
        <w:spacing w:line="260" w:lineRule="atLeast"/>
        <w:ind w:left="851" w:hanging="284"/>
        <w:rPr>
          <w:rFonts w:ascii="Arial" w:hAnsi="Arial" w:cs="Arial"/>
          <w:i/>
          <w:sz w:val="22"/>
          <w:szCs w:val="22"/>
        </w:rPr>
      </w:pPr>
      <w:proofErr w:type="gramStart"/>
      <w:r>
        <w:rPr>
          <w:rFonts w:ascii="Arial" w:hAnsi="Arial" w:cs="Arial"/>
          <w:i/>
          <w:sz w:val="22"/>
          <w:szCs w:val="22"/>
        </w:rPr>
        <w:t>as</w:t>
      </w:r>
      <w:proofErr w:type="gramEnd"/>
      <w:r>
        <w:rPr>
          <w:rFonts w:ascii="Arial" w:hAnsi="Arial" w:cs="Arial"/>
          <w:i/>
          <w:sz w:val="22"/>
          <w:szCs w:val="22"/>
        </w:rPr>
        <w:t xml:space="preserve"> the case requires.</w:t>
      </w:r>
    </w:p>
    <w:p w14:paraId="3CB53903" w14:textId="77777777" w:rsidR="00FF00D6" w:rsidRDefault="00FF00D6" w:rsidP="00FF00D6">
      <w:pPr>
        <w:keepNext/>
        <w:keepLines/>
        <w:rPr>
          <w:rFonts w:ascii="Arial" w:hAnsi="Arial" w:cs="Arial"/>
          <w:sz w:val="22"/>
          <w:szCs w:val="22"/>
        </w:rPr>
      </w:pPr>
    </w:p>
    <w:p w14:paraId="23029FFD" w14:textId="72CCA58E" w:rsidR="00614DF1" w:rsidRPr="00C52668" w:rsidRDefault="00614DF1" w:rsidP="00614DF1">
      <w:pPr>
        <w:rPr>
          <w:rFonts w:ascii="Arial" w:hAnsi="Arial" w:cs="Arial"/>
          <w:b/>
          <w:i/>
          <w:sz w:val="22"/>
          <w:szCs w:val="22"/>
        </w:rPr>
      </w:pPr>
      <w:proofErr w:type="gramStart"/>
      <w:r w:rsidRPr="00C52668">
        <w:rPr>
          <w:rFonts w:ascii="Arial" w:hAnsi="Arial" w:cs="Arial"/>
          <w:sz w:val="22"/>
          <w:szCs w:val="22"/>
        </w:rPr>
        <w:t>196</w:t>
      </w:r>
      <w:r w:rsidR="008E26CC">
        <w:rPr>
          <w:rFonts w:ascii="Arial" w:hAnsi="Arial" w:cs="Arial"/>
          <w:sz w:val="22"/>
          <w:szCs w:val="22"/>
        </w:rPr>
        <w:t>B(</w:t>
      </w:r>
      <w:proofErr w:type="gramEnd"/>
      <w:r w:rsidR="008E26CC">
        <w:rPr>
          <w:rFonts w:ascii="Arial" w:hAnsi="Arial" w:cs="Arial"/>
          <w:sz w:val="22"/>
          <w:szCs w:val="22"/>
        </w:rPr>
        <w:t>9)</w:t>
      </w:r>
      <w:r w:rsidRPr="00C52668">
        <w:rPr>
          <w:rFonts w:ascii="Arial" w:hAnsi="Arial" w:cs="Arial"/>
          <w:sz w:val="22"/>
          <w:szCs w:val="22"/>
        </w:rPr>
        <w:tab/>
      </w:r>
    </w:p>
    <w:p w14:paraId="36C07E35" w14:textId="2E0ED6EE" w:rsidR="00614DF1" w:rsidRPr="00C52668" w:rsidRDefault="008E26CC" w:rsidP="00614DF1">
      <w:pPr>
        <w:spacing w:before="120" w:line="260" w:lineRule="atLeast"/>
        <w:ind w:left="1134" w:hanging="567"/>
        <w:rPr>
          <w:rFonts w:ascii="Arial" w:hAnsi="Arial" w:cs="Arial"/>
          <w:i/>
          <w:sz w:val="22"/>
          <w:szCs w:val="22"/>
        </w:rPr>
      </w:pPr>
      <w:r w:rsidRPr="008E26CC">
        <w:rPr>
          <w:rFonts w:ascii="Arial" w:hAnsi="Arial" w:cs="Arial"/>
          <w:i/>
          <w:sz w:val="22"/>
          <w:szCs w:val="22"/>
        </w:rPr>
        <w:t>If, after carrying out the investigation, the Authority is of the view</w:t>
      </w:r>
      <w:r w:rsidR="00614DF1" w:rsidRPr="00C52668">
        <w:rPr>
          <w:rFonts w:ascii="Arial" w:hAnsi="Arial" w:cs="Arial"/>
          <w:i/>
          <w:sz w:val="22"/>
          <w:szCs w:val="22"/>
        </w:rPr>
        <w:t>:</w:t>
      </w:r>
    </w:p>
    <w:p w14:paraId="11B6942B" w14:textId="64920FC9"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(a)</w:t>
      </w:r>
      <w:r w:rsidRPr="00C52668">
        <w:rPr>
          <w:rFonts w:ascii="Arial" w:hAnsi="Arial" w:cs="Arial"/>
          <w:i/>
          <w:sz w:val="22"/>
          <w:szCs w:val="22"/>
        </w:rPr>
        <w:tab/>
      </w:r>
      <w:proofErr w:type="gramStart"/>
      <w:r w:rsidR="008E26CC" w:rsidRPr="008E26CC">
        <w:rPr>
          <w:rFonts w:ascii="Arial" w:hAnsi="Arial" w:cs="Arial"/>
          <w:i/>
          <w:sz w:val="22"/>
          <w:szCs w:val="22"/>
        </w:rPr>
        <w:t>that</w:t>
      </w:r>
      <w:proofErr w:type="gramEnd"/>
      <w:r w:rsidR="008E26CC" w:rsidRPr="008E26CC">
        <w:rPr>
          <w:rFonts w:ascii="Arial" w:hAnsi="Arial" w:cs="Arial"/>
          <w:i/>
          <w:sz w:val="22"/>
          <w:szCs w:val="22"/>
        </w:rPr>
        <w:t xml:space="preserve"> there is no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about that kind of injury, disease or death; or</w:t>
      </w:r>
    </w:p>
    <w:p w14:paraId="245EF217" w14:textId="79C44D23" w:rsidR="00614DF1" w:rsidRPr="00C52668" w:rsidRDefault="00614DF1" w:rsidP="008E26CC">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r>
      <w:r w:rsidR="008E26CC" w:rsidRPr="008E26CC">
        <w:rPr>
          <w:rFonts w:ascii="Arial" w:hAnsi="Arial" w:cs="Arial"/>
          <w:i/>
          <w:sz w:val="22"/>
          <w:szCs w:val="22"/>
        </w:rPr>
        <w:t>that the new sound medical</w:t>
      </w:r>
      <w:r w:rsidR="008E26CC" w:rsidRPr="008E26CC">
        <w:rPr>
          <w:rFonts w:ascii="Cambria Math" w:hAnsi="Cambria Math" w:cs="Cambria Math"/>
          <w:i/>
          <w:sz w:val="22"/>
          <w:szCs w:val="22"/>
        </w:rPr>
        <w:t>‑</w:t>
      </w:r>
      <w:r w:rsidR="008E26CC" w:rsidRPr="008E26CC">
        <w:rPr>
          <w:rFonts w:ascii="Arial" w:hAnsi="Arial" w:cs="Arial"/>
          <w:i/>
          <w:sz w:val="22"/>
          <w:szCs w:val="22"/>
        </w:rPr>
        <w:t>scientific evidence available is not sufficient to justify the making of a Statement of Principles, or an amendment of the Statement of Principles already determined in respect of that kind of injury, disease or death;</w:t>
      </w:r>
    </w:p>
    <w:p w14:paraId="0E19A963" w14:textId="40195EBB" w:rsidR="00614DF1" w:rsidRPr="00C52668" w:rsidRDefault="008E26CC" w:rsidP="008E26CC">
      <w:pPr>
        <w:spacing w:line="260" w:lineRule="atLeast"/>
        <w:ind w:left="1134"/>
        <w:rPr>
          <w:rFonts w:ascii="Arial" w:hAnsi="Arial" w:cs="Arial"/>
          <w:i/>
          <w:sz w:val="22"/>
          <w:szCs w:val="22"/>
        </w:rPr>
      </w:pPr>
      <w:proofErr w:type="gramStart"/>
      <w:r>
        <w:rPr>
          <w:rFonts w:ascii="Arial" w:hAnsi="Arial" w:cs="Arial"/>
          <w:i/>
          <w:sz w:val="22"/>
          <w:szCs w:val="22"/>
        </w:rPr>
        <w:t>the</w:t>
      </w:r>
      <w:proofErr w:type="gramEnd"/>
      <w:r>
        <w:rPr>
          <w:rFonts w:ascii="Arial" w:hAnsi="Arial" w:cs="Arial"/>
          <w:i/>
          <w:sz w:val="22"/>
          <w:szCs w:val="22"/>
        </w:rPr>
        <w:t xml:space="preserve"> </w:t>
      </w:r>
      <w:r w:rsidRPr="008E26CC">
        <w:rPr>
          <w:rFonts w:ascii="Arial" w:hAnsi="Arial" w:cs="Arial"/>
          <w:i/>
          <w:sz w:val="22"/>
          <w:szCs w:val="22"/>
        </w:rPr>
        <w:t>Authority must make a declaration in writing:</w:t>
      </w:r>
    </w:p>
    <w:p w14:paraId="0983E96D" w14:textId="3F8A24AE" w:rsidR="00614DF1" w:rsidRDefault="002A790A" w:rsidP="002A790A">
      <w:pPr>
        <w:spacing w:line="260" w:lineRule="atLeast"/>
        <w:ind w:left="1701" w:hanging="567"/>
        <w:rPr>
          <w:rFonts w:ascii="Arial" w:hAnsi="Arial" w:cs="Arial"/>
          <w:i/>
          <w:sz w:val="22"/>
          <w:szCs w:val="22"/>
        </w:rPr>
      </w:pPr>
      <w:r>
        <w:rPr>
          <w:rFonts w:ascii="Arial" w:hAnsi="Arial" w:cs="Arial"/>
          <w:i/>
          <w:sz w:val="22"/>
          <w:szCs w:val="22"/>
        </w:rPr>
        <w:t>(c)</w:t>
      </w:r>
      <w:r>
        <w:rPr>
          <w:rFonts w:ascii="Arial" w:hAnsi="Arial" w:cs="Arial"/>
          <w:i/>
          <w:sz w:val="22"/>
          <w:szCs w:val="22"/>
        </w:rPr>
        <w:tab/>
      </w:r>
      <w:r w:rsidRPr="002A790A">
        <w:rPr>
          <w:rFonts w:ascii="Arial" w:hAnsi="Arial" w:cs="Arial"/>
          <w:i/>
          <w:sz w:val="22"/>
          <w:szCs w:val="22"/>
        </w:rPr>
        <w:t>stating that it does not propose to make a Statement of Principles, or amend the Statement of Principles already determined (as the case may be); and</w:t>
      </w:r>
    </w:p>
    <w:p w14:paraId="31AE0C5E" w14:textId="4F949684" w:rsidR="002A790A" w:rsidRDefault="002A790A" w:rsidP="002A790A">
      <w:pPr>
        <w:spacing w:line="260" w:lineRule="atLeast"/>
        <w:ind w:left="1701" w:hanging="567"/>
        <w:rPr>
          <w:rFonts w:ascii="Arial" w:hAnsi="Arial" w:cs="Arial"/>
          <w:i/>
          <w:sz w:val="22"/>
          <w:szCs w:val="22"/>
        </w:rPr>
      </w:pPr>
      <w:r>
        <w:rPr>
          <w:rFonts w:ascii="Arial" w:hAnsi="Arial" w:cs="Arial"/>
          <w:i/>
          <w:sz w:val="22"/>
          <w:szCs w:val="22"/>
        </w:rPr>
        <w:t>(d)</w:t>
      </w:r>
      <w:r>
        <w:rPr>
          <w:rFonts w:ascii="Arial" w:hAnsi="Arial" w:cs="Arial"/>
          <w:i/>
          <w:sz w:val="22"/>
          <w:szCs w:val="22"/>
        </w:rPr>
        <w:tab/>
      </w:r>
      <w:proofErr w:type="gramStart"/>
      <w:r w:rsidRPr="002A790A">
        <w:rPr>
          <w:rFonts w:ascii="Arial" w:hAnsi="Arial" w:cs="Arial"/>
          <w:i/>
          <w:sz w:val="22"/>
          <w:szCs w:val="22"/>
        </w:rPr>
        <w:t>giving</w:t>
      </w:r>
      <w:proofErr w:type="gramEnd"/>
      <w:r w:rsidRPr="002A790A">
        <w:rPr>
          <w:rFonts w:ascii="Arial" w:hAnsi="Arial" w:cs="Arial"/>
          <w:i/>
          <w:sz w:val="22"/>
          <w:szCs w:val="22"/>
        </w:rPr>
        <w:t xml:space="preserve"> the reasons for its decision.</w:t>
      </w:r>
    </w:p>
    <w:p w14:paraId="125F1F6C" w14:textId="77777777" w:rsidR="002A790A" w:rsidRPr="00C52668" w:rsidRDefault="002A790A" w:rsidP="002A790A">
      <w:pPr>
        <w:spacing w:line="260" w:lineRule="atLeast"/>
        <w:ind w:left="1701" w:hanging="567"/>
        <w:rPr>
          <w:rFonts w:ascii="Arial" w:hAnsi="Arial" w:cs="Arial"/>
          <w:i/>
          <w:sz w:val="22"/>
          <w:szCs w:val="22"/>
        </w:rPr>
      </w:pPr>
    </w:p>
    <w:p w14:paraId="249E9F64" w14:textId="13413DAD" w:rsidR="00614DF1" w:rsidRPr="00C52668" w:rsidRDefault="00614DF1" w:rsidP="00614DF1">
      <w:pPr>
        <w:rPr>
          <w:rFonts w:ascii="Arial" w:hAnsi="Arial" w:cs="Arial"/>
          <w:b/>
          <w:i/>
          <w:sz w:val="22"/>
          <w:szCs w:val="22"/>
        </w:rPr>
      </w:pPr>
      <w:r w:rsidRPr="00C52668">
        <w:rPr>
          <w:rFonts w:ascii="Arial" w:hAnsi="Arial" w:cs="Arial"/>
          <w:sz w:val="22"/>
          <w:szCs w:val="22"/>
        </w:rPr>
        <w:t xml:space="preserve">196E </w:t>
      </w:r>
    </w:p>
    <w:p w14:paraId="745579EB" w14:textId="77777777" w:rsidR="00614DF1" w:rsidRPr="00C52668" w:rsidRDefault="00614DF1" w:rsidP="00614DF1">
      <w:pPr>
        <w:spacing w:before="120" w:line="260" w:lineRule="atLeast"/>
        <w:ind w:left="1134" w:hanging="567"/>
        <w:rPr>
          <w:rFonts w:ascii="Arial" w:hAnsi="Arial" w:cs="Arial"/>
          <w:i/>
          <w:sz w:val="22"/>
          <w:szCs w:val="22"/>
        </w:rPr>
      </w:pPr>
      <w:r w:rsidRPr="00C52668">
        <w:rPr>
          <w:rFonts w:ascii="Arial" w:hAnsi="Arial" w:cs="Arial"/>
          <w:i/>
          <w:sz w:val="22"/>
          <w:szCs w:val="22"/>
        </w:rPr>
        <w:t>(1)</w:t>
      </w:r>
      <w:r w:rsidRPr="00C52668">
        <w:rPr>
          <w:rFonts w:ascii="Arial" w:hAnsi="Arial" w:cs="Arial"/>
          <w:i/>
          <w:sz w:val="22"/>
          <w:szCs w:val="22"/>
        </w:rPr>
        <w:tab/>
        <w:t>Any of the following:</w:t>
      </w:r>
    </w:p>
    <w:p w14:paraId="0E332E3A"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(b)</w:t>
      </w:r>
      <w:r w:rsidRPr="00C52668">
        <w:rPr>
          <w:rFonts w:ascii="Arial" w:hAnsi="Arial" w:cs="Arial"/>
          <w:i/>
          <w:sz w:val="22"/>
          <w:szCs w:val="22"/>
        </w:rPr>
        <w:tab/>
      </w:r>
      <w:proofErr w:type="gramStart"/>
      <w:r w:rsidRPr="00C52668">
        <w:rPr>
          <w:rFonts w:ascii="Arial" w:hAnsi="Arial" w:cs="Arial"/>
          <w:i/>
          <w:sz w:val="22"/>
          <w:szCs w:val="22"/>
        </w:rPr>
        <w:t>a</w:t>
      </w:r>
      <w:proofErr w:type="gramEnd"/>
      <w:r w:rsidRPr="00C52668">
        <w:rPr>
          <w:rFonts w:ascii="Arial" w:hAnsi="Arial" w:cs="Arial"/>
          <w:i/>
          <w:sz w:val="22"/>
          <w:szCs w:val="22"/>
        </w:rPr>
        <w:t xml:space="preserve"> person eligible to make a claim for a pension under Part II or IV;</w:t>
      </w:r>
    </w:p>
    <w:p w14:paraId="5C81124D"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w:t>
      </w:r>
      <w:proofErr w:type="spellStart"/>
      <w:proofErr w:type="gramStart"/>
      <w:r w:rsidRPr="00C52668">
        <w:rPr>
          <w:rFonts w:ascii="Arial" w:hAnsi="Arial" w:cs="Arial"/>
          <w:i/>
          <w:sz w:val="22"/>
          <w:szCs w:val="22"/>
        </w:rPr>
        <w:t>ba</w:t>
      </w:r>
      <w:proofErr w:type="spellEnd"/>
      <w:proofErr w:type="gramEnd"/>
      <w:r w:rsidRPr="00C52668">
        <w:rPr>
          <w:rFonts w:ascii="Arial" w:hAnsi="Arial" w:cs="Arial"/>
          <w:i/>
          <w:sz w:val="22"/>
          <w:szCs w:val="22"/>
        </w:rPr>
        <w:t>)</w:t>
      </w:r>
      <w:r w:rsidRPr="00C52668">
        <w:rPr>
          <w:rFonts w:ascii="Arial" w:hAnsi="Arial" w:cs="Arial"/>
          <w:i/>
          <w:sz w:val="22"/>
          <w:szCs w:val="22"/>
        </w:rPr>
        <w:tab/>
        <w:t>a person eligible to make a claim for compensation under section 319 of the MRCA;</w:t>
      </w:r>
    </w:p>
    <w:p w14:paraId="5EA80CC1" w14:textId="77777777" w:rsidR="00614DF1" w:rsidRPr="00C52668" w:rsidRDefault="00614DF1" w:rsidP="00614DF1">
      <w:pPr>
        <w:spacing w:line="260" w:lineRule="atLeast"/>
        <w:ind w:left="1701" w:hanging="567"/>
        <w:rPr>
          <w:rFonts w:ascii="Arial" w:hAnsi="Arial" w:cs="Arial"/>
          <w:i/>
          <w:sz w:val="22"/>
          <w:szCs w:val="22"/>
        </w:rPr>
      </w:pPr>
      <w:r w:rsidRPr="00C52668">
        <w:rPr>
          <w:rFonts w:ascii="Arial" w:hAnsi="Arial" w:cs="Arial"/>
          <w:i/>
          <w:sz w:val="22"/>
          <w:szCs w:val="22"/>
        </w:rPr>
        <w:t>(c)</w:t>
      </w:r>
      <w:r w:rsidRPr="00C52668">
        <w:rPr>
          <w:rFonts w:ascii="Arial" w:hAnsi="Arial" w:cs="Arial"/>
          <w:i/>
          <w:sz w:val="22"/>
          <w:szCs w:val="22"/>
        </w:rPr>
        <w:tab/>
      </w:r>
      <w:proofErr w:type="gramStart"/>
      <w:r w:rsidRPr="00C52668">
        <w:rPr>
          <w:rFonts w:ascii="Arial" w:hAnsi="Arial" w:cs="Arial"/>
          <w:i/>
          <w:sz w:val="22"/>
          <w:szCs w:val="22"/>
        </w:rPr>
        <w:t>an</w:t>
      </w:r>
      <w:proofErr w:type="gramEnd"/>
      <w:r w:rsidRPr="00C52668">
        <w:rPr>
          <w:rFonts w:ascii="Arial" w:hAnsi="Arial" w:cs="Arial"/>
          <w:i/>
          <w:sz w:val="22"/>
          <w:szCs w:val="22"/>
        </w:rPr>
        <w:t xml:space="preserve"> organisation representing veterans ….</w:t>
      </w:r>
    </w:p>
    <w:p w14:paraId="6FFE40D2" w14:textId="77777777" w:rsidR="00614DF1" w:rsidRPr="00C52668" w:rsidRDefault="00614DF1" w:rsidP="00614DF1">
      <w:pPr>
        <w:spacing w:line="260" w:lineRule="atLeast"/>
        <w:ind w:left="1701" w:hanging="567"/>
        <w:rPr>
          <w:rFonts w:ascii="Arial" w:hAnsi="Arial" w:cs="Arial"/>
          <w:i/>
          <w:sz w:val="22"/>
          <w:szCs w:val="22"/>
        </w:rPr>
      </w:pPr>
      <w:proofErr w:type="gramStart"/>
      <w:r w:rsidRPr="00C52668">
        <w:rPr>
          <w:rFonts w:ascii="Arial" w:hAnsi="Arial" w:cs="Arial"/>
          <w:i/>
          <w:sz w:val="22"/>
          <w:szCs w:val="22"/>
        </w:rPr>
        <w:t>may</w:t>
      </w:r>
      <w:proofErr w:type="gramEnd"/>
      <w:r w:rsidRPr="00C52668">
        <w:rPr>
          <w:rFonts w:ascii="Arial" w:hAnsi="Arial" w:cs="Arial"/>
          <w:i/>
          <w:sz w:val="22"/>
          <w:szCs w:val="22"/>
        </w:rPr>
        <w:t xml:space="preserve"> ask the Repatriation Medical Authority:</w:t>
      </w:r>
    </w:p>
    <w:p w14:paraId="0809AA09" w14:textId="77777777" w:rsidR="00614DF1" w:rsidRDefault="00614DF1" w:rsidP="00614DF1">
      <w:pPr>
        <w:pStyle w:val="NumberLevel1"/>
        <w:keepNext/>
        <w:keepLines/>
        <w:tabs>
          <w:tab w:val="clear" w:pos="360"/>
        </w:tabs>
        <w:spacing w:before="0" w:line="260" w:lineRule="atLeast"/>
        <w:ind w:left="1701" w:hanging="567"/>
        <w:outlineLvl w:val="9"/>
      </w:pPr>
      <w:r w:rsidRPr="00C52668">
        <w:rPr>
          <w:i/>
        </w:rPr>
        <w:t>(f)</w:t>
      </w:r>
      <w:r w:rsidRPr="00C52668">
        <w:rPr>
          <w:i/>
        </w:rPr>
        <w:tab/>
      </w:r>
      <w:proofErr w:type="gramStart"/>
      <w:r w:rsidRPr="00C52668">
        <w:rPr>
          <w:i/>
        </w:rPr>
        <w:t>to</w:t>
      </w:r>
      <w:proofErr w:type="gramEnd"/>
      <w:r w:rsidRPr="00C52668">
        <w:rPr>
          <w:i/>
        </w:rPr>
        <w:t xml:space="preserve"> review the contents of a Statement of Principles in force under this Part.</w:t>
      </w:r>
    </w:p>
    <w:p w14:paraId="75CCC48D" w14:textId="77777777" w:rsidR="00614DF1" w:rsidRDefault="00614DF1" w:rsidP="00614DF1">
      <w:pPr>
        <w:pStyle w:val="NumberLevel1"/>
        <w:tabs>
          <w:tab w:val="clear" w:pos="360"/>
          <w:tab w:val="left" w:pos="720"/>
        </w:tabs>
        <w:ind w:left="426" w:hanging="426"/>
        <w:outlineLvl w:val="1"/>
        <w:rPr>
          <w:b/>
        </w:rPr>
      </w:pPr>
      <w:r>
        <w:rPr>
          <w:b/>
        </w:rPr>
        <w:t xml:space="preserve">Basis for commencing review of an existing SOP </w:t>
      </w:r>
    </w:p>
    <w:p w14:paraId="4B9D58A6" w14:textId="45B54D64" w:rsidR="00614DF1" w:rsidRDefault="00614DF1" w:rsidP="00B73269">
      <w:pPr>
        <w:pStyle w:val="NumberLevel1"/>
        <w:numPr>
          <w:ilvl w:val="0"/>
          <w:numId w:val="4"/>
        </w:numPr>
        <w:outlineLvl w:val="9"/>
        <w:rPr>
          <w:szCs w:val="24"/>
        </w:rPr>
      </w:pPr>
      <w:r w:rsidRPr="00091898">
        <w:rPr>
          <w:szCs w:val="24"/>
        </w:rPr>
        <w:t xml:space="preserve">It is </w:t>
      </w:r>
      <w:r w:rsidR="002A790A">
        <w:rPr>
          <w:szCs w:val="24"/>
        </w:rPr>
        <w:t>the applicant's</w:t>
      </w:r>
      <w:r w:rsidRPr="00091898">
        <w:rPr>
          <w:szCs w:val="24"/>
        </w:rPr>
        <w:t xml:space="preserve"> request whic</w:t>
      </w:r>
      <w:r w:rsidR="002A790A">
        <w:rPr>
          <w:szCs w:val="24"/>
        </w:rPr>
        <w:t xml:space="preserve">h prompted the Authority </w:t>
      </w:r>
      <w:r w:rsidRPr="00091898">
        <w:rPr>
          <w:szCs w:val="24"/>
        </w:rPr>
        <w:t>to com</w:t>
      </w:r>
      <w:r w:rsidR="001A1196">
        <w:rPr>
          <w:szCs w:val="24"/>
        </w:rPr>
        <w:t>m</w:t>
      </w:r>
      <w:r w:rsidR="002A790A">
        <w:rPr>
          <w:szCs w:val="24"/>
        </w:rPr>
        <w:t>ence an investigation into this</w:t>
      </w:r>
      <w:r w:rsidRPr="00091898">
        <w:rPr>
          <w:szCs w:val="24"/>
        </w:rPr>
        <w:t xml:space="preserve"> particular factor un</w:t>
      </w:r>
      <w:r w:rsidR="002A790A">
        <w:rPr>
          <w:szCs w:val="24"/>
        </w:rPr>
        <w:t xml:space="preserve">der s </w:t>
      </w:r>
      <w:proofErr w:type="gramStart"/>
      <w:r w:rsidR="002A790A">
        <w:rPr>
          <w:szCs w:val="24"/>
        </w:rPr>
        <w:t>196B(</w:t>
      </w:r>
      <w:proofErr w:type="gramEnd"/>
      <w:r w:rsidR="002A790A">
        <w:rPr>
          <w:szCs w:val="24"/>
        </w:rPr>
        <w:t>7)(a)</w:t>
      </w:r>
      <w:r w:rsidR="0002096B">
        <w:rPr>
          <w:szCs w:val="24"/>
        </w:rPr>
        <w:t xml:space="preserve"> of the VEA.</w:t>
      </w:r>
      <w:r w:rsidR="0002096B">
        <w:rPr>
          <w:rStyle w:val="FootnoteReference"/>
          <w:szCs w:val="24"/>
        </w:rPr>
        <w:footnoteReference w:id="8"/>
      </w:r>
    </w:p>
    <w:p w14:paraId="740E63B1" w14:textId="13B86F50" w:rsidR="002A790A" w:rsidRDefault="002A790A" w:rsidP="006952E4">
      <w:pPr>
        <w:pStyle w:val="NumberLevel1"/>
        <w:keepNext/>
        <w:keepLines/>
        <w:tabs>
          <w:tab w:val="clear" w:pos="360"/>
          <w:tab w:val="left" w:pos="720"/>
        </w:tabs>
        <w:ind w:left="426" w:hanging="426"/>
        <w:outlineLvl w:val="1"/>
        <w:rPr>
          <w:b/>
        </w:rPr>
      </w:pPr>
      <w:r>
        <w:rPr>
          <w:b/>
        </w:rPr>
        <w:lastRenderedPageBreak/>
        <w:t xml:space="preserve">Basis for amending an existing SOP </w:t>
      </w:r>
    </w:p>
    <w:p w14:paraId="5069CD78" w14:textId="29DBE41F" w:rsidR="002A790A" w:rsidRPr="002A790A" w:rsidRDefault="0002096B" w:rsidP="006952E4">
      <w:pPr>
        <w:pStyle w:val="NumberLevel1"/>
        <w:keepNext/>
        <w:keepLines/>
        <w:numPr>
          <w:ilvl w:val="0"/>
          <w:numId w:val="4"/>
        </w:numPr>
        <w:outlineLvl w:val="9"/>
        <w:rPr>
          <w:szCs w:val="24"/>
        </w:rPr>
      </w:pPr>
      <w:r>
        <w:rPr>
          <w:szCs w:val="24"/>
        </w:rPr>
        <w:t>I</w:t>
      </w:r>
      <w:r w:rsidRPr="0002096B">
        <w:rPr>
          <w:szCs w:val="24"/>
        </w:rPr>
        <w:t xml:space="preserve">n forming any view during </w:t>
      </w:r>
      <w:r>
        <w:rPr>
          <w:szCs w:val="24"/>
        </w:rPr>
        <w:t>an</w:t>
      </w:r>
      <w:r w:rsidRPr="0002096B">
        <w:rPr>
          <w:szCs w:val="24"/>
        </w:rPr>
        <w:t xml:space="preserve"> investigation, the Authorit</w:t>
      </w:r>
      <w:r w:rsidR="00CD0BC8">
        <w:rPr>
          <w:szCs w:val="24"/>
        </w:rPr>
        <w:t xml:space="preserve">y </w:t>
      </w:r>
      <w:r w:rsidR="00CD0BC8" w:rsidRPr="00CD0BC8">
        <w:rPr>
          <w:szCs w:val="24"/>
        </w:rPr>
        <w:t>may rely only on</w:t>
      </w:r>
      <w:r w:rsidR="00CD0BC8">
        <w:rPr>
          <w:szCs w:val="24"/>
        </w:rPr>
        <w:t xml:space="preserve"> SMSE. </w:t>
      </w:r>
      <w:r w:rsidR="002A790A">
        <w:rPr>
          <w:szCs w:val="24"/>
        </w:rPr>
        <w:t>Subsection</w:t>
      </w:r>
      <w:r>
        <w:rPr>
          <w:szCs w:val="24"/>
        </w:rPr>
        <w:t xml:space="preserve"> 196B(8) provides that where there is</w:t>
      </w:r>
      <w:r w:rsidR="00CD0BC8">
        <w:rPr>
          <w:szCs w:val="24"/>
        </w:rPr>
        <w:t xml:space="preserve"> </w:t>
      </w:r>
      <w:r w:rsidR="00CD0BC8" w:rsidRPr="00CD0BC8">
        <w:rPr>
          <w:szCs w:val="24"/>
        </w:rPr>
        <w:t xml:space="preserve">a new body of sound medical-scientific evidence available that, together with the sound medical-scientific evidence previously considered by the Authority, justifies the amendment of </w:t>
      </w:r>
      <w:r w:rsidR="00CD0BC8">
        <w:rPr>
          <w:szCs w:val="24"/>
        </w:rPr>
        <w:t xml:space="preserve">a SOP the </w:t>
      </w:r>
      <w:r w:rsidR="00FF00D6">
        <w:rPr>
          <w:szCs w:val="24"/>
        </w:rPr>
        <w:t>Authority</w:t>
      </w:r>
      <w:r w:rsidR="00CD0BC8">
        <w:rPr>
          <w:szCs w:val="24"/>
        </w:rPr>
        <w:t xml:space="preserve"> is required to do so. On the other hand where there is no new SMSE or the new SMSE is </w:t>
      </w:r>
      <w:r w:rsidR="00FF00D6">
        <w:rPr>
          <w:szCs w:val="24"/>
        </w:rPr>
        <w:t>insufficient</w:t>
      </w:r>
      <w:r w:rsidR="00CD0BC8">
        <w:rPr>
          <w:szCs w:val="24"/>
        </w:rPr>
        <w:t xml:space="preserve"> to justify </w:t>
      </w:r>
      <w:r w:rsidR="00FF00D6">
        <w:rPr>
          <w:szCs w:val="24"/>
        </w:rPr>
        <w:t>an</w:t>
      </w:r>
      <w:r w:rsidR="00CD0BC8">
        <w:rPr>
          <w:szCs w:val="24"/>
        </w:rPr>
        <w:t xml:space="preserve"> amendment </w:t>
      </w:r>
      <w:r w:rsidR="00F71036">
        <w:rPr>
          <w:szCs w:val="24"/>
        </w:rPr>
        <w:t xml:space="preserve">subsection 196B(9) provides that the Authority </w:t>
      </w:r>
      <w:r w:rsidR="00F71036">
        <w:rPr>
          <w:i/>
          <w:szCs w:val="24"/>
        </w:rPr>
        <w:t>must</w:t>
      </w:r>
      <w:r w:rsidR="00F71036">
        <w:rPr>
          <w:szCs w:val="24"/>
        </w:rPr>
        <w:t xml:space="preserve"> make a declaration stating that it does not propose to amend the SOP</w:t>
      </w:r>
      <w:r w:rsidR="00CD0BC8">
        <w:rPr>
          <w:szCs w:val="24"/>
        </w:rPr>
        <w:t xml:space="preserve"> and give reasons for that decision.</w:t>
      </w:r>
    </w:p>
    <w:p w14:paraId="6E5EA2DB" w14:textId="4E4F413C" w:rsidR="00614DF1" w:rsidRPr="00641C48" w:rsidRDefault="00614DF1" w:rsidP="00757EA5">
      <w:pPr>
        <w:pStyle w:val="NumberLevel1"/>
        <w:keepNext/>
        <w:tabs>
          <w:tab w:val="clear" w:pos="360"/>
        </w:tabs>
        <w:ind w:left="0" w:firstLine="0"/>
        <w:outlineLvl w:val="1"/>
        <w:rPr>
          <w:b/>
        </w:rPr>
      </w:pPr>
      <w:r>
        <w:rPr>
          <w:b/>
        </w:rPr>
        <w:t xml:space="preserve">Reasons for deciding not to </w:t>
      </w:r>
      <w:r w:rsidR="000647DA">
        <w:rPr>
          <w:b/>
        </w:rPr>
        <w:t>amend</w:t>
      </w:r>
      <w:r>
        <w:rPr>
          <w:b/>
        </w:rPr>
        <w:t xml:space="preserve"> an existing SOP</w:t>
      </w:r>
    </w:p>
    <w:p w14:paraId="3F9AA17F" w14:textId="77777777" w:rsidR="00614DF1" w:rsidRPr="007D6C12" w:rsidRDefault="00614DF1" w:rsidP="00614DF1">
      <w:pPr>
        <w:pStyle w:val="NumberLevel1"/>
        <w:numPr>
          <w:ilvl w:val="0"/>
          <w:numId w:val="4"/>
        </w:numPr>
        <w:outlineLvl w:val="9"/>
        <w:rPr>
          <w:szCs w:val="24"/>
        </w:rPr>
      </w:pPr>
      <w:r w:rsidRPr="00091898">
        <w:rPr>
          <w:szCs w:val="24"/>
        </w:rPr>
        <w:t xml:space="preserve">Together with its own expert knowledge, the Authority took </w:t>
      </w:r>
      <w:r w:rsidRPr="007D6C12">
        <w:rPr>
          <w:szCs w:val="24"/>
        </w:rPr>
        <w:t>into consideration:</w:t>
      </w:r>
    </w:p>
    <w:p w14:paraId="2A325B61" w14:textId="6E692AC1" w:rsidR="00614DF1"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sidRPr="00C52668">
        <w:rPr>
          <w:rFonts w:ascii="Arial" w:hAnsi="Arial" w:cs="Arial"/>
          <w:sz w:val="22"/>
          <w:szCs w:val="22"/>
        </w:rPr>
        <w:t xml:space="preserve">the </w:t>
      </w:r>
      <w:r>
        <w:rPr>
          <w:rFonts w:ascii="Arial" w:hAnsi="Arial" w:cs="Arial"/>
          <w:sz w:val="22"/>
          <w:szCs w:val="22"/>
        </w:rPr>
        <w:t xml:space="preserve">information provided by </w:t>
      </w:r>
      <w:r w:rsidR="00F71036">
        <w:rPr>
          <w:rFonts w:ascii="Arial" w:hAnsi="Arial" w:cs="Arial"/>
          <w:sz w:val="22"/>
          <w:szCs w:val="22"/>
        </w:rPr>
        <w:t>the applicant</w:t>
      </w:r>
      <w:r w:rsidRPr="00C52668">
        <w:rPr>
          <w:rFonts w:ascii="Arial" w:hAnsi="Arial" w:cs="Arial"/>
          <w:sz w:val="22"/>
          <w:szCs w:val="22"/>
        </w:rPr>
        <w:t>;</w:t>
      </w:r>
    </w:p>
    <w:p w14:paraId="68E874B3" w14:textId="5ABE62BE" w:rsidR="00614DF1" w:rsidRPr="004E2A7C" w:rsidRDefault="00614DF1" w:rsidP="00F71036">
      <w:pPr>
        <w:pStyle w:val="ListParagraph"/>
        <w:numPr>
          <w:ilvl w:val="0"/>
          <w:numId w:val="12"/>
        </w:numPr>
        <w:tabs>
          <w:tab w:val="left" w:pos="1134"/>
        </w:tabs>
        <w:spacing w:line="280" w:lineRule="atLeast"/>
        <w:ind w:left="1134" w:hanging="567"/>
        <w:rPr>
          <w:rFonts w:ascii="Arial" w:hAnsi="Arial" w:cs="Arial"/>
          <w:sz w:val="22"/>
          <w:szCs w:val="22"/>
        </w:rPr>
      </w:pPr>
      <w:r w:rsidRPr="004E2A7C">
        <w:rPr>
          <w:rFonts w:ascii="Arial" w:hAnsi="Arial" w:cs="Arial"/>
          <w:sz w:val="22"/>
          <w:szCs w:val="22"/>
        </w:rPr>
        <w:t xml:space="preserve">the information held by the Authority and obtained during its previous </w:t>
      </w:r>
      <w:r w:rsidR="00CD0BC8">
        <w:rPr>
          <w:rFonts w:ascii="Arial" w:hAnsi="Arial" w:cs="Arial"/>
          <w:sz w:val="22"/>
          <w:szCs w:val="22"/>
        </w:rPr>
        <w:t xml:space="preserve">investigations </w:t>
      </w:r>
      <w:r w:rsidRPr="004E2A7C">
        <w:rPr>
          <w:rFonts w:ascii="Arial" w:hAnsi="Arial" w:cs="Arial"/>
          <w:sz w:val="22"/>
          <w:szCs w:val="22"/>
        </w:rPr>
        <w:t xml:space="preserve">leading </w:t>
      </w:r>
      <w:r w:rsidR="00CD0BC8">
        <w:rPr>
          <w:rFonts w:ascii="Arial" w:hAnsi="Arial" w:cs="Arial"/>
          <w:sz w:val="22"/>
          <w:szCs w:val="22"/>
        </w:rPr>
        <w:t xml:space="preserve">up </w:t>
      </w:r>
      <w:r w:rsidRPr="004E2A7C">
        <w:rPr>
          <w:rFonts w:ascii="Arial" w:hAnsi="Arial" w:cs="Arial"/>
          <w:sz w:val="22"/>
          <w:szCs w:val="22"/>
        </w:rPr>
        <w:t xml:space="preserve">to the determination of </w:t>
      </w:r>
      <w:r>
        <w:rPr>
          <w:rFonts w:ascii="Arial" w:hAnsi="Arial" w:cs="Arial"/>
          <w:sz w:val="22"/>
          <w:szCs w:val="22"/>
        </w:rPr>
        <w:t>the SOPs</w:t>
      </w:r>
      <w:r w:rsidRPr="004E2A7C">
        <w:rPr>
          <w:rFonts w:ascii="Arial" w:hAnsi="Arial" w:cs="Arial"/>
          <w:sz w:val="22"/>
          <w:szCs w:val="22"/>
        </w:rPr>
        <w:t xml:space="preserve"> concerning </w:t>
      </w:r>
      <w:r w:rsidR="00F71036">
        <w:rPr>
          <w:rFonts w:ascii="Arial" w:hAnsi="Arial" w:cs="Arial"/>
          <w:sz w:val="22"/>
          <w:szCs w:val="22"/>
        </w:rPr>
        <w:t xml:space="preserve">malignant neoplasm of the </w:t>
      </w:r>
      <w:r w:rsidR="00096E9E">
        <w:rPr>
          <w:rFonts w:ascii="Arial" w:hAnsi="Arial" w:cs="Arial"/>
          <w:sz w:val="22"/>
          <w:szCs w:val="22"/>
        </w:rPr>
        <w:t>brain</w:t>
      </w:r>
      <w:r w:rsidR="00F71036">
        <w:rPr>
          <w:rFonts w:ascii="Arial" w:hAnsi="Arial" w:cs="Arial"/>
          <w:sz w:val="22"/>
          <w:szCs w:val="22"/>
        </w:rPr>
        <w:t xml:space="preserve"> </w:t>
      </w:r>
      <w:r w:rsidR="00F71036" w:rsidRPr="00F71036">
        <w:rPr>
          <w:rFonts w:ascii="Arial" w:hAnsi="Arial" w:cs="Arial"/>
          <w:sz w:val="22"/>
          <w:szCs w:val="22"/>
        </w:rPr>
        <w:t xml:space="preserve">(Instrument Nos. </w:t>
      </w:r>
      <w:r w:rsidR="00096E9E">
        <w:rPr>
          <w:rFonts w:ascii="Arial" w:hAnsi="Arial" w:cs="Arial"/>
          <w:sz w:val="22"/>
          <w:szCs w:val="22"/>
        </w:rPr>
        <w:t>85</w:t>
      </w:r>
      <w:r w:rsidR="00F71036" w:rsidRPr="00F71036">
        <w:rPr>
          <w:rFonts w:ascii="Arial" w:hAnsi="Arial" w:cs="Arial"/>
          <w:sz w:val="22"/>
          <w:szCs w:val="22"/>
        </w:rPr>
        <w:t xml:space="preserve"> and </w:t>
      </w:r>
      <w:r w:rsidR="00096E9E">
        <w:rPr>
          <w:rFonts w:ascii="Arial" w:hAnsi="Arial" w:cs="Arial"/>
          <w:sz w:val="22"/>
          <w:szCs w:val="22"/>
        </w:rPr>
        <w:t>86</w:t>
      </w:r>
      <w:r w:rsidR="00F71036" w:rsidRPr="00F71036">
        <w:rPr>
          <w:rFonts w:ascii="Arial" w:hAnsi="Arial" w:cs="Arial"/>
          <w:sz w:val="22"/>
          <w:szCs w:val="22"/>
        </w:rPr>
        <w:t xml:space="preserve"> of 201</w:t>
      </w:r>
      <w:r w:rsidR="00096E9E">
        <w:rPr>
          <w:rFonts w:ascii="Arial" w:hAnsi="Arial" w:cs="Arial"/>
          <w:sz w:val="22"/>
          <w:szCs w:val="22"/>
        </w:rPr>
        <w:t>6</w:t>
      </w:r>
      <w:r w:rsidR="00F71036" w:rsidRPr="00F71036">
        <w:rPr>
          <w:rFonts w:ascii="Arial" w:hAnsi="Arial" w:cs="Arial"/>
          <w:sz w:val="22"/>
          <w:szCs w:val="22"/>
        </w:rPr>
        <w:t>)</w:t>
      </w:r>
      <w:r w:rsidRPr="004E2A7C">
        <w:rPr>
          <w:rFonts w:ascii="Arial" w:hAnsi="Arial" w:cs="Arial"/>
          <w:sz w:val="22"/>
          <w:szCs w:val="22"/>
        </w:rPr>
        <w:t xml:space="preserve">; and </w:t>
      </w:r>
    </w:p>
    <w:p w14:paraId="57BAE1BF" w14:textId="47557C32" w:rsidR="00F71036" w:rsidRDefault="00614DF1" w:rsidP="00614DF1">
      <w:pPr>
        <w:pStyle w:val="ListParagraph"/>
        <w:numPr>
          <w:ilvl w:val="0"/>
          <w:numId w:val="12"/>
        </w:numPr>
        <w:tabs>
          <w:tab w:val="left" w:pos="1134"/>
        </w:tabs>
        <w:spacing w:line="280" w:lineRule="atLeast"/>
        <w:ind w:left="1134" w:hanging="567"/>
        <w:rPr>
          <w:rFonts w:ascii="Arial" w:hAnsi="Arial" w:cs="Arial"/>
          <w:sz w:val="22"/>
          <w:szCs w:val="22"/>
        </w:rPr>
      </w:pPr>
      <w:r>
        <w:rPr>
          <w:rFonts w:ascii="Arial" w:hAnsi="Arial" w:cs="Arial"/>
          <w:sz w:val="22"/>
          <w:szCs w:val="22"/>
        </w:rPr>
        <w:t>the</w:t>
      </w:r>
      <w:r w:rsidRPr="004E2A7C">
        <w:rPr>
          <w:rFonts w:ascii="Arial" w:hAnsi="Arial" w:cs="Arial"/>
          <w:sz w:val="22"/>
          <w:szCs w:val="22"/>
        </w:rPr>
        <w:t xml:space="preserve"> discussion paper prepared by a medical researcher</w:t>
      </w:r>
      <w:r w:rsidR="00F71036">
        <w:rPr>
          <w:rFonts w:ascii="Arial" w:hAnsi="Arial" w:cs="Arial"/>
          <w:sz w:val="22"/>
          <w:szCs w:val="22"/>
        </w:rPr>
        <w:t xml:space="preserve"> for the </w:t>
      </w:r>
      <w:r w:rsidR="00096E9E">
        <w:rPr>
          <w:rFonts w:ascii="Arial" w:hAnsi="Arial" w:cs="Arial"/>
          <w:sz w:val="22"/>
          <w:szCs w:val="22"/>
        </w:rPr>
        <w:t>May</w:t>
      </w:r>
      <w:r w:rsidR="00F71036">
        <w:rPr>
          <w:rFonts w:ascii="Arial" w:hAnsi="Arial" w:cs="Arial"/>
          <w:sz w:val="22"/>
          <w:szCs w:val="22"/>
        </w:rPr>
        <w:t xml:space="preserve"> 2021 meeting;</w:t>
      </w:r>
    </w:p>
    <w:p w14:paraId="38D1D669" w14:textId="0D15B848" w:rsidR="00614DF1" w:rsidRPr="004E2A7C" w:rsidRDefault="00F71036" w:rsidP="00614DF1">
      <w:pPr>
        <w:pStyle w:val="ListParagraph"/>
        <w:numPr>
          <w:ilvl w:val="0"/>
          <w:numId w:val="12"/>
        </w:numPr>
        <w:tabs>
          <w:tab w:val="left" w:pos="1134"/>
        </w:tabs>
        <w:spacing w:line="280" w:lineRule="atLeast"/>
        <w:ind w:left="1134" w:hanging="567"/>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briefing paper prepared by a medical researcher for the </w:t>
      </w:r>
      <w:r w:rsidR="00096E9E">
        <w:rPr>
          <w:rFonts w:ascii="Arial" w:hAnsi="Arial" w:cs="Arial"/>
          <w:sz w:val="22"/>
          <w:szCs w:val="22"/>
        </w:rPr>
        <w:t>August</w:t>
      </w:r>
      <w:r>
        <w:rPr>
          <w:rFonts w:ascii="Arial" w:hAnsi="Arial" w:cs="Arial"/>
          <w:sz w:val="22"/>
          <w:szCs w:val="22"/>
        </w:rPr>
        <w:t xml:space="preserve"> 2021 meeting</w:t>
      </w:r>
      <w:r w:rsidR="00614DF1" w:rsidRPr="004E2A7C">
        <w:rPr>
          <w:rFonts w:ascii="Arial" w:hAnsi="Arial" w:cs="Arial"/>
          <w:sz w:val="22"/>
          <w:szCs w:val="22"/>
        </w:rPr>
        <w:t>.</w:t>
      </w:r>
    </w:p>
    <w:p w14:paraId="65C20D16" w14:textId="41293863" w:rsidR="00F87EC5" w:rsidRDefault="0003385F" w:rsidP="00D95179">
      <w:pPr>
        <w:pStyle w:val="NumberLevel1"/>
        <w:numPr>
          <w:ilvl w:val="0"/>
          <w:numId w:val="4"/>
        </w:numPr>
        <w:outlineLvl w:val="9"/>
        <w:rPr>
          <w:szCs w:val="24"/>
        </w:rPr>
      </w:pPr>
      <w:r>
        <w:rPr>
          <w:szCs w:val="24"/>
        </w:rPr>
        <w:t xml:space="preserve">As noted above, the applicant relied on the following </w:t>
      </w:r>
      <w:r w:rsidR="001A1196">
        <w:rPr>
          <w:szCs w:val="24"/>
        </w:rPr>
        <w:t>ground</w:t>
      </w:r>
      <w:r>
        <w:rPr>
          <w:szCs w:val="24"/>
        </w:rPr>
        <w:t xml:space="preserve"> for seeking a review of the contents of the SOPs concerning </w:t>
      </w:r>
      <w:r w:rsidR="00D45F1B">
        <w:rPr>
          <w:szCs w:val="24"/>
        </w:rPr>
        <w:t xml:space="preserve">malignant neoplasm of the </w:t>
      </w:r>
      <w:r w:rsidR="00096E9E">
        <w:rPr>
          <w:szCs w:val="24"/>
        </w:rPr>
        <w:t>brain</w:t>
      </w:r>
      <w:r>
        <w:rPr>
          <w:szCs w:val="24"/>
        </w:rPr>
        <w:t>:</w:t>
      </w:r>
    </w:p>
    <w:p w14:paraId="44753953" w14:textId="677CC905" w:rsidR="0003385F" w:rsidRDefault="00096E9E" w:rsidP="00096E9E">
      <w:pPr>
        <w:pStyle w:val="ListParagraph"/>
        <w:numPr>
          <w:ilvl w:val="0"/>
          <w:numId w:val="12"/>
        </w:numPr>
        <w:tabs>
          <w:tab w:val="left" w:pos="1134"/>
        </w:tabs>
        <w:spacing w:line="280" w:lineRule="atLeast"/>
        <w:ind w:left="1134" w:hanging="567"/>
        <w:rPr>
          <w:rFonts w:ascii="Arial" w:hAnsi="Arial" w:cs="Arial"/>
          <w:sz w:val="22"/>
          <w:szCs w:val="22"/>
        </w:rPr>
      </w:pPr>
      <w:proofErr w:type="gramStart"/>
      <w:r w:rsidRPr="00096E9E">
        <w:rPr>
          <w:rFonts w:ascii="Arial" w:hAnsi="Arial" w:cs="Arial"/>
          <w:sz w:val="22"/>
          <w:szCs w:val="22"/>
        </w:rPr>
        <w:t>information</w:t>
      </w:r>
      <w:proofErr w:type="gramEnd"/>
      <w:r w:rsidRPr="00096E9E">
        <w:rPr>
          <w:rFonts w:ascii="Arial" w:hAnsi="Arial" w:cs="Arial"/>
          <w:sz w:val="22"/>
          <w:szCs w:val="22"/>
        </w:rPr>
        <w:t xml:space="preserve"> coming out of the USA supports a (tenuous) link between </w:t>
      </w:r>
      <w:r>
        <w:rPr>
          <w:rFonts w:ascii="Arial" w:hAnsi="Arial" w:cs="Arial"/>
          <w:sz w:val="22"/>
          <w:szCs w:val="22"/>
        </w:rPr>
        <w:t>malignant neoplasm of the brain</w:t>
      </w:r>
      <w:r w:rsidRPr="00096E9E">
        <w:rPr>
          <w:rFonts w:ascii="Arial" w:hAnsi="Arial" w:cs="Arial"/>
          <w:sz w:val="22"/>
          <w:szCs w:val="22"/>
        </w:rPr>
        <w:t xml:space="preserve"> and pesticide and herbicide exposure</w:t>
      </w:r>
      <w:r w:rsidR="00D45F1B" w:rsidRPr="00D45F1B">
        <w:rPr>
          <w:rFonts w:ascii="Arial" w:hAnsi="Arial" w:cs="Arial"/>
          <w:sz w:val="22"/>
          <w:szCs w:val="22"/>
        </w:rPr>
        <w:t>.</w:t>
      </w:r>
    </w:p>
    <w:p w14:paraId="3B6D0CCA" w14:textId="5994E9CA" w:rsidR="00D45F1B" w:rsidRPr="00234B85" w:rsidRDefault="000647DA" w:rsidP="00D45F1B">
      <w:pPr>
        <w:pStyle w:val="NumberLevel1"/>
        <w:tabs>
          <w:tab w:val="clear" w:pos="360"/>
        </w:tabs>
        <w:rPr>
          <w:i/>
        </w:rPr>
      </w:pPr>
      <w:r>
        <w:rPr>
          <w:i/>
        </w:rPr>
        <w:t>Is there new sound medical-scientific evidence?</w:t>
      </w:r>
    </w:p>
    <w:p w14:paraId="648AC622" w14:textId="1EEA6895" w:rsidR="00D45F1B" w:rsidRDefault="00D45F1B" w:rsidP="001A1196">
      <w:pPr>
        <w:pStyle w:val="NumberLevel1"/>
        <w:numPr>
          <w:ilvl w:val="0"/>
          <w:numId w:val="4"/>
        </w:numPr>
        <w:outlineLvl w:val="9"/>
      </w:pPr>
      <w:r>
        <w:t xml:space="preserve">Since its previous consideration of the SMSE in relation to </w:t>
      </w:r>
      <w:r w:rsidR="00096E9E">
        <w:t>pesticide and herbicide exposure</w:t>
      </w:r>
      <w:r>
        <w:t xml:space="preserve">, new SMSE concerning </w:t>
      </w:r>
      <w:r w:rsidR="00096E9E">
        <w:t>exposure to these substances has been published.</w:t>
      </w:r>
      <w:r w:rsidR="003B2793">
        <w:t xml:space="preserve"> This new SMSE has been discussed above.</w:t>
      </w:r>
    </w:p>
    <w:p w14:paraId="6A3C4BED" w14:textId="53E0F945" w:rsidR="000647DA" w:rsidRPr="00234B85" w:rsidRDefault="000647DA" w:rsidP="000647DA">
      <w:pPr>
        <w:pStyle w:val="NumberLevel1"/>
        <w:tabs>
          <w:tab w:val="clear" w:pos="360"/>
        </w:tabs>
        <w:rPr>
          <w:i/>
        </w:rPr>
      </w:pPr>
      <w:r>
        <w:rPr>
          <w:i/>
        </w:rPr>
        <w:t xml:space="preserve">Is the </w:t>
      </w:r>
      <w:r w:rsidR="00CD0BC8">
        <w:rPr>
          <w:i/>
        </w:rPr>
        <w:t xml:space="preserve">available </w:t>
      </w:r>
      <w:r>
        <w:rPr>
          <w:i/>
        </w:rPr>
        <w:t>sound medical-scientific evidence sufficient to justify amendment?</w:t>
      </w:r>
    </w:p>
    <w:p w14:paraId="3DBD7076" w14:textId="015257EB" w:rsidR="003B2793" w:rsidRDefault="001A1196" w:rsidP="00ED5D33">
      <w:pPr>
        <w:pStyle w:val="NumberLevel1"/>
        <w:numPr>
          <w:ilvl w:val="0"/>
          <w:numId w:val="4"/>
        </w:numPr>
        <w:outlineLvl w:val="9"/>
      </w:pPr>
      <w:r>
        <w:t>T</w:t>
      </w:r>
      <w:r w:rsidR="0003385F">
        <w:t>h</w:t>
      </w:r>
      <w:r w:rsidR="009B700F">
        <w:t xml:space="preserve">e Authority </w:t>
      </w:r>
      <w:r w:rsidR="00CD0BC8">
        <w:t xml:space="preserve">is of the view </w:t>
      </w:r>
      <w:r w:rsidR="009B700F">
        <w:t>that the currently available SMSE</w:t>
      </w:r>
      <w:r w:rsidR="00F204BD">
        <w:t xml:space="preserve"> </w:t>
      </w:r>
      <w:r w:rsidR="00CD0BC8">
        <w:t xml:space="preserve">including the new SMSE </w:t>
      </w:r>
      <w:r w:rsidR="0003385F">
        <w:t xml:space="preserve">was </w:t>
      </w:r>
      <w:r w:rsidR="000647DA">
        <w:t xml:space="preserve">not sufficient to justify the amendment which the applicant sought. </w:t>
      </w:r>
      <w:r w:rsidR="000647DA" w:rsidRPr="000647DA">
        <w:t xml:space="preserve">The </w:t>
      </w:r>
      <w:r w:rsidR="00096E9E">
        <w:t xml:space="preserve">available </w:t>
      </w:r>
      <w:r w:rsidR="000647DA" w:rsidRPr="000647DA">
        <w:t xml:space="preserve">epidemiological </w:t>
      </w:r>
      <w:r w:rsidR="00096E9E">
        <w:t xml:space="preserve">studies involve subjects who </w:t>
      </w:r>
      <w:r w:rsidR="003B2793">
        <w:t>have been</w:t>
      </w:r>
      <w:r w:rsidR="00096E9E">
        <w:t xml:space="preserve"> exposed to multiple different chemicals. Some positive associations could be explained by co-exposures to other carbamates</w:t>
      </w:r>
      <w:r w:rsidR="000A788D">
        <w:t xml:space="preserve">, </w:t>
      </w:r>
      <w:r w:rsidR="00096E9E">
        <w:t>other chemical groups such as organophosphates, organochlorines or inorganic chemicals</w:t>
      </w:r>
      <w:r w:rsidR="000A788D">
        <w:t>, or other non-chemical risk factors</w:t>
      </w:r>
      <w:r w:rsidR="00096E9E">
        <w:t xml:space="preserve">. </w:t>
      </w:r>
    </w:p>
    <w:p w14:paraId="0116B993" w14:textId="4F037570" w:rsidR="0003385F" w:rsidRDefault="000A788D" w:rsidP="00ED5D33">
      <w:pPr>
        <w:pStyle w:val="NumberLevel1"/>
        <w:numPr>
          <w:ilvl w:val="0"/>
          <w:numId w:val="4"/>
        </w:numPr>
        <w:outlineLvl w:val="9"/>
      </w:pPr>
      <w:r>
        <w:t>Overall, t</w:t>
      </w:r>
      <w:r w:rsidR="00096E9E">
        <w:t xml:space="preserve">here are significant other limitations of these studies, including positive findings by chance due to multiple comparisons, </w:t>
      </w:r>
      <w:r>
        <w:t xml:space="preserve">imprecise exposure assessment, </w:t>
      </w:r>
      <w:r w:rsidR="00096E9E">
        <w:t>and potential confounding from unknown risk factors, radiation exposure, other chemicals or a family history of brain cancer. There is a lack of information on specificities of use like the type of equipment, the duration of treatment days and the use of protective equipment</w:t>
      </w:r>
      <w:r w:rsidR="00ED5D33">
        <w:t xml:space="preserve">. </w:t>
      </w:r>
      <w:r w:rsidR="00F06629">
        <w:t>There is no established biological mechanism by which carbamates insecticides or fungicides might cause brain cancer.</w:t>
      </w:r>
      <w:r w:rsidR="00F03308">
        <w:t xml:space="preserve"> </w:t>
      </w:r>
    </w:p>
    <w:p w14:paraId="1214F5E6" w14:textId="78CDBA95" w:rsidR="002B0EF2" w:rsidRPr="0003385F" w:rsidRDefault="00096E9E" w:rsidP="002B0EF2">
      <w:pPr>
        <w:pStyle w:val="NumberLevel1"/>
        <w:numPr>
          <w:ilvl w:val="0"/>
          <w:numId w:val="4"/>
        </w:numPr>
        <w:outlineLvl w:val="9"/>
      </w:pPr>
      <w:r>
        <w:t>Consequently,</w:t>
      </w:r>
      <w:r w:rsidR="001976D6">
        <w:t xml:space="preserve"> the</w:t>
      </w:r>
      <w:r w:rsidR="002B0EF2">
        <w:t xml:space="preserve"> evidence is too equivocal to say with any certainty whether </w:t>
      </w:r>
      <w:r w:rsidR="00454664">
        <w:t>exposure</w:t>
      </w:r>
      <w:r>
        <w:t xml:space="preserve"> to a carbamate insecticide or fungicide </w:t>
      </w:r>
      <w:r w:rsidR="00454664">
        <w:t>plays a causal role in the clinical onset or worsening of malignant neoplasm of the brain.</w:t>
      </w:r>
      <w:r w:rsidR="002B0EF2">
        <w:t xml:space="preserve"> </w:t>
      </w:r>
    </w:p>
    <w:p w14:paraId="607CEEF0" w14:textId="061AE059" w:rsidR="00614DF1" w:rsidRDefault="00614DF1" w:rsidP="00614DF1">
      <w:pPr>
        <w:pStyle w:val="PartHeading"/>
      </w:pPr>
      <w:bookmarkStart w:id="10" w:name="_Toc38025123"/>
      <w:bookmarkStart w:id="11" w:name="_Toc156722918"/>
      <w:bookmarkStart w:id="12" w:name="_Toc79672478"/>
      <w:bookmarkEnd w:id="10"/>
      <w:bookmarkEnd w:id="11"/>
      <w:r>
        <w:lastRenderedPageBreak/>
        <w:t>Conclusions</w:t>
      </w:r>
      <w:bookmarkEnd w:id="12"/>
    </w:p>
    <w:p w14:paraId="33E7673F" w14:textId="2085D370" w:rsidR="00614DF1" w:rsidRPr="00F87EC5" w:rsidRDefault="00614DF1" w:rsidP="00F87EC5">
      <w:pPr>
        <w:pStyle w:val="NumberLevel1"/>
        <w:numPr>
          <w:ilvl w:val="0"/>
          <w:numId w:val="4"/>
        </w:numPr>
        <w:outlineLvl w:val="9"/>
        <w:rPr>
          <w:szCs w:val="24"/>
        </w:rPr>
      </w:pPr>
      <w:bookmarkStart w:id="13" w:name="_Toc156722920"/>
      <w:bookmarkEnd w:id="13"/>
      <w:r w:rsidRPr="00091898">
        <w:rPr>
          <w:szCs w:val="24"/>
        </w:rPr>
        <w:t xml:space="preserve">Overall, for the reasons set out above, </w:t>
      </w:r>
      <w:r w:rsidR="000811AE">
        <w:rPr>
          <w:szCs w:val="24"/>
        </w:rPr>
        <w:t>the available SMSE is not sufficient to justify the</w:t>
      </w:r>
      <w:r w:rsidR="00ED5D33">
        <w:rPr>
          <w:szCs w:val="24"/>
        </w:rPr>
        <w:t xml:space="preserve"> amendment of the SOPs concerning malignant neoplasm of the </w:t>
      </w:r>
      <w:r w:rsidR="003A5438">
        <w:rPr>
          <w:szCs w:val="24"/>
        </w:rPr>
        <w:t>brain</w:t>
      </w:r>
      <w:r w:rsidR="00ED5D33">
        <w:rPr>
          <w:szCs w:val="24"/>
        </w:rPr>
        <w:t xml:space="preserve"> by including</w:t>
      </w:r>
      <w:r w:rsidR="000811AE">
        <w:rPr>
          <w:szCs w:val="24"/>
        </w:rPr>
        <w:t xml:space="preserve"> factors </w:t>
      </w:r>
      <w:r w:rsidR="00ED5D33">
        <w:rPr>
          <w:szCs w:val="24"/>
        </w:rPr>
        <w:t xml:space="preserve">for </w:t>
      </w:r>
      <w:r w:rsidR="003A5438">
        <w:rPr>
          <w:szCs w:val="24"/>
        </w:rPr>
        <w:t>exposure to carbamate insecticides or fungicides</w:t>
      </w:r>
      <w:r w:rsidR="00ED5D33">
        <w:rPr>
          <w:szCs w:val="24"/>
        </w:rPr>
        <w:t>.</w:t>
      </w:r>
    </w:p>
    <w:p w14:paraId="4F70B19B" w14:textId="77777777" w:rsidR="00614DF1" w:rsidRDefault="00614DF1" w:rsidP="00757EA5">
      <w:pPr>
        <w:pStyle w:val="PartHeading"/>
      </w:pPr>
      <w:bookmarkStart w:id="14" w:name="_Toc38023746"/>
      <w:bookmarkStart w:id="15" w:name="_Toc37947041"/>
      <w:bookmarkStart w:id="16" w:name="_Toc38023747"/>
      <w:bookmarkStart w:id="17" w:name="_Toc37947042"/>
      <w:bookmarkStart w:id="18" w:name="_Toc38023748"/>
      <w:bookmarkStart w:id="19" w:name="_Toc37947043"/>
      <w:bookmarkStart w:id="20" w:name="_Toc38023749"/>
      <w:bookmarkStart w:id="21" w:name="_Toc37947044"/>
      <w:bookmarkStart w:id="22" w:name="_Toc38023750"/>
      <w:bookmarkStart w:id="23" w:name="_Toc38023751"/>
      <w:bookmarkStart w:id="24" w:name="_Toc79672479"/>
      <w:bookmarkEnd w:id="14"/>
      <w:bookmarkEnd w:id="15"/>
      <w:bookmarkEnd w:id="16"/>
      <w:bookmarkEnd w:id="17"/>
      <w:bookmarkEnd w:id="18"/>
      <w:bookmarkEnd w:id="19"/>
      <w:bookmarkEnd w:id="20"/>
      <w:bookmarkEnd w:id="21"/>
      <w:bookmarkEnd w:id="22"/>
      <w:r>
        <w:t>Decision</w:t>
      </w:r>
      <w:bookmarkEnd w:id="23"/>
      <w:bookmarkEnd w:id="24"/>
    </w:p>
    <w:p w14:paraId="315A595B" w14:textId="1F23B1DC" w:rsidR="00614DF1" w:rsidRPr="007D6C12" w:rsidRDefault="00614DF1" w:rsidP="00757EA5">
      <w:pPr>
        <w:pStyle w:val="NumberLevel1"/>
        <w:keepNext/>
        <w:keepLines/>
        <w:numPr>
          <w:ilvl w:val="0"/>
          <w:numId w:val="4"/>
        </w:numPr>
        <w:outlineLvl w:val="9"/>
        <w:rPr>
          <w:szCs w:val="24"/>
        </w:rPr>
      </w:pPr>
      <w:r w:rsidRPr="00091898">
        <w:rPr>
          <w:szCs w:val="24"/>
        </w:rPr>
        <w:t xml:space="preserve">The Authority decided at its meeting on </w:t>
      </w:r>
      <w:r w:rsidR="003A5438">
        <w:rPr>
          <w:szCs w:val="24"/>
        </w:rPr>
        <w:t>4 August</w:t>
      </w:r>
      <w:r w:rsidR="000811AE">
        <w:rPr>
          <w:szCs w:val="24"/>
        </w:rPr>
        <w:t xml:space="preserve"> 2021</w:t>
      </w:r>
      <w:r w:rsidRPr="00091898">
        <w:rPr>
          <w:szCs w:val="24"/>
        </w:rPr>
        <w:t xml:space="preserve"> not to </w:t>
      </w:r>
      <w:r w:rsidR="000811AE">
        <w:rPr>
          <w:szCs w:val="24"/>
        </w:rPr>
        <w:t>amend</w:t>
      </w:r>
      <w:r w:rsidRPr="007D6C12">
        <w:rPr>
          <w:szCs w:val="24"/>
        </w:rPr>
        <w:t xml:space="preserve"> the </w:t>
      </w:r>
      <w:r>
        <w:rPr>
          <w:szCs w:val="24"/>
        </w:rPr>
        <w:t>SOP</w:t>
      </w:r>
      <w:r w:rsidR="00D4185F">
        <w:rPr>
          <w:szCs w:val="24"/>
        </w:rPr>
        <w:t>s</w:t>
      </w:r>
      <w:r w:rsidRPr="007D6C12">
        <w:rPr>
          <w:szCs w:val="24"/>
        </w:rPr>
        <w:t xml:space="preserve"> concerning </w:t>
      </w:r>
      <w:r w:rsidR="000811AE">
        <w:rPr>
          <w:szCs w:val="24"/>
        </w:rPr>
        <w:t xml:space="preserve">malignant neoplasm of the </w:t>
      </w:r>
      <w:r w:rsidR="003A5438">
        <w:rPr>
          <w:szCs w:val="24"/>
        </w:rPr>
        <w:t>brain</w:t>
      </w:r>
      <w:r w:rsidRPr="007D6C12">
        <w:rPr>
          <w:szCs w:val="24"/>
        </w:rPr>
        <w:t xml:space="preserve"> </w:t>
      </w:r>
      <w:r w:rsidRPr="00091898">
        <w:rPr>
          <w:szCs w:val="24"/>
        </w:rPr>
        <w:t>(</w:t>
      </w:r>
      <w:r w:rsidR="000811AE" w:rsidRPr="00F71036">
        <w:t xml:space="preserve">Instrument Nos. </w:t>
      </w:r>
      <w:r w:rsidR="003A5438">
        <w:t xml:space="preserve">85 </w:t>
      </w:r>
      <w:r w:rsidR="000811AE" w:rsidRPr="00F71036">
        <w:t xml:space="preserve">and </w:t>
      </w:r>
      <w:r w:rsidR="003A5438">
        <w:t>86</w:t>
      </w:r>
      <w:r w:rsidR="000811AE" w:rsidRPr="00F71036">
        <w:t xml:space="preserve"> of 201</w:t>
      </w:r>
      <w:r w:rsidR="003A5438">
        <w:t>6</w:t>
      </w:r>
      <w:r w:rsidRPr="00091898">
        <w:rPr>
          <w:szCs w:val="24"/>
        </w:rPr>
        <w:t xml:space="preserve">) as it considered that the </w:t>
      </w:r>
      <w:r w:rsidR="000811AE">
        <w:rPr>
          <w:szCs w:val="24"/>
        </w:rPr>
        <w:t>SMSE was no</w:t>
      </w:r>
      <w:r w:rsidR="00E95106">
        <w:rPr>
          <w:szCs w:val="24"/>
        </w:rPr>
        <w:t>t</w:t>
      </w:r>
      <w:r w:rsidR="000811AE">
        <w:rPr>
          <w:szCs w:val="24"/>
        </w:rPr>
        <w:t xml:space="preserve"> sufficient to justify the amendment sought </w:t>
      </w:r>
      <w:r w:rsidR="00ED5D33">
        <w:rPr>
          <w:szCs w:val="24"/>
        </w:rPr>
        <w:t xml:space="preserve">in </w:t>
      </w:r>
      <w:r w:rsidR="000811AE">
        <w:rPr>
          <w:szCs w:val="24"/>
        </w:rPr>
        <w:t>the application.</w:t>
      </w:r>
      <w:r w:rsidRPr="00091898">
        <w:rPr>
          <w:szCs w:val="24"/>
        </w:rPr>
        <w:t xml:space="preserve"> </w:t>
      </w:r>
    </w:p>
    <w:p w14:paraId="7222CDEC" w14:textId="47EF4388" w:rsidR="00614DF1" w:rsidRPr="00150C5D" w:rsidRDefault="00614DF1" w:rsidP="00757EA5">
      <w:pPr>
        <w:keepNext/>
        <w:keepLines/>
        <w:ind w:left="360"/>
        <w:jc w:val="both"/>
        <w:rPr>
          <w:sz w:val="24"/>
          <w:szCs w:val="24"/>
        </w:rPr>
      </w:pPr>
    </w:p>
    <w:p w14:paraId="3C42DD15" w14:textId="77777777" w:rsidR="00614DF1" w:rsidRPr="00150C5D" w:rsidRDefault="00614DF1" w:rsidP="00757EA5">
      <w:pPr>
        <w:keepNext/>
        <w:keepLines/>
        <w:ind w:left="360"/>
        <w:jc w:val="both"/>
        <w:rPr>
          <w:sz w:val="24"/>
          <w:szCs w:val="24"/>
        </w:rPr>
      </w:pPr>
    </w:p>
    <w:p w14:paraId="5E9F4A37" w14:textId="57F6F79F" w:rsidR="00614DF1" w:rsidRPr="00C52668" w:rsidRDefault="00460448" w:rsidP="00757EA5">
      <w:pPr>
        <w:keepNext/>
        <w:keepLines/>
        <w:ind w:left="567"/>
        <w:rPr>
          <w:rFonts w:ascii="Arial" w:hAnsi="Arial" w:cs="Arial"/>
          <w:sz w:val="22"/>
          <w:szCs w:val="22"/>
        </w:rPr>
      </w:pPr>
      <w:r>
        <w:rPr>
          <w:rFonts w:ascii="Arial" w:hAnsi="Arial" w:cs="Arial"/>
          <w:sz w:val="22"/>
          <w:szCs w:val="22"/>
        </w:rPr>
        <w:t xml:space="preserve">Professor </w:t>
      </w:r>
      <w:r w:rsidR="003A5438">
        <w:rPr>
          <w:rFonts w:ascii="Arial" w:hAnsi="Arial" w:cs="Arial"/>
          <w:sz w:val="22"/>
          <w:szCs w:val="22"/>
        </w:rPr>
        <w:t>Terence Campbell AM</w:t>
      </w:r>
    </w:p>
    <w:p w14:paraId="1FEF08CF"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Chairperson</w:t>
      </w:r>
    </w:p>
    <w:p w14:paraId="3031A519" w14:textId="77777777" w:rsidR="00614DF1" w:rsidRPr="00C52668" w:rsidRDefault="00614DF1" w:rsidP="00757EA5">
      <w:pPr>
        <w:keepNext/>
        <w:keepLines/>
        <w:ind w:left="567"/>
        <w:rPr>
          <w:rFonts w:ascii="Arial" w:hAnsi="Arial" w:cs="Arial"/>
          <w:sz w:val="22"/>
          <w:szCs w:val="22"/>
        </w:rPr>
      </w:pPr>
      <w:r w:rsidRPr="00C52668">
        <w:rPr>
          <w:rFonts w:ascii="Arial" w:hAnsi="Arial" w:cs="Arial"/>
          <w:sz w:val="22"/>
          <w:szCs w:val="22"/>
        </w:rPr>
        <w:t>Repatriation Medical Authority</w:t>
      </w:r>
    </w:p>
    <w:p w14:paraId="7B9776E3" w14:textId="77777777" w:rsidR="00614DF1" w:rsidRPr="00C52668" w:rsidRDefault="00614DF1" w:rsidP="00757EA5">
      <w:pPr>
        <w:keepNext/>
        <w:keepLines/>
        <w:ind w:left="567"/>
        <w:jc w:val="both"/>
        <w:rPr>
          <w:rFonts w:ascii="Arial" w:hAnsi="Arial" w:cs="Arial"/>
          <w:sz w:val="22"/>
          <w:szCs w:val="22"/>
        </w:rPr>
      </w:pPr>
    </w:p>
    <w:p w14:paraId="7CB8D540" w14:textId="6C98194B" w:rsidR="00614DF1" w:rsidRPr="00152FDD" w:rsidRDefault="003A5438" w:rsidP="00757EA5">
      <w:pPr>
        <w:keepNext/>
        <w:keepLines/>
        <w:ind w:left="567"/>
        <w:jc w:val="both"/>
      </w:pPr>
      <w:r>
        <w:rPr>
          <w:rFonts w:ascii="Arial" w:hAnsi="Arial" w:cs="Arial"/>
          <w:sz w:val="22"/>
          <w:szCs w:val="22"/>
        </w:rPr>
        <w:t>20 August</w:t>
      </w:r>
      <w:r w:rsidR="00070D2E">
        <w:rPr>
          <w:rFonts w:ascii="Arial" w:hAnsi="Arial" w:cs="Arial"/>
          <w:sz w:val="22"/>
          <w:szCs w:val="22"/>
        </w:rPr>
        <w:t xml:space="preserve"> 2021</w:t>
      </w:r>
    </w:p>
    <w:p w14:paraId="59DA02F1" w14:textId="77777777" w:rsidR="00152FDD" w:rsidRPr="00614DF1" w:rsidRDefault="00152FDD" w:rsidP="00757EA5">
      <w:pPr>
        <w:keepNext/>
        <w:keepLines/>
      </w:pPr>
    </w:p>
    <w:sectPr w:rsidR="00152FDD" w:rsidRPr="00614DF1" w:rsidSect="00345222">
      <w:footerReference w:type="even" r:id="rId12"/>
      <w:footerReference w:type="default" r:id="rId13"/>
      <w:footerReference w:type="first" r:id="rId14"/>
      <w:pgSz w:w="11907" w:h="16840" w:code="9"/>
      <w:pgMar w:top="1361" w:right="1247" w:bottom="1418" w:left="1247"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66B7" w14:textId="77777777" w:rsidR="001F5941" w:rsidRDefault="001F5941">
      <w:r>
        <w:separator/>
      </w:r>
    </w:p>
  </w:endnote>
  <w:endnote w:type="continuationSeparator" w:id="0">
    <w:p w14:paraId="1AB2DEA2" w14:textId="77777777" w:rsidR="001F5941" w:rsidRDefault="001F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7BD7" w14:textId="77777777" w:rsidR="00614DF1" w:rsidRDefault="00614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6AC9FE6" w14:textId="77777777" w:rsidR="00614DF1" w:rsidRDefault="00614D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4B2D" w14:textId="09DF5D6A" w:rsidR="00614DF1" w:rsidRDefault="00614DF1" w:rsidP="005121CA">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sidR="00A873B9">
      <w:rPr>
        <w:rFonts w:ascii="Arial" w:hAnsi="Arial" w:cs="Arial"/>
        <w:sz w:val="14"/>
        <w:szCs w:val="14"/>
      </w:rPr>
      <w:t>Decision not to amend</w:t>
    </w:r>
    <w:r w:rsidRPr="00C52668">
      <w:rPr>
        <w:rFonts w:ascii="Arial" w:hAnsi="Arial" w:cs="Arial"/>
        <w:sz w:val="14"/>
        <w:szCs w:val="14"/>
      </w:rPr>
      <w:t xml:space="preserve"> Statement</w:t>
    </w:r>
    <w:r w:rsidR="00C90309">
      <w:rPr>
        <w:rFonts w:ascii="Arial" w:hAnsi="Arial" w:cs="Arial"/>
        <w:sz w:val="14"/>
        <w:szCs w:val="14"/>
      </w:rPr>
      <w:t>s</w:t>
    </w:r>
    <w:r w:rsidRPr="00C52668">
      <w:rPr>
        <w:rFonts w:ascii="Arial" w:hAnsi="Arial" w:cs="Arial"/>
        <w:sz w:val="14"/>
        <w:szCs w:val="14"/>
      </w:rPr>
      <w:t xml:space="preserve"> of Principles concerning </w:t>
    </w:r>
    <w:r w:rsidR="00A873B9">
      <w:rPr>
        <w:rFonts w:ascii="Arial" w:hAnsi="Arial" w:cs="Arial"/>
        <w:sz w:val="14"/>
        <w:szCs w:val="14"/>
      </w:rPr>
      <w:t xml:space="preserve">malignant neoplasm of the </w:t>
    </w:r>
    <w:r w:rsidR="003A5438">
      <w:rPr>
        <w:rFonts w:ascii="Arial" w:hAnsi="Arial" w:cs="Arial"/>
        <w:sz w:val="14"/>
        <w:szCs w:val="14"/>
      </w:rPr>
      <w:t>brain</w:t>
    </w:r>
    <w:r>
      <w:rPr>
        <w:rFonts w:ascii="Arial" w:hAnsi="Arial" w:cs="Arial"/>
        <w:sz w:val="14"/>
        <w:szCs w:val="14"/>
      </w:rPr>
      <w:t xml:space="preserve"> No</w:t>
    </w:r>
    <w:r w:rsidR="00AD04E1">
      <w:rPr>
        <w:rFonts w:ascii="Arial" w:hAnsi="Arial" w:cs="Arial"/>
        <w:sz w:val="14"/>
        <w:szCs w:val="14"/>
      </w:rPr>
      <w:t>s</w:t>
    </w:r>
    <w:r>
      <w:rPr>
        <w:rFonts w:ascii="Arial" w:hAnsi="Arial" w:cs="Arial"/>
        <w:sz w:val="14"/>
        <w:szCs w:val="14"/>
      </w:rPr>
      <w:t xml:space="preserve">. </w:t>
    </w:r>
    <w:r w:rsidR="003A5438">
      <w:rPr>
        <w:rFonts w:ascii="Arial" w:hAnsi="Arial" w:cs="Arial"/>
        <w:sz w:val="14"/>
        <w:szCs w:val="14"/>
      </w:rPr>
      <w:t>85</w:t>
    </w:r>
    <w:r w:rsidR="00AD04E1">
      <w:rPr>
        <w:rFonts w:ascii="Arial" w:hAnsi="Arial" w:cs="Arial"/>
        <w:sz w:val="14"/>
        <w:szCs w:val="14"/>
      </w:rPr>
      <w:t xml:space="preserve"> and </w:t>
    </w:r>
    <w:r w:rsidR="003A5438">
      <w:rPr>
        <w:rFonts w:ascii="Arial" w:hAnsi="Arial" w:cs="Arial"/>
        <w:sz w:val="14"/>
        <w:szCs w:val="14"/>
      </w:rPr>
      <w:t>86</w:t>
    </w:r>
    <w:r w:rsidR="00C90309">
      <w:rPr>
        <w:rFonts w:ascii="Arial" w:hAnsi="Arial" w:cs="Arial"/>
        <w:sz w:val="14"/>
        <w:szCs w:val="14"/>
      </w:rPr>
      <w:t xml:space="preserve"> of 201</w:t>
    </w:r>
    <w:r w:rsidR="003A5438">
      <w:rPr>
        <w:rFonts w:ascii="Arial" w:hAnsi="Arial" w:cs="Arial"/>
        <w:sz w:val="14"/>
        <w:szCs w:val="14"/>
      </w:rPr>
      <w:t>6</w:t>
    </w:r>
  </w:p>
  <w:p w14:paraId="4F4CC6C7" w14:textId="1723FA7F" w:rsidR="00614DF1" w:rsidRDefault="00614DF1" w:rsidP="005121CA">
    <w:pPr>
      <w:pStyle w:val="Footer"/>
      <w:ind w:right="360"/>
      <w:jc w:val="center"/>
      <w:rPr>
        <w:szCs w:val="18"/>
      </w:rPr>
    </w:pPr>
    <w:r w:rsidRPr="00195FE5">
      <w:rPr>
        <w:rFonts w:ascii="Arial" w:hAnsi="Arial" w:cs="Arial"/>
        <w:sz w:val="14"/>
        <w:szCs w:val="14"/>
      </w:rPr>
      <w:t xml:space="preserve">Page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PAGE </w:instrText>
    </w:r>
    <w:r w:rsidRPr="00195FE5">
      <w:rPr>
        <w:rStyle w:val="PageNumber"/>
        <w:rFonts w:ascii="Arial" w:hAnsi="Arial" w:cs="Arial"/>
        <w:sz w:val="14"/>
        <w:szCs w:val="14"/>
      </w:rPr>
      <w:fldChar w:fldCharType="separate"/>
    </w:r>
    <w:r w:rsidR="00E77940">
      <w:rPr>
        <w:rStyle w:val="PageNumber"/>
        <w:rFonts w:ascii="Arial" w:hAnsi="Arial" w:cs="Arial"/>
        <w:noProof/>
        <w:sz w:val="14"/>
        <w:szCs w:val="14"/>
      </w:rPr>
      <w:t>2</w:t>
    </w:r>
    <w:r w:rsidRPr="00195FE5">
      <w:rPr>
        <w:rStyle w:val="PageNumber"/>
        <w:rFonts w:ascii="Arial" w:hAnsi="Arial" w:cs="Arial"/>
        <w:sz w:val="14"/>
        <w:szCs w:val="14"/>
      </w:rPr>
      <w:fldChar w:fldCharType="end"/>
    </w:r>
    <w:r w:rsidRPr="00195FE5">
      <w:rPr>
        <w:rStyle w:val="PageNumber"/>
        <w:rFonts w:ascii="Arial" w:hAnsi="Arial" w:cs="Arial"/>
        <w:sz w:val="14"/>
        <w:szCs w:val="14"/>
      </w:rPr>
      <w:t xml:space="preserve"> of </w:t>
    </w:r>
    <w:r w:rsidRPr="00195FE5">
      <w:rPr>
        <w:rStyle w:val="PageNumber"/>
        <w:rFonts w:ascii="Arial" w:hAnsi="Arial" w:cs="Arial"/>
        <w:sz w:val="14"/>
        <w:szCs w:val="14"/>
      </w:rPr>
      <w:fldChar w:fldCharType="begin"/>
    </w:r>
    <w:r w:rsidRPr="00195FE5">
      <w:rPr>
        <w:rStyle w:val="PageNumber"/>
        <w:rFonts w:ascii="Arial" w:hAnsi="Arial" w:cs="Arial"/>
        <w:sz w:val="14"/>
        <w:szCs w:val="14"/>
      </w:rPr>
      <w:instrText xml:space="preserve"> NUMPAGES </w:instrText>
    </w:r>
    <w:r w:rsidRPr="00195FE5">
      <w:rPr>
        <w:rStyle w:val="PageNumber"/>
        <w:rFonts w:ascii="Arial" w:hAnsi="Arial" w:cs="Arial"/>
        <w:sz w:val="14"/>
        <w:szCs w:val="14"/>
      </w:rPr>
      <w:fldChar w:fldCharType="separate"/>
    </w:r>
    <w:r w:rsidR="00E77940">
      <w:rPr>
        <w:rStyle w:val="PageNumber"/>
        <w:rFonts w:ascii="Arial" w:hAnsi="Arial" w:cs="Arial"/>
        <w:noProof/>
        <w:sz w:val="14"/>
        <w:szCs w:val="14"/>
      </w:rPr>
      <w:t>9</w:t>
    </w:r>
    <w:r w:rsidRPr="00195FE5">
      <w:rPr>
        <w:rStyle w:val="PageNumber"/>
        <w:rFonts w:ascii="Arial" w:hAnsi="Arial" w:cs="Arial"/>
        <w:sz w:val="14"/>
        <w:szCs w:val="14"/>
      </w:rPr>
      <w:fldChar w:fldCharType="end"/>
    </w:r>
  </w:p>
  <w:p w14:paraId="4F729A6E" w14:textId="77777777" w:rsidR="00614DF1" w:rsidRPr="004E2D4D" w:rsidRDefault="00614DF1" w:rsidP="00DA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5322" w14:textId="77777777" w:rsidR="00614DF1" w:rsidRDefault="00614DF1">
    <w:pPr>
      <w:pStyle w:val="Footer"/>
      <w:tabs>
        <w:tab w:val="right" w:pos="8640"/>
      </w:tabs>
    </w:pPr>
    <w:r>
      <w:tab/>
    </w:r>
  </w:p>
  <w:p w14:paraId="1B0C0F27" w14:textId="77777777" w:rsidR="00614DF1" w:rsidRPr="004E2D4D" w:rsidRDefault="00614DF1" w:rsidP="00DA2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1400" w14:textId="77777777" w:rsidR="002201AA" w:rsidRDefault="00547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90663" w14:textId="77777777" w:rsidR="002201AA" w:rsidRDefault="00220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3DE7" w14:textId="244B2FF4" w:rsidR="005121CA" w:rsidRPr="00C90309" w:rsidRDefault="003A5438" w:rsidP="00C90309">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brain Nos. 85 and 86 of 2016</w:t>
    </w:r>
  </w:p>
  <w:p w14:paraId="5A11B955" w14:textId="3A66E8F2" w:rsidR="002201AA" w:rsidRDefault="00BC279C">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E77940">
      <w:rPr>
        <w:rStyle w:val="PageNumber"/>
        <w:rFonts w:ascii="Arial" w:hAnsi="Arial" w:cs="Arial"/>
        <w:noProof/>
        <w:sz w:val="16"/>
        <w:szCs w:val="16"/>
      </w:rPr>
      <w:t>9</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77940">
      <w:rPr>
        <w:rStyle w:val="PageNumber"/>
        <w:rFonts w:ascii="Arial" w:hAnsi="Arial" w:cs="Arial"/>
        <w:noProof/>
        <w:sz w:val="16"/>
        <w:szCs w:val="16"/>
      </w:rPr>
      <w:t>9</w:t>
    </w:r>
    <w:r>
      <w:rPr>
        <w:rStyle w:val="PageNumber"/>
        <w:rFonts w:ascii="Arial" w:hAnsi="Arial" w:cs="Arial"/>
        <w:sz w:val="16"/>
        <w:szCs w:val="16"/>
      </w:rPr>
      <w:fldChar w:fldCharType="end"/>
    </w:r>
    <w:r>
      <w:rPr>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9F6C" w14:textId="644EB348" w:rsidR="00C90309" w:rsidRDefault="003A5438" w:rsidP="00C90309">
    <w:pPr>
      <w:pStyle w:val="Footer"/>
      <w:ind w:right="360"/>
      <w:jc w:val="center"/>
      <w:rPr>
        <w:rFonts w:ascii="Arial" w:hAnsi="Arial" w:cs="Arial"/>
        <w:sz w:val="14"/>
        <w:szCs w:val="14"/>
      </w:rPr>
    </w:pPr>
    <w:r w:rsidRPr="00C52668">
      <w:rPr>
        <w:rFonts w:ascii="Arial" w:hAnsi="Arial" w:cs="Arial"/>
        <w:sz w:val="14"/>
        <w:szCs w:val="14"/>
      </w:rPr>
      <w:t xml:space="preserve">Statement of Reasons – </w:t>
    </w:r>
    <w:r>
      <w:rPr>
        <w:rFonts w:ascii="Arial" w:hAnsi="Arial" w:cs="Arial"/>
        <w:sz w:val="14"/>
        <w:szCs w:val="14"/>
      </w:rPr>
      <w:t>Decision not to amend</w:t>
    </w:r>
    <w:r w:rsidRPr="00C52668">
      <w:rPr>
        <w:rFonts w:ascii="Arial" w:hAnsi="Arial" w:cs="Arial"/>
        <w:sz w:val="14"/>
        <w:szCs w:val="14"/>
      </w:rPr>
      <w:t xml:space="preserve"> Statement</w:t>
    </w:r>
    <w:r>
      <w:rPr>
        <w:rFonts w:ascii="Arial" w:hAnsi="Arial" w:cs="Arial"/>
        <w:sz w:val="14"/>
        <w:szCs w:val="14"/>
      </w:rPr>
      <w:t>s</w:t>
    </w:r>
    <w:r w:rsidRPr="00C52668">
      <w:rPr>
        <w:rFonts w:ascii="Arial" w:hAnsi="Arial" w:cs="Arial"/>
        <w:sz w:val="14"/>
        <w:szCs w:val="14"/>
      </w:rPr>
      <w:t xml:space="preserve"> of Principles concerning </w:t>
    </w:r>
    <w:r>
      <w:rPr>
        <w:rFonts w:ascii="Arial" w:hAnsi="Arial" w:cs="Arial"/>
        <w:sz w:val="14"/>
        <w:szCs w:val="14"/>
      </w:rPr>
      <w:t>malignant neoplasm of the brain Nos. 85 and 86 of 2016</w:t>
    </w:r>
  </w:p>
  <w:p w14:paraId="1E101BF1" w14:textId="2ADFE311" w:rsidR="002201AA" w:rsidRDefault="00BC279C" w:rsidP="005121CA">
    <w:pPr>
      <w:pStyle w:val="Footer"/>
      <w:jc w:val="center"/>
      <w:rPr>
        <w:sz w:val="20"/>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E77940">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7794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EDD5" w14:textId="77777777" w:rsidR="001F5941" w:rsidRDefault="001F5941">
      <w:r>
        <w:separator/>
      </w:r>
    </w:p>
  </w:footnote>
  <w:footnote w:type="continuationSeparator" w:id="0">
    <w:p w14:paraId="2AABA4E7" w14:textId="77777777" w:rsidR="001F5941" w:rsidRDefault="001F5941">
      <w:r>
        <w:continuationSeparator/>
      </w:r>
    </w:p>
  </w:footnote>
  <w:footnote w:id="1">
    <w:p w14:paraId="4C997EC7" w14:textId="77777777" w:rsidR="00BE2CC2" w:rsidRPr="00E826EA" w:rsidRDefault="00BE2CC2" w:rsidP="00BE2CC2">
      <w:pPr>
        <w:pStyle w:val="FootnoteText"/>
        <w:rPr>
          <w:lang w:val="fr-FR"/>
        </w:rPr>
      </w:pPr>
      <w:r>
        <w:rPr>
          <w:rStyle w:val="FootnoteReference"/>
        </w:rPr>
        <w:footnoteRef/>
      </w:r>
      <w:r w:rsidRPr="00E826EA">
        <w:rPr>
          <w:lang w:val="fr-FR"/>
        </w:rPr>
        <w:t xml:space="preserve"> </w:t>
      </w:r>
      <w:proofErr w:type="spellStart"/>
      <w:r w:rsidRPr="00E826EA">
        <w:rPr>
          <w:lang w:val="fr-FR"/>
        </w:rPr>
        <w:t>Fallahi</w:t>
      </w:r>
      <w:proofErr w:type="spellEnd"/>
      <w:r w:rsidRPr="00E826EA">
        <w:rPr>
          <w:lang w:val="fr-FR"/>
        </w:rPr>
        <w:t xml:space="preserve"> P, </w:t>
      </w:r>
      <w:proofErr w:type="spellStart"/>
      <w:r w:rsidRPr="00E826EA">
        <w:rPr>
          <w:lang w:val="fr-FR"/>
        </w:rPr>
        <w:t>Foddis</w:t>
      </w:r>
      <w:proofErr w:type="spellEnd"/>
      <w:r w:rsidRPr="00E826EA">
        <w:rPr>
          <w:lang w:val="fr-FR"/>
        </w:rPr>
        <w:t xml:space="preserve"> R, </w:t>
      </w:r>
      <w:proofErr w:type="spellStart"/>
      <w:r w:rsidRPr="00E826EA">
        <w:rPr>
          <w:lang w:val="fr-FR"/>
        </w:rPr>
        <w:t>Cristaudo</w:t>
      </w:r>
      <w:proofErr w:type="spellEnd"/>
      <w:r w:rsidRPr="00E826EA">
        <w:rPr>
          <w:lang w:val="fr-FR"/>
        </w:rPr>
        <w:t xml:space="preserve"> A, et al (2017). </w:t>
      </w:r>
      <w:r w:rsidRPr="00401394">
        <w:t xml:space="preserve">High risk of brain </w:t>
      </w:r>
      <w:proofErr w:type="spellStart"/>
      <w:r w:rsidRPr="00401394">
        <w:t>tumors</w:t>
      </w:r>
      <w:proofErr w:type="spellEnd"/>
      <w:r w:rsidRPr="00401394">
        <w:t xml:space="preserve"> in farmers: a mini-review of the literature, and report of the results of a case control study. </w:t>
      </w:r>
      <w:r w:rsidRPr="00E826EA">
        <w:rPr>
          <w:lang w:val="fr-FR"/>
        </w:rPr>
        <w:t xml:space="preserve">Clin Ter, 168(5): e290-e292. </w:t>
      </w:r>
      <w:hyperlink r:id="rId1" w:history="1">
        <w:r w:rsidRPr="00E826EA">
          <w:rPr>
            <w:rStyle w:val="Hyperlink"/>
            <w:lang w:val="fr-FR"/>
          </w:rPr>
          <w:t>https://pubmed.ncbi.nlm.nih.gov/29044349/</w:t>
        </w:r>
      </w:hyperlink>
      <w:r w:rsidRPr="00E826EA">
        <w:rPr>
          <w:lang w:val="fr-FR"/>
        </w:rPr>
        <w:t>.</w:t>
      </w:r>
    </w:p>
    <w:p w14:paraId="37A17DF9" w14:textId="77777777" w:rsidR="00BE2CC2" w:rsidRPr="00E826EA" w:rsidRDefault="00BE2CC2" w:rsidP="00BE2CC2">
      <w:pPr>
        <w:pStyle w:val="FootnoteText"/>
        <w:rPr>
          <w:lang w:val="fr-FR"/>
        </w:rPr>
      </w:pPr>
      <w:r w:rsidRPr="00E826EA">
        <w:rPr>
          <w:lang w:val="fr-FR"/>
        </w:rPr>
        <w:t xml:space="preserve">Lee W, Colt J, Heineman E, et al (2005). </w:t>
      </w:r>
      <w:r w:rsidRPr="00401394">
        <w:t xml:space="preserve">Agricultural pesticide use and risk of glioma in Nebraska, United States. </w:t>
      </w:r>
      <w:proofErr w:type="spellStart"/>
      <w:r w:rsidRPr="00E826EA">
        <w:rPr>
          <w:lang w:val="fr-FR"/>
        </w:rPr>
        <w:t>Occup</w:t>
      </w:r>
      <w:proofErr w:type="spellEnd"/>
      <w:r w:rsidRPr="00E826EA">
        <w:rPr>
          <w:lang w:val="fr-FR"/>
        </w:rPr>
        <w:t xml:space="preserve"> Environ Med, 62(11): 786-92. </w:t>
      </w:r>
      <w:hyperlink r:id="rId2" w:history="1">
        <w:r w:rsidRPr="00E826EA">
          <w:rPr>
            <w:rStyle w:val="Hyperlink"/>
            <w:lang w:val="fr-FR"/>
          </w:rPr>
          <w:t>https://www.ncbi.nlm.nih.gov/pmc/articles/PMC1740883/</w:t>
        </w:r>
      </w:hyperlink>
      <w:r w:rsidRPr="00E826EA">
        <w:rPr>
          <w:lang w:val="fr-FR"/>
        </w:rPr>
        <w:t>.</w:t>
      </w:r>
    </w:p>
    <w:p w14:paraId="496A7F97" w14:textId="77777777" w:rsidR="00BE2CC2" w:rsidRDefault="00BE2CC2" w:rsidP="00BE2CC2">
      <w:pPr>
        <w:pStyle w:val="FootnoteText"/>
      </w:pPr>
      <w:r w:rsidRPr="00401394">
        <w:t xml:space="preserve">Hagan K, </w:t>
      </w:r>
      <w:proofErr w:type="spellStart"/>
      <w:r w:rsidRPr="00401394">
        <w:t>Bhavsar</w:t>
      </w:r>
      <w:proofErr w:type="spellEnd"/>
      <w:r w:rsidRPr="00401394">
        <w:t xml:space="preserve"> S, </w:t>
      </w:r>
      <w:proofErr w:type="spellStart"/>
      <w:r w:rsidRPr="00401394">
        <w:t>Arunkumar</w:t>
      </w:r>
      <w:proofErr w:type="spellEnd"/>
      <w:r w:rsidRPr="00401394">
        <w:t xml:space="preserve"> R, et al (2017). Association between perioperative </w:t>
      </w:r>
      <w:proofErr w:type="spellStart"/>
      <w:r w:rsidRPr="00401394">
        <w:t>hyperglycemia</w:t>
      </w:r>
      <w:proofErr w:type="spellEnd"/>
      <w:r w:rsidRPr="00401394">
        <w:t xml:space="preserve"> and survival in patients with glioblastoma. 29(1): 21-9. </w:t>
      </w:r>
      <w:hyperlink r:id="rId3" w:history="1">
        <w:r w:rsidRPr="00BA58AE">
          <w:rPr>
            <w:rStyle w:val="Hyperlink"/>
          </w:rPr>
          <w:t>www.ncbi.nlm.nih.gov/pubmed/27438798</w:t>
        </w:r>
      </w:hyperlink>
      <w:r>
        <w:t xml:space="preserve">. </w:t>
      </w:r>
    </w:p>
  </w:footnote>
  <w:footnote w:id="2">
    <w:p w14:paraId="15AD9E4C" w14:textId="77777777" w:rsidR="00BE2CC2" w:rsidRDefault="00BE2CC2" w:rsidP="00BE2CC2">
      <w:pPr>
        <w:pStyle w:val="FootnoteText"/>
      </w:pPr>
      <w:r>
        <w:rPr>
          <w:rStyle w:val="FootnoteReference"/>
        </w:rPr>
        <w:footnoteRef/>
      </w:r>
      <w:r>
        <w:t xml:space="preserve"> </w:t>
      </w:r>
      <w:r w:rsidRPr="00BE45FB">
        <w:t>The Daily Beast (30/03/2021). The last battle of the Vietnam War: Agent Orange and its ‘presumed diseases’.</w:t>
      </w:r>
      <w:r>
        <w:t xml:space="preserve"> </w:t>
      </w:r>
      <w:hyperlink r:id="rId4" w:history="1">
        <w:r w:rsidRPr="00BA58AE">
          <w:rPr>
            <w:rStyle w:val="Hyperlink"/>
          </w:rPr>
          <w:t>https://www.thedailybeast.com/the-last-battle-of-the-vietnam-war-agent-orange-and-its-presumed-diseases</w:t>
        </w:r>
      </w:hyperlink>
      <w:r>
        <w:t xml:space="preserve">. </w:t>
      </w:r>
    </w:p>
  </w:footnote>
  <w:footnote w:id="3">
    <w:p w14:paraId="604DB100" w14:textId="096541E8" w:rsidR="00E51A46" w:rsidRPr="000A788D" w:rsidRDefault="00E51A46">
      <w:pPr>
        <w:pStyle w:val="FootnoteText"/>
        <w:rPr>
          <w:lang w:val="fr-FR"/>
        </w:rPr>
      </w:pPr>
      <w:r>
        <w:rPr>
          <w:rStyle w:val="FootnoteReference"/>
        </w:rPr>
        <w:footnoteRef/>
      </w:r>
      <w:r w:rsidRPr="000A788D">
        <w:rPr>
          <w:lang w:val="fr-FR"/>
        </w:rPr>
        <w:t xml:space="preserve"> </w:t>
      </w:r>
      <w:proofErr w:type="spellStart"/>
      <w:r w:rsidRPr="00E94936">
        <w:rPr>
          <w:lang w:val="fr-FR"/>
        </w:rPr>
        <w:t>Piel</w:t>
      </w:r>
      <w:proofErr w:type="spellEnd"/>
      <w:r w:rsidRPr="00E94936">
        <w:rPr>
          <w:lang w:val="fr-FR"/>
        </w:rPr>
        <w:t xml:space="preserve"> C, </w:t>
      </w:r>
      <w:proofErr w:type="spellStart"/>
      <w:r w:rsidRPr="00E94936">
        <w:rPr>
          <w:lang w:val="fr-FR"/>
        </w:rPr>
        <w:t>Pouchieu</w:t>
      </w:r>
      <w:proofErr w:type="spellEnd"/>
      <w:r w:rsidRPr="00E94936">
        <w:rPr>
          <w:lang w:val="fr-FR"/>
        </w:rPr>
        <w:t xml:space="preserve"> C, Carles C, et al (2019). </w:t>
      </w:r>
      <w:r>
        <w:t xml:space="preserve">Agricultural exposures to carbamate herbicides and fungicides and central nervous system tumour incidence in the cohort AGRICAN. </w:t>
      </w:r>
      <w:r w:rsidRPr="00E94936">
        <w:rPr>
          <w:lang w:val="fr-FR"/>
        </w:rPr>
        <w:t>Environ Int, 130: 104876</w:t>
      </w:r>
      <w:r>
        <w:rPr>
          <w:lang w:val="fr-FR"/>
        </w:rPr>
        <w:t>.</w:t>
      </w:r>
    </w:p>
  </w:footnote>
  <w:footnote w:id="4">
    <w:p w14:paraId="6E414556" w14:textId="575CFDAC" w:rsidR="00E51A46" w:rsidRPr="000A788D" w:rsidRDefault="00E51A46">
      <w:pPr>
        <w:pStyle w:val="FootnoteText"/>
        <w:rPr>
          <w:lang w:val="fr-FR"/>
        </w:rPr>
      </w:pPr>
      <w:r>
        <w:rPr>
          <w:rStyle w:val="FootnoteReference"/>
        </w:rPr>
        <w:footnoteRef/>
      </w:r>
      <w:r w:rsidRPr="000A788D">
        <w:rPr>
          <w:lang w:val="fr-FR"/>
        </w:rPr>
        <w:t xml:space="preserve"> </w:t>
      </w:r>
      <w:proofErr w:type="spellStart"/>
      <w:r w:rsidRPr="00E94936">
        <w:rPr>
          <w:lang w:val="fr-FR"/>
        </w:rPr>
        <w:t>Piel</w:t>
      </w:r>
      <w:proofErr w:type="spellEnd"/>
      <w:r w:rsidRPr="00E94936">
        <w:rPr>
          <w:lang w:val="fr-FR"/>
        </w:rPr>
        <w:t xml:space="preserve"> C, </w:t>
      </w:r>
      <w:proofErr w:type="spellStart"/>
      <w:r w:rsidRPr="00E94936">
        <w:rPr>
          <w:lang w:val="fr-FR"/>
        </w:rPr>
        <w:t>Pouchieu</w:t>
      </w:r>
      <w:proofErr w:type="spellEnd"/>
      <w:r w:rsidRPr="00E94936">
        <w:rPr>
          <w:lang w:val="fr-FR"/>
        </w:rPr>
        <w:t xml:space="preserve"> C, </w:t>
      </w:r>
      <w:proofErr w:type="spellStart"/>
      <w:r w:rsidRPr="00E94936">
        <w:rPr>
          <w:lang w:val="fr-FR"/>
        </w:rPr>
        <w:t>Migault</w:t>
      </w:r>
      <w:proofErr w:type="spellEnd"/>
      <w:r w:rsidRPr="00E94936">
        <w:rPr>
          <w:lang w:val="fr-FR"/>
        </w:rPr>
        <w:t xml:space="preserve"> L, et al (2019). </w:t>
      </w:r>
      <w:r>
        <w:t xml:space="preserve">Increased risk of central nervous system tumours with carbamate insecticide use in the prospective cohort AGRICAN. </w:t>
      </w:r>
      <w:r w:rsidRPr="00E94936">
        <w:rPr>
          <w:lang w:val="fr-FR"/>
        </w:rPr>
        <w:t xml:space="preserve">Int J </w:t>
      </w:r>
      <w:proofErr w:type="spellStart"/>
      <w:r w:rsidRPr="00E94936">
        <w:rPr>
          <w:lang w:val="fr-FR"/>
        </w:rPr>
        <w:t>Epidemiol</w:t>
      </w:r>
      <w:proofErr w:type="spellEnd"/>
      <w:r w:rsidRPr="00E94936">
        <w:rPr>
          <w:lang w:val="fr-FR"/>
        </w:rPr>
        <w:t>, 48(2): 512-26.</w:t>
      </w:r>
    </w:p>
  </w:footnote>
  <w:footnote w:id="5">
    <w:p w14:paraId="3F48BAAC" w14:textId="1E978339" w:rsidR="00E51A46" w:rsidRDefault="00E51A46">
      <w:pPr>
        <w:pStyle w:val="FootnoteText"/>
      </w:pPr>
      <w:r>
        <w:rPr>
          <w:rStyle w:val="FootnoteReference"/>
        </w:rPr>
        <w:footnoteRef/>
      </w:r>
      <w:r w:rsidRPr="000A788D">
        <w:rPr>
          <w:lang w:val="fr-FR"/>
        </w:rPr>
        <w:t xml:space="preserve"> </w:t>
      </w:r>
      <w:r w:rsidRPr="00E94936">
        <w:rPr>
          <w:lang w:val="fr-FR"/>
        </w:rPr>
        <w:t xml:space="preserve">Lemarchand C, Tual S, </w:t>
      </w:r>
      <w:proofErr w:type="spellStart"/>
      <w:r w:rsidRPr="00E94936">
        <w:rPr>
          <w:lang w:val="fr-FR"/>
        </w:rPr>
        <w:t>Leveque-Morlais</w:t>
      </w:r>
      <w:proofErr w:type="spellEnd"/>
      <w:r w:rsidRPr="00E94936">
        <w:rPr>
          <w:lang w:val="fr-FR"/>
        </w:rPr>
        <w:t xml:space="preserve"> N et al (2017). </w:t>
      </w:r>
      <w:r>
        <w:t xml:space="preserve">Cancer incidence in the AGRICAN cohort study (2005-2011). </w:t>
      </w:r>
      <w:r w:rsidRPr="000A788D">
        <w:t xml:space="preserve">Cancer </w:t>
      </w:r>
      <w:proofErr w:type="spellStart"/>
      <w:r w:rsidRPr="000A788D">
        <w:t>Epidemiol</w:t>
      </w:r>
      <w:proofErr w:type="spellEnd"/>
      <w:r w:rsidRPr="000A788D">
        <w:t>, 49:175–85.</w:t>
      </w:r>
    </w:p>
  </w:footnote>
  <w:footnote w:id="6">
    <w:p w14:paraId="7B7274C2" w14:textId="32A4EE3A" w:rsidR="00E51A46" w:rsidRDefault="00E51A46">
      <w:pPr>
        <w:pStyle w:val="FootnoteText"/>
      </w:pPr>
      <w:r>
        <w:rPr>
          <w:rStyle w:val="FootnoteReference"/>
        </w:rPr>
        <w:footnoteRef/>
      </w:r>
      <w:r>
        <w:t xml:space="preserve"> </w:t>
      </w:r>
      <w:proofErr w:type="spellStart"/>
      <w:r>
        <w:t>Yiin</w:t>
      </w:r>
      <w:proofErr w:type="spellEnd"/>
      <w:r>
        <w:t xml:space="preserve"> JH, Ruder AM, Stewart PA et al (2012). The Upper Midwest health study: a case–control study of pesticide applicators and risk of glioma. Environ Health, 11:39.</w:t>
      </w:r>
    </w:p>
  </w:footnote>
  <w:footnote w:id="7">
    <w:p w14:paraId="37DCB09C" w14:textId="7C05AE55" w:rsidR="00E51A46" w:rsidRDefault="00E51A46">
      <w:pPr>
        <w:pStyle w:val="FootnoteText"/>
      </w:pPr>
      <w:r>
        <w:rPr>
          <w:rStyle w:val="FootnoteReference"/>
        </w:rPr>
        <w:footnoteRef/>
      </w:r>
      <w:r>
        <w:t xml:space="preserve"> </w:t>
      </w:r>
      <w:proofErr w:type="spellStart"/>
      <w:r w:rsidRPr="000A788D">
        <w:t>Piel</w:t>
      </w:r>
      <w:proofErr w:type="spellEnd"/>
      <w:r w:rsidRPr="000A788D">
        <w:t xml:space="preserve"> C, </w:t>
      </w:r>
      <w:proofErr w:type="spellStart"/>
      <w:r w:rsidRPr="000A788D">
        <w:t>Pouchieu</w:t>
      </w:r>
      <w:proofErr w:type="spellEnd"/>
      <w:r w:rsidRPr="000A788D">
        <w:t xml:space="preserve"> C, </w:t>
      </w:r>
      <w:proofErr w:type="spellStart"/>
      <w:r w:rsidRPr="000A788D">
        <w:t>Tual</w:t>
      </w:r>
      <w:proofErr w:type="spellEnd"/>
      <w:r w:rsidRPr="000A788D">
        <w:t xml:space="preserve"> S, et al (2017). </w:t>
      </w:r>
      <w:r>
        <w:t xml:space="preserve">Central nervous system </w:t>
      </w:r>
      <w:proofErr w:type="spellStart"/>
      <w:r>
        <w:t>tumors</w:t>
      </w:r>
      <w:proofErr w:type="spellEnd"/>
      <w:r>
        <w:t xml:space="preserve"> and agricultural exposures in the prospective cohort AGRICAN. </w:t>
      </w:r>
      <w:proofErr w:type="spellStart"/>
      <w:r>
        <w:t>Int</w:t>
      </w:r>
      <w:proofErr w:type="spellEnd"/>
      <w:r>
        <w:t xml:space="preserve"> J Cancer, 141(9):1771-1782.</w:t>
      </w:r>
    </w:p>
  </w:footnote>
  <w:footnote w:id="8">
    <w:p w14:paraId="370D1CE3" w14:textId="5326AB55" w:rsidR="0002096B" w:rsidRDefault="0002096B">
      <w:pPr>
        <w:pStyle w:val="FootnoteText"/>
      </w:pPr>
      <w:r>
        <w:rPr>
          <w:rStyle w:val="FootnoteReference"/>
        </w:rPr>
        <w:footnoteRef/>
      </w:r>
      <w:r>
        <w:t xml:space="preserve"> I</w:t>
      </w:r>
      <w:r w:rsidRPr="0002096B">
        <w:t xml:space="preserve">t not otherwise being an application within </w:t>
      </w:r>
      <w:r>
        <w:t xml:space="preserve">either </w:t>
      </w:r>
      <w:r w:rsidRPr="0002096B">
        <w:t xml:space="preserve">subsection </w:t>
      </w:r>
      <w:proofErr w:type="gramStart"/>
      <w:r w:rsidRPr="0002096B">
        <w:t>196C(</w:t>
      </w:r>
      <w:proofErr w:type="gramEnd"/>
      <w:r w:rsidRPr="0002096B">
        <w:t>4) or section 196CA</w:t>
      </w:r>
      <w:r>
        <w:t xml:space="preserve"> of the VEA</w:t>
      </w:r>
      <w:r w:rsidRPr="000209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538"/>
    <w:multiLevelType w:val="hybridMultilevel"/>
    <w:tmpl w:val="7C6480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0716E7B"/>
    <w:multiLevelType w:val="hybridMultilevel"/>
    <w:tmpl w:val="880472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F50C2E"/>
    <w:multiLevelType w:val="hybridMultilevel"/>
    <w:tmpl w:val="DA36047C"/>
    <w:lvl w:ilvl="0" w:tplc="AEAC6E0C">
      <w:start w:val="11"/>
      <w:numFmt w:val="decimal"/>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D485C"/>
    <w:multiLevelType w:val="hybridMultilevel"/>
    <w:tmpl w:val="5E38ECCC"/>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04248D0"/>
    <w:multiLevelType w:val="multilevel"/>
    <w:tmpl w:val="68D4FB4C"/>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5" w15:restartNumberingAfterBreak="0">
    <w:nsid w:val="2A331D63"/>
    <w:multiLevelType w:val="hybridMultilevel"/>
    <w:tmpl w:val="0DF010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8C94318"/>
    <w:multiLevelType w:val="hybridMultilevel"/>
    <w:tmpl w:val="F414652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1E5050"/>
    <w:multiLevelType w:val="hybridMultilevel"/>
    <w:tmpl w:val="7DC0C166"/>
    <w:lvl w:ilvl="0" w:tplc="D6A4FB8A">
      <w:start w:val="3"/>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8" w15:restartNumberingAfterBreak="0">
    <w:nsid w:val="53FD4BC6"/>
    <w:multiLevelType w:val="multilevel"/>
    <w:tmpl w:val="920E9568"/>
    <w:name w:val="AGSPart"/>
    <w:lvl w:ilvl="0">
      <w:start w:val="1"/>
      <w:numFmt w:val="upperRoman"/>
      <w:pStyle w:val="PartHeading"/>
      <w:lvlText w:val="Part  %1"/>
      <w:lvlJc w:val="left"/>
      <w:pPr>
        <w:tabs>
          <w:tab w:val="num" w:pos="1134"/>
        </w:tabs>
        <w:ind w:left="1134" w:hanging="113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E7A4839"/>
    <w:multiLevelType w:val="hybridMultilevel"/>
    <w:tmpl w:val="1374C44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040460F"/>
    <w:multiLevelType w:val="hybridMultilevel"/>
    <w:tmpl w:val="035AD1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7E46922"/>
    <w:multiLevelType w:val="hybridMultilevel"/>
    <w:tmpl w:val="F11A194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0035D0"/>
    <w:multiLevelType w:val="multilevel"/>
    <w:tmpl w:val="218C610A"/>
    <w:lvl w:ilvl="0">
      <w:start w:val="1"/>
      <w:numFmt w:val="decimal"/>
      <w:lvlText w:val="%1."/>
      <w:lvlJc w:val="left"/>
      <w:pPr>
        <w:tabs>
          <w:tab w:val="num" w:pos="567"/>
        </w:tabs>
        <w:ind w:left="567" w:hanging="567"/>
      </w:pPr>
      <w:rPr>
        <w:rFonts w:cs="Times New Roman" w:hint="default"/>
        <w:b w:val="0"/>
      </w:rPr>
    </w:lvl>
    <w:lvl w:ilvl="1">
      <w:start w:val="1"/>
      <w:numFmt w:val="bullet"/>
      <w:lvlText w:val=""/>
      <w:lvlJc w:val="left"/>
      <w:pPr>
        <w:tabs>
          <w:tab w:val="num" w:pos="927"/>
        </w:tabs>
        <w:ind w:left="927" w:hanging="360"/>
      </w:pPr>
      <w:rPr>
        <w:rFonts w:ascii="Symbol" w:hAnsi="Symbol" w:hint="default"/>
      </w:rPr>
    </w:lvl>
    <w:lvl w:ilvl="2">
      <w:start w:val="1"/>
      <w:numFmt w:val="lowerLetter"/>
      <w:lvlText w:val="(%3)"/>
      <w:lvlJc w:val="left"/>
      <w:pPr>
        <w:tabs>
          <w:tab w:val="num" w:pos="1494"/>
        </w:tabs>
        <w:ind w:left="1494" w:hanging="360"/>
      </w:pPr>
      <w:rPr>
        <w:rFonts w:cs="Times New Roman" w:hint="default"/>
      </w:rPr>
    </w:lvl>
    <w:lvl w:ilvl="3">
      <w:start w:val="1"/>
      <w:numFmt w:val="decimal"/>
      <w:lvlText w:val="%1.%2.%3.%4."/>
      <w:lvlJc w:val="left"/>
      <w:pPr>
        <w:tabs>
          <w:tab w:val="num" w:pos="2835"/>
        </w:tabs>
        <w:ind w:left="2835" w:hanging="851"/>
      </w:pPr>
      <w:rPr>
        <w:rFonts w:cs="Times New Roman" w:hint="default"/>
      </w:rPr>
    </w:lvl>
    <w:lvl w:ilvl="4">
      <w:start w:val="1"/>
      <w:numFmt w:val="decimal"/>
      <w:lvlText w:val="%1.%2.%3.%4.%5."/>
      <w:lvlJc w:val="left"/>
      <w:pPr>
        <w:tabs>
          <w:tab w:val="num" w:pos="3969"/>
        </w:tabs>
        <w:ind w:left="3969" w:hanging="1134"/>
      </w:pPr>
      <w:rPr>
        <w:rFonts w:cs="Times New Roman" w:hint="default"/>
      </w:rPr>
    </w:lvl>
    <w:lvl w:ilvl="5">
      <w:start w:val="1"/>
      <w:numFmt w:val="decimal"/>
      <w:lvlText w:val="%1.%2.%3.%4.%5.%6."/>
      <w:lvlJc w:val="left"/>
      <w:pPr>
        <w:tabs>
          <w:tab w:val="num" w:pos="5102"/>
        </w:tabs>
        <w:ind w:left="5102" w:hanging="1133"/>
      </w:pPr>
      <w:rPr>
        <w:rFonts w:cs="Times New Roman" w:hint="default"/>
      </w:rPr>
    </w:lvl>
    <w:lvl w:ilvl="6">
      <w:start w:val="1"/>
      <w:numFmt w:val="decimal"/>
      <w:lvlText w:val="%1.%2.%3.%4.%5.%6.%7."/>
      <w:lvlJc w:val="left"/>
      <w:pPr>
        <w:tabs>
          <w:tab w:val="num" w:pos="6236"/>
        </w:tabs>
        <w:ind w:left="6236" w:hanging="1134"/>
      </w:pPr>
      <w:rPr>
        <w:rFonts w:cs="Times New Roman" w:hint="default"/>
      </w:rPr>
    </w:lvl>
    <w:lvl w:ilvl="7">
      <w:start w:val="1"/>
      <w:numFmt w:val="decimal"/>
      <w:lvlText w:val="%1.%2.%3.%4.%5.%6.%7.%8."/>
      <w:lvlJc w:val="left"/>
      <w:pPr>
        <w:tabs>
          <w:tab w:val="num" w:pos="7370"/>
        </w:tabs>
        <w:ind w:left="7370" w:hanging="1134"/>
      </w:pPr>
      <w:rPr>
        <w:rFonts w:cs="Times New Roman" w:hint="default"/>
      </w:rPr>
    </w:lvl>
    <w:lvl w:ilvl="8">
      <w:start w:val="1"/>
      <w:numFmt w:val="decimal"/>
      <w:lvlText w:val="%1.%2.%3.%4.%5.%6.%7.%8.%9."/>
      <w:lvlJc w:val="left"/>
      <w:pPr>
        <w:tabs>
          <w:tab w:val="num" w:pos="7370"/>
        </w:tabs>
        <w:ind w:left="7370" w:hanging="1134"/>
      </w:pPr>
      <w:rPr>
        <w:rFonts w:cs="Times New Roman" w:hint="default"/>
      </w:rPr>
    </w:lvl>
  </w:abstractNum>
  <w:abstractNum w:abstractNumId="13" w15:restartNumberingAfterBreak="0">
    <w:nsid w:val="74B76FC9"/>
    <w:multiLevelType w:val="hybridMultilevel"/>
    <w:tmpl w:val="81FE6D14"/>
    <w:lvl w:ilvl="0" w:tplc="0C090003">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6336616"/>
    <w:multiLevelType w:val="hybridMultilevel"/>
    <w:tmpl w:val="3544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1"/>
  </w:num>
  <w:num w:numId="6">
    <w:abstractNumId w:val="5"/>
  </w:num>
  <w:num w:numId="7">
    <w:abstractNumId w:val="9"/>
  </w:num>
  <w:num w:numId="8">
    <w:abstractNumId w:val="13"/>
  </w:num>
  <w:num w:numId="9">
    <w:abstractNumId w:val="3"/>
  </w:num>
  <w:num w:numId="10">
    <w:abstractNumId w:val="11"/>
  </w:num>
  <w:num w:numId="11">
    <w:abstractNumId w:val="0"/>
  </w:num>
  <w:num w:numId="12">
    <w:abstractNumId w:val="10"/>
  </w:num>
  <w:num w:numId="13">
    <w:abstractNumId w:val="2"/>
  </w:num>
  <w:num w:numId="14">
    <w:abstractNumId w:val="1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E9"/>
    <w:rsid w:val="00013739"/>
    <w:rsid w:val="0002096B"/>
    <w:rsid w:val="000236B4"/>
    <w:rsid w:val="00024CCA"/>
    <w:rsid w:val="0003385F"/>
    <w:rsid w:val="00035F56"/>
    <w:rsid w:val="00052939"/>
    <w:rsid w:val="000647DA"/>
    <w:rsid w:val="00070D2E"/>
    <w:rsid w:val="00074539"/>
    <w:rsid w:val="000811AE"/>
    <w:rsid w:val="00096E9E"/>
    <w:rsid w:val="00097496"/>
    <w:rsid w:val="0009764E"/>
    <w:rsid w:val="000A2280"/>
    <w:rsid w:val="000A4E16"/>
    <w:rsid w:val="000A788D"/>
    <w:rsid w:val="000B1F11"/>
    <w:rsid w:val="000B28B4"/>
    <w:rsid w:val="000B5F3C"/>
    <w:rsid w:val="000C3725"/>
    <w:rsid w:val="000C4761"/>
    <w:rsid w:val="000C5DB1"/>
    <w:rsid w:val="000D2735"/>
    <w:rsid w:val="000E5822"/>
    <w:rsid w:val="0010405A"/>
    <w:rsid w:val="00121DC8"/>
    <w:rsid w:val="00127661"/>
    <w:rsid w:val="0013415A"/>
    <w:rsid w:val="00150C5D"/>
    <w:rsid w:val="00152FDD"/>
    <w:rsid w:val="0016132F"/>
    <w:rsid w:val="001834BD"/>
    <w:rsid w:val="001976D6"/>
    <w:rsid w:val="001A07AC"/>
    <w:rsid w:val="001A1196"/>
    <w:rsid w:val="001A3EB5"/>
    <w:rsid w:val="001A5593"/>
    <w:rsid w:val="001A5EBA"/>
    <w:rsid w:val="001C551B"/>
    <w:rsid w:val="001D522E"/>
    <w:rsid w:val="001E5C4A"/>
    <w:rsid w:val="001F5941"/>
    <w:rsid w:val="0021377B"/>
    <w:rsid w:val="002201AA"/>
    <w:rsid w:val="00230E5D"/>
    <w:rsid w:val="00234B85"/>
    <w:rsid w:val="002417D5"/>
    <w:rsid w:val="00246CB5"/>
    <w:rsid w:val="00246EC9"/>
    <w:rsid w:val="00286541"/>
    <w:rsid w:val="00292A7B"/>
    <w:rsid w:val="002A4870"/>
    <w:rsid w:val="002A790A"/>
    <w:rsid w:val="002B09B0"/>
    <w:rsid w:val="002B0EF2"/>
    <w:rsid w:val="002D6021"/>
    <w:rsid w:val="002E7F66"/>
    <w:rsid w:val="0030712C"/>
    <w:rsid w:val="00344A64"/>
    <w:rsid w:val="00344FD2"/>
    <w:rsid w:val="00345222"/>
    <w:rsid w:val="003652D8"/>
    <w:rsid w:val="00376BF8"/>
    <w:rsid w:val="00383E45"/>
    <w:rsid w:val="003A1454"/>
    <w:rsid w:val="003A5438"/>
    <w:rsid w:val="003A6796"/>
    <w:rsid w:val="003B2793"/>
    <w:rsid w:val="003D61B0"/>
    <w:rsid w:val="003E4E98"/>
    <w:rsid w:val="003E5281"/>
    <w:rsid w:val="003E5402"/>
    <w:rsid w:val="003F2CA2"/>
    <w:rsid w:val="00422E0B"/>
    <w:rsid w:val="00426D15"/>
    <w:rsid w:val="00436AF7"/>
    <w:rsid w:val="00437AB9"/>
    <w:rsid w:val="00446841"/>
    <w:rsid w:val="00454664"/>
    <w:rsid w:val="00460448"/>
    <w:rsid w:val="0046747F"/>
    <w:rsid w:val="00473E93"/>
    <w:rsid w:val="004A7E72"/>
    <w:rsid w:val="004D03A6"/>
    <w:rsid w:val="004D154C"/>
    <w:rsid w:val="004E3CCF"/>
    <w:rsid w:val="004E5ADA"/>
    <w:rsid w:val="004F111F"/>
    <w:rsid w:val="00506AC2"/>
    <w:rsid w:val="005121CA"/>
    <w:rsid w:val="00514067"/>
    <w:rsid w:val="00526C97"/>
    <w:rsid w:val="005274D9"/>
    <w:rsid w:val="005276EF"/>
    <w:rsid w:val="00530741"/>
    <w:rsid w:val="00532E19"/>
    <w:rsid w:val="00547248"/>
    <w:rsid w:val="0055140C"/>
    <w:rsid w:val="005841DB"/>
    <w:rsid w:val="005D1CE9"/>
    <w:rsid w:val="005D5C42"/>
    <w:rsid w:val="005E1E76"/>
    <w:rsid w:val="005E30DF"/>
    <w:rsid w:val="005F04AA"/>
    <w:rsid w:val="0060025B"/>
    <w:rsid w:val="00611A93"/>
    <w:rsid w:val="00611CA7"/>
    <w:rsid w:val="00614DF1"/>
    <w:rsid w:val="00636CE2"/>
    <w:rsid w:val="00656788"/>
    <w:rsid w:val="0066407E"/>
    <w:rsid w:val="00667E5C"/>
    <w:rsid w:val="006952E4"/>
    <w:rsid w:val="006A32A3"/>
    <w:rsid w:val="006B7B6F"/>
    <w:rsid w:val="006C5062"/>
    <w:rsid w:val="006D368B"/>
    <w:rsid w:val="006D6BFE"/>
    <w:rsid w:val="006F5747"/>
    <w:rsid w:val="00704830"/>
    <w:rsid w:val="00705D73"/>
    <w:rsid w:val="00713FC3"/>
    <w:rsid w:val="007242AD"/>
    <w:rsid w:val="007327C6"/>
    <w:rsid w:val="007375A8"/>
    <w:rsid w:val="0075317B"/>
    <w:rsid w:val="00757EA5"/>
    <w:rsid w:val="0076277D"/>
    <w:rsid w:val="00762A9E"/>
    <w:rsid w:val="007836E9"/>
    <w:rsid w:val="0078556E"/>
    <w:rsid w:val="00785B1D"/>
    <w:rsid w:val="007A0928"/>
    <w:rsid w:val="007C1441"/>
    <w:rsid w:val="007D198D"/>
    <w:rsid w:val="007D53C0"/>
    <w:rsid w:val="007E32C9"/>
    <w:rsid w:val="007F2F7C"/>
    <w:rsid w:val="00806FE8"/>
    <w:rsid w:val="008128F5"/>
    <w:rsid w:val="008172F8"/>
    <w:rsid w:val="00840B22"/>
    <w:rsid w:val="00851A7E"/>
    <w:rsid w:val="008601CF"/>
    <w:rsid w:val="008623C5"/>
    <w:rsid w:val="00867A23"/>
    <w:rsid w:val="00875E46"/>
    <w:rsid w:val="00882E5B"/>
    <w:rsid w:val="008D700E"/>
    <w:rsid w:val="008E26CC"/>
    <w:rsid w:val="008F7BD7"/>
    <w:rsid w:val="00910A7B"/>
    <w:rsid w:val="00925505"/>
    <w:rsid w:val="00936C1B"/>
    <w:rsid w:val="00946ED3"/>
    <w:rsid w:val="0096092D"/>
    <w:rsid w:val="0098263C"/>
    <w:rsid w:val="00991649"/>
    <w:rsid w:val="00997A14"/>
    <w:rsid w:val="009B700F"/>
    <w:rsid w:val="009B7920"/>
    <w:rsid w:val="009C3082"/>
    <w:rsid w:val="009C33B0"/>
    <w:rsid w:val="009D15DE"/>
    <w:rsid w:val="009F043B"/>
    <w:rsid w:val="009F16F0"/>
    <w:rsid w:val="009F341E"/>
    <w:rsid w:val="00A23028"/>
    <w:rsid w:val="00A25396"/>
    <w:rsid w:val="00A2622B"/>
    <w:rsid w:val="00A4147F"/>
    <w:rsid w:val="00A42146"/>
    <w:rsid w:val="00A43CAA"/>
    <w:rsid w:val="00A51F97"/>
    <w:rsid w:val="00A570E2"/>
    <w:rsid w:val="00A620B3"/>
    <w:rsid w:val="00A873B9"/>
    <w:rsid w:val="00AC7CDD"/>
    <w:rsid w:val="00AD04E1"/>
    <w:rsid w:val="00AE4992"/>
    <w:rsid w:val="00AF06D8"/>
    <w:rsid w:val="00B01CCA"/>
    <w:rsid w:val="00B04A6B"/>
    <w:rsid w:val="00B20131"/>
    <w:rsid w:val="00B30516"/>
    <w:rsid w:val="00B31BC7"/>
    <w:rsid w:val="00B521A9"/>
    <w:rsid w:val="00B52ACA"/>
    <w:rsid w:val="00B5434A"/>
    <w:rsid w:val="00B54436"/>
    <w:rsid w:val="00B73269"/>
    <w:rsid w:val="00BC279C"/>
    <w:rsid w:val="00BD3C23"/>
    <w:rsid w:val="00BE128F"/>
    <w:rsid w:val="00BE2CC2"/>
    <w:rsid w:val="00BE5965"/>
    <w:rsid w:val="00BE702A"/>
    <w:rsid w:val="00BF224E"/>
    <w:rsid w:val="00BF4CF9"/>
    <w:rsid w:val="00C06039"/>
    <w:rsid w:val="00C20F52"/>
    <w:rsid w:val="00C52668"/>
    <w:rsid w:val="00C90309"/>
    <w:rsid w:val="00CA18A8"/>
    <w:rsid w:val="00CA3CDD"/>
    <w:rsid w:val="00CB5CD6"/>
    <w:rsid w:val="00CD0BC8"/>
    <w:rsid w:val="00CD0BE4"/>
    <w:rsid w:val="00CD4EFC"/>
    <w:rsid w:val="00CF3D65"/>
    <w:rsid w:val="00D053AC"/>
    <w:rsid w:val="00D0764C"/>
    <w:rsid w:val="00D159F4"/>
    <w:rsid w:val="00D4185F"/>
    <w:rsid w:val="00D432C9"/>
    <w:rsid w:val="00D45F1B"/>
    <w:rsid w:val="00D46ABF"/>
    <w:rsid w:val="00D55F4B"/>
    <w:rsid w:val="00D91E68"/>
    <w:rsid w:val="00D93525"/>
    <w:rsid w:val="00D95179"/>
    <w:rsid w:val="00D96B81"/>
    <w:rsid w:val="00DC37D8"/>
    <w:rsid w:val="00DC433C"/>
    <w:rsid w:val="00DE656B"/>
    <w:rsid w:val="00DE79B1"/>
    <w:rsid w:val="00DF012E"/>
    <w:rsid w:val="00DF39AA"/>
    <w:rsid w:val="00E02290"/>
    <w:rsid w:val="00E03745"/>
    <w:rsid w:val="00E06DFE"/>
    <w:rsid w:val="00E237D5"/>
    <w:rsid w:val="00E37DD4"/>
    <w:rsid w:val="00E4010C"/>
    <w:rsid w:val="00E40225"/>
    <w:rsid w:val="00E51A46"/>
    <w:rsid w:val="00E54283"/>
    <w:rsid w:val="00E61CAF"/>
    <w:rsid w:val="00E62E31"/>
    <w:rsid w:val="00E77940"/>
    <w:rsid w:val="00E9190F"/>
    <w:rsid w:val="00E95106"/>
    <w:rsid w:val="00E95B6C"/>
    <w:rsid w:val="00EC535E"/>
    <w:rsid w:val="00ED2302"/>
    <w:rsid w:val="00ED5D33"/>
    <w:rsid w:val="00EE0A30"/>
    <w:rsid w:val="00EF1C9E"/>
    <w:rsid w:val="00F03308"/>
    <w:rsid w:val="00F0378F"/>
    <w:rsid w:val="00F06629"/>
    <w:rsid w:val="00F204BD"/>
    <w:rsid w:val="00F71036"/>
    <w:rsid w:val="00F87EC5"/>
    <w:rsid w:val="00F90A8C"/>
    <w:rsid w:val="00F9589E"/>
    <w:rsid w:val="00F960D6"/>
    <w:rsid w:val="00FA0A06"/>
    <w:rsid w:val="00FA3570"/>
    <w:rsid w:val="00FB1BA5"/>
    <w:rsid w:val="00FF0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14:docId w14:val="399D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both"/>
      <w:outlineLvl w:val="1"/>
    </w:pPr>
    <w:rPr>
      <w:b/>
      <w:sz w:val="28"/>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both"/>
      <w:outlineLvl w:val="5"/>
    </w:pPr>
    <w:rPr>
      <w:b/>
      <w:sz w:val="24"/>
      <w:u w:val="single"/>
    </w:rPr>
  </w:style>
  <w:style w:type="paragraph" w:styleId="Heading7">
    <w:name w:val="heading 7"/>
    <w:basedOn w:val="Normal"/>
    <w:next w:val="Normal"/>
    <w:qFormat/>
    <w:pPr>
      <w:keepNext/>
      <w:ind w:left="851"/>
      <w:jc w:val="both"/>
      <w:outlineLvl w:val="6"/>
    </w:pPr>
    <w:rPr>
      <w:b/>
      <w:i/>
      <w:sz w:val="24"/>
    </w:rPr>
  </w:style>
  <w:style w:type="paragraph" w:styleId="Heading8">
    <w:name w:val="heading 8"/>
    <w:basedOn w:val="Normal"/>
    <w:next w:val="Normal"/>
    <w:qFormat/>
    <w:pPr>
      <w:keepNext/>
      <w:ind w:firstLine="720"/>
      <w:jc w:val="both"/>
      <w:outlineLvl w:val="7"/>
    </w:pPr>
    <w:rPr>
      <w:sz w:val="24"/>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jc w:val="both"/>
    </w:pPr>
    <w:rPr>
      <w:sz w:val="24"/>
    </w:rPr>
  </w:style>
  <w:style w:type="paragraph" w:styleId="BodyText2">
    <w:name w:val="Body Text 2"/>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jc w:val="both"/>
    </w:pPr>
    <w:rPr>
      <w:sz w:val="24"/>
    </w:rPr>
  </w:style>
  <w:style w:type="paragraph" w:styleId="BodyText3">
    <w:name w:val="Body Text 3"/>
    <w:basedOn w:val="Normal"/>
    <w:rPr>
      <w:strike/>
      <w:sz w:val="24"/>
    </w:rPr>
  </w:style>
  <w:style w:type="paragraph" w:styleId="BodyTextIndent2">
    <w:name w:val="Body Text Indent 2"/>
    <w:basedOn w:val="Normal"/>
    <w:pPr>
      <w:ind w:left="1440" w:hanging="1440"/>
      <w:jc w:val="both"/>
    </w:pPr>
    <w:rPr>
      <w:sz w:val="24"/>
    </w:rPr>
  </w:style>
  <w:style w:type="paragraph" w:styleId="Header">
    <w:name w:val="header"/>
    <w:basedOn w:val="Normal"/>
    <w:pPr>
      <w:tabs>
        <w:tab w:val="center" w:pos="4153"/>
        <w:tab w:val="right" w:pos="8306"/>
      </w:tabs>
    </w:pPr>
    <w:rPr>
      <w:sz w:val="24"/>
    </w:rPr>
  </w:style>
  <w:style w:type="paragraph" w:styleId="Footer">
    <w:name w:val="footer"/>
    <w:basedOn w:val="Normal"/>
    <w:link w:val="FooterChar"/>
    <w:pPr>
      <w:tabs>
        <w:tab w:val="center" w:pos="4153"/>
        <w:tab w:val="right" w:pos="8306"/>
      </w:tabs>
    </w:pPr>
    <w:rPr>
      <w:sz w:val="24"/>
      <w:lang w:val="en-GB"/>
    </w:rPr>
  </w:style>
  <w:style w:type="paragraph" w:styleId="BodyTextIndent3">
    <w:name w:val="Body Text Indent 3"/>
    <w:basedOn w:val="Normal"/>
    <w:pPr>
      <w:ind w:left="1418"/>
    </w:pPr>
    <w:rPr>
      <w:snapToGrid w:val="0"/>
      <w:sz w:val="24"/>
      <w:lang w:eastAsia="en-US"/>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spacing w:before="100" w:after="100"/>
      <w:ind w:left="360" w:right="360"/>
    </w:pPr>
    <w:rPr>
      <w:snapToGrid w:val="0"/>
      <w:sz w:val="24"/>
      <w:lang w:eastAsia="en-US"/>
    </w:rPr>
  </w:style>
  <w:style w:type="paragraph" w:styleId="BlockText">
    <w:name w:val="Block Text"/>
    <w:basedOn w:val="Normal"/>
    <w:pPr>
      <w:ind w:left="567" w:right="766"/>
      <w:jc w:val="both"/>
    </w:pPr>
    <w:rPr>
      <w:i/>
      <w:sz w:val="23"/>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NormalIndent">
    <w:name w:val="Normal Indent"/>
    <w:basedOn w:val="Normal"/>
    <w:pPr>
      <w:spacing w:line="240" w:lineRule="atLeast"/>
      <w:ind w:left="720"/>
      <w:jc w:val="both"/>
    </w:pPr>
    <w:rPr>
      <w:sz w:val="26"/>
      <w:lang w:val="en-GB" w:eastAsia="en-US"/>
    </w:rPr>
  </w:style>
  <w:style w:type="paragraph" w:styleId="FootnoteText">
    <w:name w:val="footnote text"/>
    <w:basedOn w:val="Normal"/>
    <w:link w:val="FootnoteTextChar"/>
    <w:semiHidden/>
    <w:rPr>
      <w:rFonts w:ascii="Arial" w:hAnsi="Arial"/>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6B7B6F"/>
    <w:pPr>
      <w:ind w:left="720"/>
      <w:contextualSpacing/>
    </w:pPr>
  </w:style>
  <w:style w:type="character" w:styleId="Strong">
    <w:name w:val="Strong"/>
    <w:basedOn w:val="DefaultParagraphFont"/>
    <w:qFormat/>
    <w:rsid w:val="006B7B6F"/>
    <w:rPr>
      <w:b/>
      <w:bCs/>
    </w:rPr>
  </w:style>
  <w:style w:type="paragraph" w:customStyle="1" w:styleId="Default">
    <w:name w:val="Default"/>
    <w:rsid w:val="009C33B0"/>
    <w:pPr>
      <w:autoSpaceDE w:val="0"/>
      <w:autoSpaceDN w:val="0"/>
      <w:adjustRightInd w:val="0"/>
    </w:pPr>
    <w:rPr>
      <w:color w:val="000000"/>
      <w:sz w:val="24"/>
      <w:szCs w:val="24"/>
    </w:rPr>
  </w:style>
  <w:style w:type="paragraph" w:styleId="TOC3">
    <w:name w:val="toc 3"/>
    <w:basedOn w:val="TOC2"/>
    <w:next w:val="Normal"/>
    <w:autoRedefine/>
    <w:uiPriority w:val="39"/>
    <w:rsid w:val="00C52668"/>
    <w:pPr>
      <w:keepNext/>
      <w:widowControl w:val="0"/>
      <w:tabs>
        <w:tab w:val="left" w:pos="1430"/>
        <w:tab w:val="right" w:leader="dot" w:pos="9072"/>
      </w:tabs>
      <w:spacing w:before="120" w:after="0" w:line="240" w:lineRule="atLeast"/>
      <w:ind w:left="425"/>
      <w:jc w:val="center"/>
    </w:pPr>
    <w:rPr>
      <w:rFonts w:ascii="Arial" w:hAnsi="Arial" w:cs="Arial"/>
      <w:noProof/>
      <w:sz w:val="22"/>
      <w:szCs w:val="22"/>
    </w:rPr>
  </w:style>
  <w:style w:type="paragraph" w:customStyle="1" w:styleId="FormTitle">
    <w:name w:val="Form Title"/>
    <w:rsid w:val="00437AB9"/>
    <w:pPr>
      <w:spacing w:before="420" w:after="140" w:line="280" w:lineRule="atLeast"/>
      <w:jc w:val="center"/>
    </w:pPr>
    <w:rPr>
      <w:rFonts w:ascii="Arial" w:hAnsi="Arial" w:cs="Arial"/>
      <w:b/>
      <w:caps/>
      <w:szCs w:val="22"/>
    </w:rPr>
  </w:style>
  <w:style w:type="paragraph" w:styleId="TOC2">
    <w:name w:val="toc 2"/>
    <w:basedOn w:val="Normal"/>
    <w:next w:val="Normal"/>
    <w:autoRedefine/>
    <w:uiPriority w:val="39"/>
    <w:unhideWhenUsed/>
    <w:rsid w:val="00437AB9"/>
    <w:pPr>
      <w:spacing w:after="100"/>
      <w:ind w:left="200"/>
    </w:pPr>
  </w:style>
  <w:style w:type="paragraph" w:styleId="TOC4">
    <w:name w:val="toc 4"/>
    <w:basedOn w:val="Normal"/>
    <w:next w:val="Normal"/>
    <w:autoRedefine/>
    <w:uiPriority w:val="39"/>
    <w:unhideWhenUsed/>
    <w:rsid w:val="00437AB9"/>
    <w:pPr>
      <w:spacing w:after="100"/>
      <w:ind w:left="600"/>
    </w:pPr>
  </w:style>
  <w:style w:type="paragraph" w:styleId="TOC5">
    <w:name w:val="toc 5"/>
    <w:basedOn w:val="Normal"/>
    <w:next w:val="Normal"/>
    <w:autoRedefine/>
    <w:uiPriority w:val="39"/>
    <w:unhideWhenUsed/>
    <w:rsid w:val="00437AB9"/>
    <w:pPr>
      <w:spacing w:after="100"/>
      <w:ind w:left="800"/>
    </w:pPr>
  </w:style>
  <w:style w:type="paragraph" w:styleId="TOC1">
    <w:name w:val="toc 1"/>
    <w:basedOn w:val="Normal"/>
    <w:next w:val="Normal"/>
    <w:autoRedefine/>
    <w:uiPriority w:val="39"/>
    <w:unhideWhenUsed/>
    <w:rsid w:val="00437AB9"/>
    <w:pPr>
      <w:spacing w:after="100"/>
    </w:pPr>
  </w:style>
  <w:style w:type="character" w:customStyle="1" w:styleId="FootnoteTextChar">
    <w:name w:val="Footnote Text Char"/>
    <w:basedOn w:val="DefaultParagraphFont"/>
    <w:link w:val="FootnoteText"/>
    <w:semiHidden/>
    <w:rsid w:val="00D55F4B"/>
    <w:rPr>
      <w:rFonts w:ascii="Arial" w:hAnsi="Arial"/>
    </w:rPr>
  </w:style>
  <w:style w:type="paragraph" w:styleId="Revision">
    <w:name w:val="Revision"/>
    <w:hidden/>
    <w:uiPriority w:val="99"/>
    <w:semiHidden/>
    <w:rsid w:val="003A6796"/>
  </w:style>
  <w:style w:type="character" w:customStyle="1" w:styleId="FooterChar">
    <w:name w:val="Footer Char"/>
    <w:basedOn w:val="DefaultParagraphFont"/>
    <w:link w:val="Footer"/>
    <w:locked/>
    <w:rsid w:val="00C52668"/>
    <w:rPr>
      <w:sz w:val="24"/>
      <w:lang w:val="en-GB"/>
    </w:rPr>
  </w:style>
  <w:style w:type="paragraph" w:customStyle="1" w:styleId="PartHeading">
    <w:name w:val="Part Heading"/>
    <w:next w:val="NumberLevel1"/>
    <w:rsid w:val="00C52668"/>
    <w:pPr>
      <w:keepNext/>
      <w:keepLines/>
      <w:numPr>
        <w:numId w:val="3"/>
      </w:numPr>
      <w:pBdr>
        <w:bottom w:val="single" w:sz="2" w:space="0" w:color="auto"/>
      </w:pBdr>
      <w:spacing w:before="420" w:after="140" w:line="280" w:lineRule="atLeast"/>
      <w:outlineLvl w:val="0"/>
    </w:pPr>
    <w:rPr>
      <w:rFonts w:ascii="Arial" w:hAnsi="Arial" w:cs="Arial"/>
      <w:b/>
      <w:caps/>
      <w:szCs w:val="22"/>
    </w:rPr>
  </w:style>
  <w:style w:type="paragraph" w:customStyle="1" w:styleId="NumberLevel1">
    <w:name w:val="Number Level 1"/>
    <w:basedOn w:val="Normal"/>
    <w:rsid w:val="00C52668"/>
    <w:pPr>
      <w:tabs>
        <w:tab w:val="num" w:pos="360"/>
      </w:tabs>
      <w:spacing w:before="140" w:after="140" w:line="280" w:lineRule="atLeast"/>
      <w:ind w:left="360" w:hanging="360"/>
      <w:outlineLvl w:val="0"/>
    </w:pPr>
    <w:rPr>
      <w:rFonts w:ascii="Arial" w:hAnsi="Arial" w:cs="Arial"/>
      <w:sz w:val="22"/>
      <w:szCs w:val="22"/>
    </w:rPr>
  </w:style>
  <w:style w:type="character" w:customStyle="1" w:styleId="BodyTextChar">
    <w:name w:val="Body Text Char"/>
    <w:basedOn w:val="DefaultParagraphFont"/>
    <w:link w:val="BodyText"/>
    <w:rsid w:val="00614DF1"/>
    <w:rPr>
      <w:sz w:val="24"/>
    </w:rPr>
  </w:style>
  <w:style w:type="paragraph" w:styleId="PlainText">
    <w:name w:val="Plain Text"/>
    <w:basedOn w:val="Normal"/>
    <w:link w:val="PlainTextChar"/>
    <w:uiPriority w:val="99"/>
    <w:unhideWhenUsed/>
    <w:rsid w:val="00614DF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14DF1"/>
    <w:rPr>
      <w:rFonts w:ascii="Calibri" w:eastAsiaTheme="minorHAnsi" w:hAnsi="Calibri" w:cstheme="minorBidi"/>
      <w:sz w:val="22"/>
      <w:szCs w:val="21"/>
      <w:lang w:eastAsia="en-US"/>
    </w:rPr>
  </w:style>
  <w:style w:type="paragraph" w:styleId="Quote">
    <w:name w:val="Quote"/>
    <w:basedOn w:val="Normal"/>
    <w:next w:val="Normal"/>
    <w:link w:val="QuoteChar"/>
    <w:uiPriority w:val="29"/>
    <w:qFormat/>
    <w:rsid w:val="00713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3FC3"/>
    <w:rPr>
      <w:i/>
      <w:iCs/>
      <w:color w:val="404040" w:themeColor="text1" w:themeTint="BF"/>
    </w:rPr>
  </w:style>
  <w:style w:type="paragraph" w:customStyle="1" w:styleId="paragraph">
    <w:name w:val="paragraph"/>
    <w:basedOn w:val="Normal"/>
    <w:rsid w:val="0055140C"/>
    <w:pPr>
      <w:spacing w:before="100" w:beforeAutospacing="1" w:after="100" w:afterAutospacing="1"/>
    </w:pPr>
    <w:rPr>
      <w:sz w:val="24"/>
      <w:szCs w:val="24"/>
    </w:rPr>
  </w:style>
  <w:style w:type="character" w:customStyle="1" w:styleId="normaltextrun">
    <w:name w:val="normaltextrun"/>
    <w:basedOn w:val="DefaultParagraphFont"/>
    <w:rsid w:val="0055140C"/>
  </w:style>
  <w:style w:type="character" w:customStyle="1" w:styleId="eop">
    <w:name w:val="eop"/>
    <w:basedOn w:val="DefaultParagraphFont"/>
    <w:rsid w:val="0055140C"/>
  </w:style>
  <w:style w:type="character" w:customStyle="1" w:styleId="superscript">
    <w:name w:val="superscript"/>
    <w:basedOn w:val="DefaultParagraphFont"/>
    <w:rsid w:val="002E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7280">
      <w:bodyDiv w:val="1"/>
      <w:marLeft w:val="0"/>
      <w:marRight w:val="0"/>
      <w:marTop w:val="0"/>
      <w:marBottom w:val="0"/>
      <w:divBdr>
        <w:top w:val="none" w:sz="0" w:space="0" w:color="auto"/>
        <w:left w:val="none" w:sz="0" w:space="0" w:color="auto"/>
        <w:bottom w:val="none" w:sz="0" w:space="0" w:color="auto"/>
        <w:right w:val="none" w:sz="0" w:space="0" w:color="auto"/>
      </w:divBdr>
    </w:div>
    <w:div w:id="757094342">
      <w:bodyDiv w:val="1"/>
      <w:marLeft w:val="0"/>
      <w:marRight w:val="0"/>
      <w:marTop w:val="0"/>
      <w:marBottom w:val="0"/>
      <w:divBdr>
        <w:top w:val="none" w:sz="0" w:space="0" w:color="auto"/>
        <w:left w:val="none" w:sz="0" w:space="0" w:color="auto"/>
        <w:bottom w:val="none" w:sz="0" w:space="0" w:color="auto"/>
        <w:right w:val="none" w:sz="0" w:space="0" w:color="auto"/>
      </w:divBdr>
      <w:divsChild>
        <w:div w:id="1781607679">
          <w:marLeft w:val="0"/>
          <w:marRight w:val="0"/>
          <w:marTop w:val="0"/>
          <w:marBottom w:val="0"/>
          <w:divBdr>
            <w:top w:val="none" w:sz="0" w:space="0" w:color="auto"/>
            <w:left w:val="none" w:sz="0" w:space="0" w:color="auto"/>
            <w:bottom w:val="none" w:sz="0" w:space="0" w:color="auto"/>
            <w:right w:val="none" w:sz="0" w:space="0" w:color="auto"/>
          </w:divBdr>
        </w:div>
        <w:div w:id="1258320420">
          <w:marLeft w:val="0"/>
          <w:marRight w:val="0"/>
          <w:marTop w:val="0"/>
          <w:marBottom w:val="0"/>
          <w:divBdr>
            <w:top w:val="none" w:sz="0" w:space="0" w:color="auto"/>
            <w:left w:val="none" w:sz="0" w:space="0" w:color="auto"/>
            <w:bottom w:val="none" w:sz="0" w:space="0" w:color="auto"/>
            <w:right w:val="none" w:sz="0" w:space="0" w:color="auto"/>
          </w:divBdr>
        </w:div>
        <w:div w:id="124587307">
          <w:marLeft w:val="0"/>
          <w:marRight w:val="0"/>
          <w:marTop w:val="0"/>
          <w:marBottom w:val="0"/>
          <w:divBdr>
            <w:top w:val="none" w:sz="0" w:space="0" w:color="auto"/>
            <w:left w:val="none" w:sz="0" w:space="0" w:color="auto"/>
            <w:bottom w:val="none" w:sz="0" w:space="0" w:color="auto"/>
            <w:right w:val="none" w:sz="0" w:space="0" w:color="auto"/>
          </w:divBdr>
        </w:div>
      </w:divsChild>
    </w:div>
    <w:div w:id="1658269494">
      <w:bodyDiv w:val="1"/>
      <w:marLeft w:val="0"/>
      <w:marRight w:val="0"/>
      <w:marTop w:val="0"/>
      <w:marBottom w:val="0"/>
      <w:divBdr>
        <w:top w:val="none" w:sz="0" w:space="0" w:color="auto"/>
        <w:left w:val="none" w:sz="0" w:space="0" w:color="auto"/>
        <w:bottom w:val="none" w:sz="0" w:space="0" w:color="auto"/>
        <w:right w:val="none" w:sz="0" w:space="0" w:color="auto"/>
      </w:divBdr>
      <w:divsChild>
        <w:div w:id="832723686">
          <w:marLeft w:val="0"/>
          <w:marRight w:val="0"/>
          <w:marTop w:val="0"/>
          <w:marBottom w:val="0"/>
          <w:divBdr>
            <w:top w:val="none" w:sz="0" w:space="0" w:color="auto"/>
            <w:left w:val="none" w:sz="0" w:space="0" w:color="auto"/>
            <w:bottom w:val="none" w:sz="0" w:space="0" w:color="auto"/>
            <w:right w:val="none" w:sz="0" w:space="0" w:color="auto"/>
          </w:divBdr>
        </w:div>
        <w:div w:id="1462308959">
          <w:marLeft w:val="0"/>
          <w:marRight w:val="0"/>
          <w:marTop w:val="0"/>
          <w:marBottom w:val="0"/>
          <w:divBdr>
            <w:top w:val="none" w:sz="0" w:space="0" w:color="auto"/>
            <w:left w:val="none" w:sz="0" w:space="0" w:color="auto"/>
            <w:bottom w:val="none" w:sz="0" w:space="0" w:color="auto"/>
            <w:right w:val="none" w:sz="0" w:space="0" w:color="auto"/>
          </w:divBdr>
        </w:div>
        <w:div w:id="571353073">
          <w:marLeft w:val="0"/>
          <w:marRight w:val="0"/>
          <w:marTop w:val="0"/>
          <w:marBottom w:val="0"/>
          <w:divBdr>
            <w:top w:val="none" w:sz="0" w:space="0" w:color="auto"/>
            <w:left w:val="none" w:sz="0" w:space="0" w:color="auto"/>
            <w:bottom w:val="none" w:sz="0" w:space="0" w:color="auto"/>
            <w:right w:val="none" w:sz="0" w:space="0" w:color="auto"/>
          </w:divBdr>
        </w:div>
      </w:divsChild>
    </w:div>
    <w:div w:id="1805537171">
      <w:bodyDiv w:val="1"/>
      <w:marLeft w:val="0"/>
      <w:marRight w:val="0"/>
      <w:marTop w:val="0"/>
      <w:marBottom w:val="0"/>
      <w:divBdr>
        <w:top w:val="none" w:sz="0" w:space="0" w:color="auto"/>
        <w:left w:val="none" w:sz="0" w:space="0" w:color="auto"/>
        <w:bottom w:val="none" w:sz="0" w:space="0" w:color="auto"/>
        <w:right w:val="none" w:sz="0" w:space="0" w:color="auto"/>
      </w:divBdr>
      <w:divsChild>
        <w:div w:id="250939494">
          <w:marLeft w:val="0"/>
          <w:marRight w:val="0"/>
          <w:marTop w:val="0"/>
          <w:marBottom w:val="0"/>
          <w:divBdr>
            <w:top w:val="none" w:sz="0" w:space="0" w:color="auto"/>
            <w:left w:val="none" w:sz="0" w:space="0" w:color="auto"/>
            <w:bottom w:val="none" w:sz="0" w:space="0" w:color="auto"/>
            <w:right w:val="none" w:sz="0" w:space="0" w:color="auto"/>
          </w:divBdr>
        </w:div>
        <w:div w:id="771096709">
          <w:marLeft w:val="0"/>
          <w:marRight w:val="0"/>
          <w:marTop w:val="0"/>
          <w:marBottom w:val="0"/>
          <w:divBdr>
            <w:top w:val="none" w:sz="0" w:space="0" w:color="auto"/>
            <w:left w:val="none" w:sz="0" w:space="0" w:color="auto"/>
            <w:bottom w:val="none" w:sz="0" w:space="0" w:color="auto"/>
            <w:right w:val="none" w:sz="0" w:space="0" w:color="auto"/>
          </w:divBdr>
        </w:div>
        <w:div w:id="1741248457">
          <w:marLeft w:val="0"/>
          <w:marRight w:val="0"/>
          <w:marTop w:val="0"/>
          <w:marBottom w:val="0"/>
          <w:divBdr>
            <w:top w:val="none" w:sz="0" w:space="0" w:color="auto"/>
            <w:left w:val="none" w:sz="0" w:space="0" w:color="auto"/>
            <w:bottom w:val="none" w:sz="0" w:space="0" w:color="auto"/>
            <w:right w:val="none" w:sz="0" w:space="0" w:color="auto"/>
          </w:divBdr>
        </w:div>
      </w:divsChild>
    </w:div>
    <w:div w:id="1816754808">
      <w:bodyDiv w:val="1"/>
      <w:marLeft w:val="0"/>
      <w:marRight w:val="0"/>
      <w:marTop w:val="0"/>
      <w:marBottom w:val="0"/>
      <w:divBdr>
        <w:top w:val="none" w:sz="0" w:space="0" w:color="auto"/>
        <w:left w:val="none" w:sz="0" w:space="0" w:color="auto"/>
        <w:bottom w:val="none" w:sz="0" w:space="0" w:color="auto"/>
        <w:right w:val="none" w:sz="0" w:space="0" w:color="auto"/>
      </w:divBdr>
      <w:divsChild>
        <w:div w:id="1878811196">
          <w:marLeft w:val="0"/>
          <w:marRight w:val="0"/>
          <w:marTop w:val="0"/>
          <w:marBottom w:val="0"/>
          <w:divBdr>
            <w:top w:val="none" w:sz="0" w:space="0" w:color="auto"/>
            <w:left w:val="none" w:sz="0" w:space="0" w:color="auto"/>
            <w:bottom w:val="none" w:sz="0" w:space="0" w:color="auto"/>
            <w:right w:val="none" w:sz="0" w:space="0" w:color="auto"/>
          </w:divBdr>
        </w:div>
        <w:div w:id="1055857450">
          <w:marLeft w:val="0"/>
          <w:marRight w:val="0"/>
          <w:marTop w:val="0"/>
          <w:marBottom w:val="0"/>
          <w:divBdr>
            <w:top w:val="none" w:sz="0" w:space="0" w:color="auto"/>
            <w:left w:val="none" w:sz="0" w:space="0" w:color="auto"/>
            <w:bottom w:val="none" w:sz="0" w:space="0" w:color="auto"/>
            <w:right w:val="none" w:sz="0" w:space="0" w:color="auto"/>
          </w:divBdr>
        </w:div>
        <w:div w:id="910891445">
          <w:marLeft w:val="0"/>
          <w:marRight w:val="0"/>
          <w:marTop w:val="0"/>
          <w:marBottom w:val="0"/>
          <w:divBdr>
            <w:top w:val="none" w:sz="0" w:space="0" w:color="auto"/>
            <w:left w:val="none" w:sz="0" w:space="0" w:color="auto"/>
            <w:bottom w:val="none" w:sz="0" w:space="0" w:color="auto"/>
            <w:right w:val="none" w:sz="0" w:space="0" w:color="auto"/>
          </w:divBdr>
        </w:div>
        <w:div w:id="900596492">
          <w:marLeft w:val="0"/>
          <w:marRight w:val="0"/>
          <w:marTop w:val="0"/>
          <w:marBottom w:val="0"/>
          <w:divBdr>
            <w:top w:val="none" w:sz="0" w:space="0" w:color="auto"/>
            <w:left w:val="none" w:sz="0" w:space="0" w:color="auto"/>
            <w:bottom w:val="none" w:sz="0" w:space="0" w:color="auto"/>
            <w:right w:val="none" w:sz="0" w:space="0" w:color="auto"/>
          </w:divBdr>
        </w:div>
        <w:div w:id="1592665238">
          <w:marLeft w:val="0"/>
          <w:marRight w:val="0"/>
          <w:marTop w:val="0"/>
          <w:marBottom w:val="0"/>
          <w:divBdr>
            <w:top w:val="none" w:sz="0" w:space="0" w:color="auto"/>
            <w:left w:val="none" w:sz="0" w:space="0" w:color="auto"/>
            <w:bottom w:val="none" w:sz="0" w:space="0" w:color="auto"/>
            <w:right w:val="none" w:sz="0" w:space="0" w:color="auto"/>
          </w:divBdr>
        </w:div>
        <w:div w:id="434011873">
          <w:marLeft w:val="0"/>
          <w:marRight w:val="0"/>
          <w:marTop w:val="0"/>
          <w:marBottom w:val="0"/>
          <w:divBdr>
            <w:top w:val="none" w:sz="0" w:space="0" w:color="auto"/>
            <w:left w:val="none" w:sz="0" w:space="0" w:color="auto"/>
            <w:bottom w:val="none" w:sz="0" w:space="0" w:color="auto"/>
            <w:right w:val="none" w:sz="0" w:space="0" w:color="auto"/>
          </w:divBdr>
        </w:div>
        <w:div w:id="8657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27438798" TargetMode="External"/><Relationship Id="rId2" Type="http://schemas.openxmlformats.org/officeDocument/2006/relationships/hyperlink" Target="https://www.ncbi.nlm.nih.gov/pmc/articles/PMC1740883/" TargetMode="External"/><Relationship Id="rId1" Type="http://schemas.openxmlformats.org/officeDocument/2006/relationships/hyperlink" Target="https://pubmed.ncbi.nlm.nih.gov/29044349/" TargetMode="External"/><Relationship Id="rId4" Type="http://schemas.openxmlformats.org/officeDocument/2006/relationships/hyperlink" Target="https://www.thedailybeast.com/the-last-battle-of-the-vietnam-war-agent-orange-and-its-presumed-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97DB-514F-4648-AE53-840BD325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2658</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2021-08-31T05:57:00Z</dcterms:created>
  <dcterms:modified xsi:type="dcterms:W3CDTF">2021-08-31T05:57:00Z</dcterms:modified>
</cp:coreProperties>
</file>