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3900" w14:textId="77777777" w:rsidR="00614DF1" w:rsidRDefault="00614DF1" w:rsidP="000B1F11">
      <w:pPr>
        <w:pStyle w:val="FormTitle"/>
      </w:pPr>
      <w:bookmarkStart w:id="0" w:name="_GoBack"/>
      <w:bookmarkEnd w:id="0"/>
      <w:r>
        <w:rPr>
          <w:noProof/>
        </w:rPr>
        <w:drawing>
          <wp:inline distT="0" distB="0" distL="0" distR="0" wp14:anchorId="1BAFB9C9" wp14:editId="3F770C84">
            <wp:extent cx="3063875" cy="934720"/>
            <wp:effectExtent l="0" t="0" r="3175" b="0"/>
            <wp:docPr id="1" name="Picture 1"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me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75" cy="934720"/>
                    </a:xfrm>
                    <a:prstGeom prst="rect">
                      <a:avLst/>
                    </a:prstGeom>
                    <a:noFill/>
                    <a:ln>
                      <a:noFill/>
                    </a:ln>
                  </pic:spPr>
                </pic:pic>
              </a:graphicData>
            </a:graphic>
          </wp:inline>
        </w:drawing>
      </w:r>
    </w:p>
    <w:p w14:paraId="69E899ED" w14:textId="77777777" w:rsidR="00614DF1" w:rsidRDefault="00614DF1" w:rsidP="00614DF1">
      <w:pPr>
        <w:pStyle w:val="FormTitle"/>
        <w:rPr>
          <w:rFonts w:ascii="Times New Roman" w:hAnsi="Times New Roman" w:cs="Times New Roman"/>
          <w:sz w:val="24"/>
          <w:szCs w:val="24"/>
        </w:rPr>
      </w:pPr>
    </w:p>
    <w:p w14:paraId="1B660CA4" w14:textId="77777777" w:rsidR="00614DF1" w:rsidRDefault="00614DF1" w:rsidP="00614DF1">
      <w:pPr>
        <w:pStyle w:val="FormTitle"/>
        <w:rPr>
          <w:rFonts w:ascii="Times New Roman" w:hAnsi="Times New Roman" w:cs="Times New Roman"/>
          <w:sz w:val="24"/>
          <w:szCs w:val="24"/>
        </w:rPr>
      </w:pPr>
    </w:p>
    <w:p w14:paraId="34FFA680" w14:textId="77777777" w:rsidR="00614DF1" w:rsidRDefault="00614DF1" w:rsidP="00614DF1">
      <w:pPr>
        <w:pStyle w:val="FormTitle"/>
        <w:rPr>
          <w:rFonts w:ascii="Times New Roman" w:hAnsi="Times New Roman" w:cs="Times New Roman"/>
          <w:sz w:val="24"/>
          <w:szCs w:val="24"/>
        </w:rPr>
      </w:pPr>
    </w:p>
    <w:p w14:paraId="4EA35BCF" w14:textId="77777777" w:rsidR="00614DF1" w:rsidRDefault="00614DF1" w:rsidP="00614DF1">
      <w:pPr>
        <w:pStyle w:val="FormTitle"/>
        <w:rPr>
          <w:sz w:val="24"/>
          <w:szCs w:val="24"/>
        </w:rPr>
      </w:pPr>
      <w:r>
        <w:rPr>
          <w:sz w:val="24"/>
          <w:szCs w:val="24"/>
        </w:rPr>
        <w:t xml:space="preserve">REPATRIATION MEDICAL AUTHORITY </w:t>
      </w:r>
    </w:p>
    <w:p w14:paraId="6C05EFD6" w14:textId="77777777" w:rsidR="00614DF1" w:rsidRDefault="00614DF1" w:rsidP="00614DF1">
      <w:pPr>
        <w:pStyle w:val="FormTitle"/>
        <w:rPr>
          <w:sz w:val="24"/>
          <w:szCs w:val="24"/>
        </w:rPr>
      </w:pPr>
      <w:r>
        <w:rPr>
          <w:sz w:val="24"/>
          <w:szCs w:val="24"/>
        </w:rPr>
        <w:t>STATEMENT of REASONS</w:t>
      </w:r>
    </w:p>
    <w:p w14:paraId="3ACEC434" w14:textId="067691D7" w:rsidR="00614DF1" w:rsidRPr="003F7DD3" w:rsidRDefault="00614DF1" w:rsidP="00614DF1">
      <w:pPr>
        <w:pStyle w:val="FormTitle"/>
        <w:rPr>
          <w:i/>
          <w:sz w:val="24"/>
          <w:szCs w:val="24"/>
        </w:rPr>
      </w:pPr>
      <w:r w:rsidRPr="00C661F4">
        <w:rPr>
          <w:sz w:val="24"/>
          <w:szCs w:val="24"/>
        </w:rPr>
        <w:t>s</w:t>
      </w:r>
      <w:r w:rsidR="00A873B9">
        <w:rPr>
          <w:sz w:val="24"/>
          <w:szCs w:val="24"/>
        </w:rPr>
        <w:t>ubsection 196b(9),</w:t>
      </w:r>
      <w:r w:rsidRPr="00C661F4">
        <w:rPr>
          <w:sz w:val="24"/>
          <w:szCs w:val="24"/>
        </w:rPr>
        <w:t xml:space="preserve"> </w:t>
      </w:r>
      <w:r>
        <w:rPr>
          <w:i/>
          <w:sz w:val="24"/>
          <w:szCs w:val="24"/>
        </w:rPr>
        <w:t>Veterans' Entitlements Act 1986</w:t>
      </w:r>
    </w:p>
    <w:p w14:paraId="2949C241" w14:textId="7E85AE5A" w:rsidR="00614DF1" w:rsidRDefault="00614DF1" w:rsidP="00614DF1">
      <w:pPr>
        <w:pStyle w:val="FormTitle"/>
        <w:spacing w:after="0"/>
        <w:rPr>
          <w:rFonts w:ascii="Times New Roman" w:hAnsi="Times New Roman" w:cs="Times New Roman"/>
        </w:rPr>
      </w:pPr>
      <w:r>
        <w:rPr>
          <w:sz w:val="24"/>
          <w:szCs w:val="24"/>
        </w:rPr>
        <w:t xml:space="preserve">Decision </w:t>
      </w:r>
      <w:r w:rsidRPr="00437AB9">
        <w:rPr>
          <w:sz w:val="24"/>
          <w:szCs w:val="24"/>
        </w:rPr>
        <w:t xml:space="preserve">not to </w:t>
      </w:r>
      <w:r w:rsidR="00A873B9">
        <w:rPr>
          <w:sz w:val="24"/>
          <w:szCs w:val="24"/>
        </w:rPr>
        <w:t>amend the</w:t>
      </w:r>
      <w:r w:rsidRPr="00437AB9">
        <w:rPr>
          <w:sz w:val="24"/>
          <w:szCs w:val="24"/>
        </w:rPr>
        <w:t xml:space="preserve"> Statement</w:t>
      </w:r>
      <w:r w:rsidR="00127661">
        <w:rPr>
          <w:sz w:val="24"/>
          <w:szCs w:val="24"/>
        </w:rPr>
        <w:t>s</w:t>
      </w:r>
      <w:r w:rsidRPr="00437AB9">
        <w:rPr>
          <w:sz w:val="24"/>
          <w:szCs w:val="24"/>
        </w:rPr>
        <w:t xml:space="preserve"> of Principles concerning </w:t>
      </w:r>
      <w:r w:rsidR="00A873B9">
        <w:rPr>
          <w:sz w:val="24"/>
          <w:szCs w:val="24"/>
        </w:rPr>
        <w:t>malignant neoplasm of the breast</w:t>
      </w:r>
    </w:p>
    <w:p w14:paraId="0DADF668" w14:textId="20C7BB2B" w:rsidR="00614DF1" w:rsidRPr="00C52668" w:rsidRDefault="00614DF1" w:rsidP="00614DF1">
      <w:pPr>
        <w:pStyle w:val="TOC3"/>
      </w:pPr>
      <w:r w:rsidRPr="00C52668">
        <w:t xml:space="preserve">Instrument </w:t>
      </w:r>
      <w:r>
        <w:t>No</w:t>
      </w:r>
      <w:r w:rsidR="00127661">
        <w:t>s</w:t>
      </w:r>
      <w:r>
        <w:t xml:space="preserve">. </w:t>
      </w:r>
      <w:r w:rsidR="00A873B9">
        <w:t>96</w:t>
      </w:r>
      <w:r w:rsidR="00C90309">
        <w:t xml:space="preserve"> and </w:t>
      </w:r>
      <w:r w:rsidR="00A873B9">
        <w:t>97</w:t>
      </w:r>
      <w:r w:rsidR="005121CA">
        <w:t xml:space="preserve"> of 201</w:t>
      </w:r>
      <w:r w:rsidR="00A873B9">
        <w:t>4</w:t>
      </w:r>
    </w:p>
    <w:p w14:paraId="65D2AF7F" w14:textId="77777777" w:rsidR="00614DF1" w:rsidRDefault="00614DF1" w:rsidP="00614DF1">
      <w:pPr>
        <w:pStyle w:val="TOC3"/>
      </w:pPr>
    </w:p>
    <w:p w14:paraId="5EA3926C" w14:textId="77777777" w:rsidR="00614DF1" w:rsidRDefault="00614DF1" w:rsidP="00614DF1"/>
    <w:p w14:paraId="4327A4A6" w14:textId="77777777" w:rsidR="00B04A6B" w:rsidRDefault="00614DF1" w:rsidP="00614DF1">
      <w:pPr>
        <w:pStyle w:val="TOC3"/>
      </w:pPr>
      <w:r>
        <w:br w:type="page"/>
      </w:r>
      <w:r>
        <w:rPr>
          <w:sz w:val="24"/>
          <w:szCs w:val="24"/>
        </w:rPr>
        <w:fldChar w:fldCharType="begin"/>
      </w:r>
      <w:r>
        <w:instrText xml:space="preserve"> TOC \h \z \t "Heading 2,4,Heading 3,5,Part Heading,3,Contents Heading,2,Alpha Heading,1" </w:instrText>
      </w:r>
      <w:r>
        <w:rPr>
          <w:sz w:val="24"/>
          <w:szCs w:val="24"/>
        </w:rPr>
        <w:fldChar w:fldCharType="separate"/>
      </w:r>
    </w:p>
    <w:p w14:paraId="62E45855" w14:textId="4E301B08" w:rsidR="00B04A6B" w:rsidRDefault="00240209">
      <w:pPr>
        <w:pStyle w:val="TOC3"/>
        <w:rPr>
          <w:rFonts w:asciiTheme="minorHAnsi" w:eastAsiaTheme="minorEastAsia" w:hAnsiTheme="minorHAnsi" w:cstheme="minorBidi"/>
        </w:rPr>
      </w:pPr>
      <w:hyperlink w:anchor="_Toc69996401" w:history="1">
        <w:r w:rsidR="00B04A6B" w:rsidRPr="002E2725">
          <w:rPr>
            <w:rStyle w:val="Hyperlink"/>
            <w:rFonts w:cs="Times New Roman"/>
          </w:rPr>
          <w:t>Part  I</w:t>
        </w:r>
        <w:r w:rsidR="00B04A6B">
          <w:rPr>
            <w:rFonts w:asciiTheme="minorHAnsi" w:eastAsiaTheme="minorEastAsia" w:hAnsiTheme="minorHAnsi" w:cstheme="minorBidi"/>
          </w:rPr>
          <w:tab/>
        </w:r>
        <w:r w:rsidR="00B04A6B" w:rsidRPr="002E2725">
          <w:rPr>
            <w:rStyle w:val="Hyperlink"/>
          </w:rPr>
          <w:t>Introduction</w:t>
        </w:r>
        <w:r w:rsidR="00B04A6B">
          <w:rPr>
            <w:webHidden/>
          </w:rPr>
          <w:tab/>
        </w:r>
        <w:r w:rsidR="00B04A6B">
          <w:rPr>
            <w:webHidden/>
          </w:rPr>
          <w:fldChar w:fldCharType="begin"/>
        </w:r>
        <w:r w:rsidR="00B04A6B">
          <w:rPr>
            <w:webHidden/>
          </w:rPr>
          <w:instrText xml:space="preserve"> PAGEREF _Toc69996401 \h </w:instrText>
        </w:r>
        <w:r w:rsidR="00B04A6B">
          <w:rPr>
            <w:webHidden/>
          </w:rPr>
        </w:r>
        <w:r w:rsidR="00B04A6B">
          <w:rPr>
            <w:webHidden/>
          </w:rPr>
          <w:fldChar w:fldCharType="separate"/>
        </w:r>
        <w:r w:rsidR="00E241D0">
          <w:rPr>
            <w:webHidden/>
          </w:rPr>
          <w:t>3</w:t>
        </w:r>
        <w:r w:rsidR="00B04A6B">
          <w:rPr>
            <w:webHidden/>
          </w:rPr>
          <w:fldChar w:fldCharType="end"/>
        </w:r>
      </w:hyperlink>
    </w:p>
    <w:p w14:paraId="6D1DA186" w14:textId="08446DE7" w:rsidR="00B04A6B" w:rsidRDefault="00240209">
      <w:pPr>
        <w:pStyle w:val="TOC3"/>
        <w:rPr>
          <w:rFonts w:asciiTheme="minorHAnsi" w:eastAsiaTheme="minorEastAsia" w:hAnsiTheme="minorHAnsi" w:cstheme="minorBidi"/>
        </w:rPr>
      </w:pPr>
      <w:hyperlink w:anchor="_Toc69996402" w:history="1">
        <w:r w:rsidR="00B04A6B" w:rsidRPr="002E2725">
          <w:rPr>
            <w:rStyle w:val="Hyperlink"/>
            <w:rFonts w:cs="Times New Roman"/>
          </w:rPr>
          <w:t>Part  II</w:t>
        </w:r>
        <w:r w:rsidR="00B04A6B">
          <w:rPr>
            <w:rFonts w:asciiTheme="minorHAnsi" w:eastAsiaTheme="minorEastAsia" w:hAnsiTheme="minorHAnsi" w:cstheme="minorBidi"/>
          </w:rPr>
          <w:tab/>
        </w:r>
        <w:r w:rsidR="00B04A6B" w:rsidRPr="002E2725">
          <w:rPr>
            <w:rStyle w:val="Hyperlink"/>
          </w:rPr>
          <w:t>Background to the Request</w:t>
        </w:r>
        <w:r w:rsidR="00B04A6B">
          <w:rPr>
            <w:webHidden/>
          </w:rPr>
          <w:tab/>
        </w:r>
        <w:r w:rsidR="00B04A6B">
          <w:rPr>
            <w:webHidden/>
          </w:rPr>
          <w:fldChar w:fldCharType="begin"/>
        </w:r>
        <w:r w:rsidR="00B04A6B">
          <w:rPr>
            <w:webHidden/>
          </w:rPr>
          <w:instrText xml:space="preserve"> PAGEREF _Toc69996402 \h </w:instrText>
        </w:r>
        <w:r w:rsidR="00B04A6B">
          <w:rPr>
            <w:webHidden/>
          </w:rPr>
        </w:r>
        <w:r w:rsidR="00B04A6B">
          <w:rPr>
            <w:webHidden/>
          </w:rPr>
          <w:fldChar w:fldCharType="separate"/>
        </w:r>
        <w:r w:rsidR="00E241D0">
          <w:rPr>
            <w:webHidden/>
          </w:rPr>
          <w:t>3</w:t>
        </w:r>
        <w:r w:rsidR="00B04A6B">
          <w:rPr>
            <w:webHidden/>
          </w:rPr>
          <w:fldChar w:fldCharType="end"/>
        </w:r>
      </w:hyperlink>
    </w:p>
    <w:p w14:paraId="24CA7A0F" w14:textId="591FD85C" w:rsidR="00B04A6B" w:rsidRDefault="00240209">
      <w:pPr>
        <w:pStyle w:val="TOC3"/>
        <w:rPr>
          <w:rFonts w:asciiTheme="minorHAnsi" w:eastAsiaTheme="minorEastAsia" w:hAnsiTheme="minorHAnsi" w:cstheme="minorBidi"/>
        </w:rPr>
      </w:pPr>
      <w:hyperlink w:anchor="_Toc69996403" w:history="1">
        <w:r w:rsidR="00B04A6B" w:rsidRPr="002E2725">
          <w:rPr>
            <w:rStyle w:val="Hyperlink"/>
            <w:rFonts w:cs="Times New Roman"/>
          </w:rPr>
          <w:t>Part  III</w:t>
        </w:r>
        <w:r w:rsidR="00B04A6B">
          <w:rPr>
            <w:rFonts w:asciiTheme="minorHAnsi" w:eastAsiaTheme="minorEastAsia" w:hAnsiTheme="minorHAnsi" w:cstheme="minorBidi"/>
          </w:rPr>
          <w:tab/>
        </w:r>
        <w:r w:rsidR="00B04A6B" w:rsidRPr="002E2725">
          <w:rPr>
            <w:rStyle w:val="Hyperlink"/>
          </w:rPr>
          <w:t>Evidence Previously Considered by the Authority</w:t>
        </w:r>
        <w:r w:rsidR="00B04A6B">
          <w:rPr>
            <w:webHidden/>
          </w:rPr>
          <w:tab/>
        </w:r>
        <w:r w:rsidR="00B04A6B">
          <w:rPr>
            <w:webHidden/>
          </w:rPr>
          <w:fldChar w:fldCharType="begin"/>
        </w:r>
        <w:r w:rsidR="00B04A6B">
          <w:rPr>
            <w:webHidden/>
          </w:rPr>
          <w:instrText xml:space="preserve"> PAGEREF _Toc69996403 \h </w:instrText>
        </w:r>
        <w:r w:rsidR="00B04A6B">
          <w:rPr>
            <w:webHidden/>
          </w:rPr>
        </w:r>
        <w:r w:rsidR="00B04A6B">
          <w:rPr>
            <w:webHidden/>
          </w:rPr>
          <w:fldChar w:fldCharType="separate"/>
        </w:r>
        <w:r w:rsidR="00E241D0">
          <w:rPr>
            <w:webHidden/>
          </w:rPr>
          <w:t>5</w:t>
        </w:r>
        <w:r w:rsidR="00B04A6B">
          <w:rPr>
            <w:webHidden/>
          </w:rPr>
          <w:fldChar w:fldCharType="end"/>
        </w:r>
      </w:hyperlink>
    </w:p>
    <w:p w14:paraId="06B945FA" w14:textId="0CD0669E" w:rsidR="00B04A6B" w:rsidRDefault="00240209">
      <w:pPr>
        <w:pStyle w:val="TOC3"/>
        <w:rPr>
          <w:rFonts w:asciiTheme="minorHAnsi" w:eastAsiaTheme="minorEastAsia" w:hAnsiTheme="minorHAnsi" w:cstheme="minorBidi"/>
        </w:rPr>
      </w:pPr>
      <w:hyperlink w:anchor="_Toc69996404" w:history="1">
        <w:r w:rsidR="00B04A6B" w:rsidRPr="002E2725">
          <w:rPr>
            <w:rStyle w:val="Hyperlink"/>
            <w:rFonts w:cs="Times New Roman"/>
          </w:rPr>
          <w:t>Part  IV</w:t>
        </w:r>
        <w:r w:rsidR="00B04A6B">
          <w:rPr>
            <w:rFonts w:asciiTheme="minorHAnsi" w:eastAsiaTheme="minorEastAsia" w:hAnsiTheme="minorHAnsi" w:cstheme="minorBidi"/>
          </w:rPr>
          <w:tab/>
        </w:r>
        <w:r w:rsidR="00B04A6B" w:rsidRPr="002E2725">
          <w:rPr>
            <w:rStyle w:val="Hyperlink"/>
          </w:rPr>
          <w:t>New Information Considered by the Authority</w:t>
        </w:r>
        <w:r w:rsidR="00B04A6B">
          <w:rPr>
            <w:webHidden/>
          </w:rPr>
          <w:tab/>
        </w:r>
        <w:r w:rsidR="00B04A6B">
          <w:rPr>
            <w:webHidden/>
          </w:rPr>
          <w:fldChar w:fldCharType="begin"/>
        </w:r>
        <w:r w:rsidR="00B04A6B">
          <w:rPr>
            <w:webHidden/>
          </w:rPr>
          <w:instrText xml:space="preserve"> PAGEREF _Toc69996404 \h </w:instrText>
        </w:r>
        <w:r w:rsidR="00B04A6B">
          <w:rPr>
            <w:webHidden/>
          </w:rPr>
        </w:r>
        <w:r w:rsidR="00B04A6B">
          <w:rPr>
            <w:webHidden/>
          </w:rPr>
          <w:fldChar w:fldCharType="separate"/>
        </w:r>
        <w:r w:rsidR="00E241D0">
          <w:rPr>
            <w:webHidden/>
          </w:rPr>
          <w:t>5</w:t>
        </w:r>
        <w:r w:rsidR="00B04A6B">
          <w:rPr>
            <w:webHidden/>
          </w:rPr>
          <w:fldChar w:fldCharType="end"/>
        </w:r>
      </w:hyperlink>
    </w:p>
    <w:p w14:paraId="0CBE47F6" w14:textId="6481C2CD" w:rsidR="00B04A6B" w:rsidRDefault="00240209">
      <w:pPr>
        <w:pStyle w:val="TOC3"/>
        <w:rPr>
          <w:rFonts w:asciiTheme="minorHAnsi" w:eastAsiaTheme="minorEastAsia" w:hAnsiTheme="minorHAnsi" w:cstheme="minorBidi"/>
        </w:rPr>
      </w:pPr>
      <w:hyperlink w:anchor="_Toc69996405" w:history="1">
        <w:r w:rsidR="00B04A6B" w:rsidRPr="002E2725">
          <w:rPr>
            <w:rStyle w:val="Hyperlink"/>
            <w:rFonts w:cs="Times New Roman"/>
          </w:rPr>
          <w:t>Part  V</w:t>
        </w:r>
        <w:r w:rsidR="00B04A6B">
          <w:rPr>
            <w:rFonts w:asciiTheme="minorHAnsi" w:eastAsiaTheme="minorEastAsia" w:hAnsiTheme="minorHAnsi" w:cstheme="minorBidi"/>
          </w:rPr>
          <w:tab/>
        </w:r>
        <w:r w:rsidR="00B04A6B" w:rsidRPr="002E2725">
          <w:rPr>
            <w:rStyle w:val="Hyperlink"/>
          </w:rPr>
          <w:t>Summary of New and Existing Evidence</w:t>
        </w:r>
        <w:r w:rsidR="00B04A6B">
          <w:rPr>
            <w:webHidden/>
          </w:rPr>
          <w:tab/>
        </w:r>
        <w:r w:rsidR="00B04A6B">
          <w:rPr>
            <w:webHidden/>
          </w:rPr>
          <w:fldChar w:fldCharType="begin"/>
        </w:r>
        <w:r w:rsidR="00B04A6B">
          <w:rPr>
            <w:webHidden/>
          </w:rPr>
          <w:instrText xml:space="preserve"> PAGEREF _Toc69996405 \h </w:instrText>
        </w:r>
        <w:r w:rsidR="00B04A6B">
          <w:rPr>
            <w:webHidden/>
          </w:rPr>
        </w:r>
        <w:r w:rsidR="00B04A6B">
          <w:rPr>
            <w:webHidden/>
          </w:rPr>
          <w:fldChar w:fldCharType="separate"/>
        </w:r>
        <w:r w:rsidR="00E241D0">
          <w:rPr>
            <w:webHidden/>
          </w:rPr>
          <w:t>5</w:t>
        </w:r>
        <w:r w:rsidR="00B04A6B">
          <w:rPr>
            <w:webHidden/>
          </w:rPr>
          <w:fldChar w:fldCharType="end"/>
        </w:r>
      </w:hyperlink>
    </w:p>
    <w:p w14:paraId="7ADB6E6C" w14:textId="68A548D9" w:rsidR="00B04A6B" w:rsidRDefault="00240209">
      <w:pPr>
        <w:pStyle w:val="TOC3"/>
        <w:rPr>
          <w:rFonts w:asciiTheme="minorHAnsi" w:eastAsiaTheme="minorEastAsia" w:hAnsiTheme="minorHAnsi" w:cstheme="minorBidi"/>
        </w:rPr>
      </w:pPr>
      <w:hyperlink w:anchor="_Toc69996406" w:history="1">
        <w:r w:rsidR="00B04A6B" w:rsidRPr="002E2725">
          <w:rPr>
            <w:rStyle w:val="Hyperlink"/>
            <w:rFonts w:cs="Times New Roman"/>
          </w:rPr>
          <w:t>Part  VI</w:t>
        </w:r>
        <w:r w:rsidR="00B04A6B">
          <w:rPr>
            <w:rFonts w:asciiTheme="minorHAnsi" w:eastAsiaTheme="minorEastAsia" w:hAnsiTheme="minorHAnsi" w:cstheme="minorBidi"/>
          </w:rPr>
          <w:tab/>
        </w:r>
        <w:r w:rsidR="00B04A6B" w:rsidRPr="002E2725">
          <w:rPr>
            <w:rStyle w:val="Hyperlink"/>
          </w:rPr>
          <w:t>Findings of Fact</w:t>
        </w:r>
        <w:r w:rsidR="00B04A6B">
          <w:rPr>
            <w:webHidden/>
          </w:rPr>
          <w:tab/>
        </w:r>
        <w:r w:rsidR="00B04A6B">
          <w:rPr>
            <w:webHidden/>
          </w:rPr>
          <w:fldChar w:fldCharType="begin"/>
        </w:r>
        <w:r w:rsidR="00B04A6B">
          <w:rPr>
            <w:webHidden/>
          </w:rPr>
          <w:instrText xml:space="preserve"> PAGEREF _Toc69996406 \h </w:instrText>
        </w:r>
        <w:r w:rsidR="00B04A6B">
          <w:rPr>
            <w:webHidden/>
          </w:rPr>
        </w:r>
        <w:r w:rsidR="00B04A6B">
          <w:rPr>
            <w:webHidden/>
          </w:rPr>
          <w:fldChar w:fldCharType="separate"/>
        </w:r>
        <w:r w:rsidR="00E241D0">
          <w:rPr>
            <w:webHidden/>
          </w:rPr>
          <w:t>6</w:t>
        </w:r>
        <w:r w:rsidR="00B04A6B">
          <w:rPr>
            <w:webHidden/>
          </w:rPr>
          <w:fldChar w:fldCharType="end"/>
        </w:r>
      </w:hyperlink>
    </w:p>
    <w:p w14:paraId="4F281F11" w14:textId="235D0E4A" w:rsidR="00B04A6B" w:rsidRDefault="00240209">
      <w:pPr>
        <w:pStyle w:val="TOC3"/>
        <w:rPr>
          <w:rFonts w:asciiTheme="minorHAnsi" w:eastAsiaTheme="minorEastAsia" w:hAnsiTheme="minorHAnsi" w:cstheme="minorBidi"/>
        </w:rPr>
      </w:pPr>
      <w:hyperlink w:anchor="_Toc69996407" w:history="1">
        <w:r w:rsidR="00B04A6B" w:rsidRPr="002E2725">
          <w:rPr>
            <w:rStyle w:val="Hyperlink"/>
            <w:rFonts w:cs="Times New Roman"/>
          </w:rPr>
          <w:t>Part  VII</w:t>
        </w:r>
        <w:r w:rsidR="00B04A6B">
          <w:rPr>
            <w:rFonts w:asciiTheme="minorHAnsi" w:eastAsiaTheme="minorEastAsia" w:hAnsiTheme="minorHAnsi" w:cstheme="minorBidi"/>
          </w:rPr>
          <w:tab/>
        </w:r>
        <w:r w:rsidR="00B04A6B" w:rsidRPr="002E2725">
          <w:rPr>
            <w:rStyle w:val="Hyperlink"/>
          </w:rPr>
          <w:t>Reasons for the Decision</w:t>
        </w:r>
        <w:r w:rsidR="00B04A6B">
          <w:rPr>
            <w:webHidden/>
          </w:rPr>
          <w:tab/>
        </w:r>
        <w:r w:rsidR="00B04A6B">
          <w:rPr>
            <w:webHidden/>
          </w:rPr>
          <w:fldChar w:fldCharType="begin"/>
        </w:r>
        <w:r w:rsidR="00B04A6B">
          <w:rPr>
            <w:webHidden/>
          </w:rPr>
          <w:instrText xml:space="preserve"> PAGEREF _Toc69996407 \h </w:instrText>
        </w:r>
        <w:r w:rsidR="00B04A6B">
          <w:rPr>
            <w:webHidden/>
          </w:rPr>
        </w:r>
        <w:r w:rsidR="00B04A6B">
          <w:rPr>
            <w:webHidden/>
          </w:rPr>
          <w:fldChar w:fldCharType="separate"/>
        </w:r>
        <w:r w:rsidR="00E241D0">
          <w:rPr>
            <w:webHidden/>
          </w:rPr>
          <w:t>6</w:t>
        </w:r>
        <w:r w:rsidR="00B04A6B">
          <w:rPr>
            <w:webHidden/>
          </w:rPr>
          <w:fldChar w:fldCharType="end"/>
        </w:r>
      </w:hyperlink>
    </w:p>
    <w:p w14:paraId="513CB680" w14:textId="6779948D" w:rsidR="00B04A6B" w:rsidRDefault="00240209">
      <w:pPr>
        <w:pStyle w:val="TOC3"/>
        <w:rPr>
          <w:rFonts w:asciiTheme="minorHAnsi" w:eastAsiaTheme="minorEastAsia" w:hAnsiTheme="minorHAnsi" w:cstheme="minorBidi"/>
        </w:rPr>
      </w:pPr>
      <w:hyperlink w:anchor="_Toc69996408" w:history="1">
        <w:r w:rsidR="00B04A6B" w:rsidRPr="002E2725">
          <w:rPr>
            <w:rStyle w:val="Hyperlink"/>
            <w:rFonts w:cs="Times New Roman"/>
          </w:rPr>
          <w:t>Part  VIII</w:t>
        </w:r>
        <w:r w:rsidR="00B04A6B">
          <w:rPr>
            <w:rFonts w:asciiTheme="minorHAnsi" w:eastAsiaTheme="minorEastAsia" w:hAnsiTheme="minorHAnsi" w:cstheme="minorBidi"/>
          </w:rPr>
          <w:tab/>
        </w:r>
        <w:r w:rsidR="00B04A6B" w:rsidRPr="002E2725">
          <w:rPr>
            <w:rStyle w:val="Hyperlink"/>
          </w:rPr>
          <w:t>Conclusions</w:t>
        </w:r>
        <w:r w:rsidR="00B04A6B">
          <w:rPr>
            <w:webHidden/>
          </w:rPr>
          <w:tab/>
        </w:r>
        <w:r w:rsidR="00B04A6B">
          <w:rPr>
            <w:webHidden/>
          </w:rPr>
          <w:fldChar w:fldCharType="begin"/>
        </w:r>
        <w:r w:rsidR="00B04A6B">
          <w:rPr>
            <w:webHidden/>
          </w:rPr>
          <w:instrText xml:space="preserve"> PAGEREF _Toc69996408 \h </w:instrText>
        </w:r>
        <w:r w:rsidR="00B04A6B">
          <w:rPr>
            <w:webHidden/>
          </w:rPr>
        </w:r>
        <w:r w:rsidR="00B04A6B">
          <w:rPr>
            <w:webHidden/>
          </w:rPr>
          <w:fldChar w:fldCharType="separate"/>
        </w:r>
        <w:r w:rsidR="00E241D0">
          <w:rPr>
            <w:webHidden/>
          </w:rPr>
          <w:t>8</w:t>
        </w:r>
        <w:r w:rsidR="00B04A6B">
          <w:rPr>
            <w:webHidden/>
          </w:rPr>
          <w:fldChar w:fldCharType="end"/>
        </w:r>
      </w:hyperlink>
    </w:p>
    <w:p w14:paraId="213238D9" w14:textId="73FFD9D2" w:rsidR="00B04A6B" w:rsidRDefault="00240209">
      <w:pPr>
        <w:pStyle w:val="TOC3"/>
        <w:rPr>
          <w:rFonts w:asciiTheme="minorHAnsi" w:eastAsiaTheme="minorEastAsia" w:hAnsiTheme="minorHAnsi" w:cstheme="minorBidi"/>
        </w:rPr>
      </w:pPr>
      <w:hyperlink w:anchor="_Toc69996409" w:history="1">
        <w:r w:rsidR="00B04A6B" w:rsidRPr="002E2725">
          <w:rPr>
            <w:rStyle w:val="Hyperlink"/>
            <w:rFonts w:cs="Times New Roman"/>
          </w:rPr>
          <w:t>Part  IX</w:t>
        </w:r>
        <w:r w:rsidR="00B04A6B">
          <w:rPr>
            <w:rFonts w:asciiTheme="minorHAnsi" w:eastAsiaTheme="minorEastAsia" w:hAnsiTheme="minorHAnsi" w:cstheme="minorBidi"/>
          </w:rPr>
          <w:tab/>
        </w:r>
        <w:r w:rsidR="00B04A6B" w:rsidRPr="002E2725">
          <w:rPr>
            <w:rStyle w:val="Hyperlink"/>
          </w:rPr>
          <w:t>Decision</w:t>
        </w:r>
        <w:r w:rsidR="00B04A6B">
          <w:rPr>
            <w:webHidden/>
          </w:rPr>
          <w:tab/>
        </w:r>
        <w:r w:rsidR="00B04A6B">
          <w:rPr>
            <w:webHidden/>
          </w:rPr>
          <w:fldChar w:fldCharType="begin"/>
        </w:r>
        <w:r w:rsidR="00B04A6B">
          <w:rPr>
            <w:webHidden/>
          </w:rPr>
          <w:instrText xml:space="preserve"> PAGEREF _Toc69996409 \h </w:instrText>
        </w:r>
        <w:r w:rsidR="00B04A6B">
          <w:rPr>
            <w:webHidden/>
          </w:rPr>
        </w:r>
        <w:r w:rsidR="00B04A6B">
          <w:rPr>
            <w:webHidden/>
          </w:rPr>
          <w:fldChar w:fldCharType="separate"/>
        </w:r>
        <w:r w:rsidR="00E241D0">
          <w:rPr>
            <w:webHidden/>
          </w:rPr>
          <w:t>9</w:t>
        </w:r>
        <w:r w:rsidR="00B04A6B">
          <w:rPr>
            <w:webHidden/>
          </w:rPr>
          <w:fldChar w:fldCharType="end"/>
        </w:r>
      </w:hyperlink>
    </w:p>
    <w:p w14:paraId="1971BF2C" w14:textId="77777777" w:rsidR="00614DF1" w:rsidRDefault="00614DF1" w:rsidP="00614DF1">
      <w:r>
        <w:fldChar w:fldCharType="end"/>
      </w:r>
    </w:p>
    <w:p w14:paraId="3BBFC204" w14:textId="77777777" w:rsidR="00614DF1" w:rsidRDefault="00614DF1" w:rsidP="00614DF1">
      <w:pPr>
        <w:tabs>
          <w:tab w:val="left" w:pos="1635"/>
        </w:tabs>
      </w:pPr>
      <w:r>
        <w:tab/>
      </w:r>
    </w:p>
    <w:p w14:paraId="4682F4C9" w14:textId="77777777" w:rsidR="00614DF1" w:rsidRDefault="00614DF1" w:rsidP="00614DF1"/>
    <w:p w14:paraId="28F59AFD" w14:textId="77777777" w:rsidR="00614DF1" w:rsidRDefault="00614DF1" w:rsidP="00614DF1">
      <w:pPr>
        <w:sectPr w:rsidR="00614DF1">
          <w:footerReference w:type="even" r:id="rId9"/>
          <w:footerReference w:type="default" r:id="rId10"/>
          <w:footerReference w:type="first" r:id="rId11"/>
          <w:pgSz w:w="11900" w:h="16840" w:code="9"/>
          <w:pgMar w:top="1418" w:right="1361" w:bottom="1418" w:left="1361" w:header="561" w:footer="561" w:gutter="0"/>
          <w:pgNumType w:start="1"/>
          <w:cols w:space="720"/>
          <w:titlePg/>
          <w:docGrid w:linePitch="299"/>
        </w:sectPr>
      </w:pPr>
    </w:p>
    <w:p w14:paraId="714798D3" w14:textId="77777777" w:rsidR="00614DF1" w:rsidRDefault="00614DF1" w:rsidP="00614DF1">
      <w:pPr>
        <w:pStyle w:val="PartHeading"/>
      </w:pPr>
      <w:bookmarkStart w:id="1" w:name="InsertFileHere"/>
      <w:bookmarkStart w:id="2" w:name="TOC"/>
      <w:bookmarkStart w:id="3" w:name="_Toc69996401"/>
      <w:bookmarkEnd w:id="1"/>
      <w:bookmarkEnd w:id="2"/>
      <w:r>
        <w:lastRenderedPageBreak/>
        <w:t>Introduction</w:t>
      </w:r>
      <w:bookmarkEnd w:id="3"/>
    </w:p>
    <w:p w14:paraId="4C6556D4" w14:textId="541A07EC" w:rsidR="00614DF1" w:rsidRDefault="00614DF1" w:rsidP="00DF012E">
      <w:pPr>
        <w:pStyle w:val="NumberLevel1"/>
        <w:numPr>
          <w:ilvl w:val="0"/>
          <w:numId w:val="4"/>
        </w:numPr>
        <w:tabs>
          <w:tab w:val="clear" w:pos="567"/>
        </w:tabs>
        <w:outlineLvl w:val="9"/>
      </w:pPr>
      <w:r>
        <w:t xml:space="preserve">The Repatriation Medical Authority (the Authority) received </w:t>
      </w:r>
      <w:r w:rsidR="0046747F">
        <w:t>a request</w:t>
      </w:r>
      <w:r>
        <w:t xml:space="preserve"> from </w:t>
      </w:r>
      <w:r w:rsidR="00E241D0">
        <w:t>the applicant</w:t>
      </w:r>
      <w:r w:rsidR="00AD04E1">
        <w:t xml:space="preserve">, </w:t>
      </w:r>
      <w:r w:rsidR="00E95B6C">
        <w:t xml:space="preserve">a person eligible to make a claim for compensation under section 319 of the </w:t>
      </w:r>
      <w:r w:rsidR="00E95B6C">
        <w:rPr>
          <w:i/>
        </w:rPr>
        <w:t>Military Rehabilitation and Compensation Act 2004</w:t>
      </w:r>
      <w:r w:rsidR="00E95B6C">
        <w:t xml:space="preserve"> (MRCA)</w:t>
      </w:r>
      <w:r>
        <w:t xml:space="preserve">, </w:t>
      </w:r>
      <w:r w:rsidR="00946ED3">
        <w:t xml:space="preserve">on </w:t>
      </w:r>
      <w:r w:rsidR="00E95B6C">
        <w:t>29 November</w:t>
      </w:r>
      <w:r w:rsidR="00946ED3">
        <w:t xml:space="preserve"> 2020</w:t>
      </w:r>
      <w:r w:rsidR="00C90309">
        <w:t xml:space="preserve">. </w:t>
      </w:r>
      <w:r w:rsidR="00035F56">
        <w:t>The applicant</w:t>
      </w:r>
      <w:r>
        <w:t xml:space="preserve"> </w:t>
      </w:r>
      <w:r w:rsidR="00C90309">
        <w:t>requested</w:t>
      </w:r>
      <w:r>
        <w:t xml:space="preserve"> a review</w:t>
      </w:r>
      <w:r w:rsidR="000A4E16">
        <w:t>, by way of an investigation,</w:t>
      </w:r>
      <w:r>
        <w:t xml:space="preserve"> </w:t>
      </w:r>
      <w:r w:rsidR="000A4E16">
        <w:t>of</w:t>
      </w:r>
      <w:r w:rsidRPr="006A1B9A">
        <w:t xml:space="preserve"> </w:t>
      </w:r>
      <w:r w:rsidR="005121CA">
        <w:t xml:space="preserve">the </w:t>
      </w:r>
      <w:r w:rsidR="00AD04E1">
        <w:t>contents</w:t>
      </w:r>
      <w:r w:rsidR="005121CA">
        <w:t xml:space="preserve"> </w:t>
      </w:r>
      <w:r w:rsidR="00AD04E1">
        <w:t xml:space="preserve">of </w:t>
      </w:r>
      <w:r w:rsidR="005121CA">
        <w:t xml:space="preserve">the </w:t>
      </w:r>
      <w:r>
        <w:t>Statement</w:t>
      </w:r>
      <w:r w:rsidR="00AD04E1">
        <w:t>s</w:t>
      </w:r>
      <w:r>
        <w:t xml:space="preserve"> of Principles (SOP</w:t>
      </w:r>
      <w:r w:rsidR="00AD04E1">
        <w:t>s</w:t>
      </w:r>
      <w:r>
        <w:t xml:space="preserve">) </w:t>
      </w:r>
      <w:r w:rsidR="00AD04E1">
        <w:t xml:space="preserve">concerning </w:t>
      </w:r>
      <w:r w:rsidR="00DF012E">
        <w:t>malignant neoplasm of the breast</w:t>
      </w:r>
      <w:r w:rsidR="00AD04E1">
        <w:t xml:space="preserve"> </w:t>
      </w:r>
      <w:r>
        <w:t>(</w:t>
      </w:r>
      <w:r w:rsidR="00AD04E1">
        <w:t xml:space="preserve">Instrument </w:t>
      </w:r>
      <w:r>
        <w:t>No</w:t>
      </w:r>
      <w:r w:rsidR="00AD04E1">
        <w:t>s</w:t>
      </w:r>
      <w:r>
        <w:t xml:space="preserve">. </w:t>
      </w:r>
      <w:r w:rsidR="00DF012E">
        <w:t>96</w:t>
      </w:r>
      <w:r w:rsidR="00B20131">
        <w:t xml:space="preserve"> and </w:t>
      </w:r>
      <w:r w:rsidR="00DF012E">
        <w:t>97</w:t>
      </w:r>
      <w:r w:rsidR="00B20131">
        <w:t xml:space="preserve"> of 201</w:t>
      </w:r>
      <w:r w:rsidR="00DF012E">
        <w:t>4</w:t>
      </w:r>
      <w:r>
        <w:t>)</w:t>
      </w:r>
      <w:r w:rsidR="00B20131">
        <w:t>.</w:t>
      </w:r>
    </w:p>
    <w:p w14:paraId="44A47619" w14:textId="77BD25F9" w:rsidR="00DF012E" w:rsidRDefault="00DF012E" w:rsidP="00DF012E">
      <w:pPr>
        <w:pStyle w:val="NumberLevel1"/>
        <w:numPr>
          <w:ilvl w:val="0"/>
          <w:numId w:val="4"/>
        </w:numPr>
        <w:tabs>
          <w:tab w:val="clear" w:pos="567"/>
        </w:tabs>
        <w:outlineLvl w:val="9"/>
      </w:pPr>
      <w:r>
        <w:t xml:space="preserve">At its meeting on 16 February 2021, the Authority decided to conduct a review of the SOPs concerning malignant neoplasm of the breast, to determine whether the sound medical-scientific evidence (SMSE) provided a sufficient justification to amend these instruments in accordance with </w:t>
      </w:r>
      <w:r w:rsidR="00013739">
        <w:t>the applicant's</w:t>
      </w:r>
      <w:r>
        <w:t xml:space="preserve"> request. A Notice of Investigation</w:t>
      </w:r>
      <w:r w:rsidR="00292A7B">
        <w:t xml:space="preserve"> was published in the Government Notices Gazette of 9 March 2021,</w:t>
      </w:r>
      <w:r>
        <w:t xml:space="preserve"> advertising a focussed review into 'taking combined hormonal contraceptives'</w:t>
      </w:r>
      <w:r w:rsidR="0046747F">
        <w:t xml:space="preserve"> as a factor in malignant neoplasm of the breast</w:t>
      </w:r>
      <w:r w:rsidR="00292A7B">
        <w:t>.</w:t>
      </w:r>
      <w:r>
        <w:t xml:space="preserve"> At its meeting on 7 April 2021, the Authority decided that </w:t>
      </w:r>
      <w:r w:rsidR="0046747F">
        <w:t xml:space="preserve">the new SMSE, together with the SMSE it had previously considered, was not sufficient to justify the amendments to the SOPs concerning malignant neoplasm of the breast which </w:t>
      </w:r>
      <w:r w:rsidR="00013739">
        <w:t>the applicant</w:t>
      </w:r>
      <w:r w:rsidR="0046747F">
        <w:t xml:space="preserve"> sought. </w:t>
      </w:r>
    </w:p>
    <w:p w14:paraId="66C0DA15" w14:textId="77777777" w:rsidR="00614DF1" w:rsidRDefault="00614DF1" w:rsidP="00614DF1">
      <w:pPr>
        <w:pStyle w:val="PartHeading"/>
      </w:pPr>
      <w:bookmarkStart w:id="4" w:name="_Toc69996402"/>
      <w:r>
        <w:t>Background to the Request</w:t>
      </w:r>
      <w:bookmarkEnd w:id="4"/>
      <w:r>
        <w:t xml:space="preserve"> </w:t>
      </w:r>
    </w:p>
    <w:p w14:paraId="3E7B2DCC" w14:textId="6D791AA8" w:rsidR="00234B85" w:rsidRPr="00D45F1B" w:rsidRDefault="00234B85" w:rsidP="00D45F1B">
      <w:pPr>
        <w:pStyle w:val="NumberLevel1"/>
        <w:tabs>
          <w:tab w:val="clear" w:pos="360"/>
          <w:tab w:val="left" w:pos="720"/>
        </w:tabs>
        <w:ind w:left="426" w:hanging="426"/>
        <w:outlineLvl w:val="1"/>
        <w:rPr>
          <w:b/>
        </w:rPr>
      </w:pPr>
      <w:r w:rsidRPr="00D45F1B">
        <w:rPr>
          <w:b/>
        </w:rPr>
        <w:t>Factual background</w:t>
      </w:r>
    </w:p>
    <w:p w14:paraId="40935559" w14:textId="11966754" w:rsidR="00DC433C" w:rsidRDefault="00614DF1" w:rsidP="0010405A">
      <w:pPr>
        <w:pStyle w:val="NumberLevel1"/>
        <w:numPr>
          <w:ilvl w:val="0"/>
          <w:numId w:val="4"/>
        </w:numPr>
      </w:pPr>
      <w:r>
        <w:t xml:space="preserve">The applicant </w:t>
      </w:r>
      <w:r w:rsidR="00991649">
        <w:t>requested</w:t>
      </w:r>
      <w:r w:rsidR="00925505">
        <w:t xml:space="preserve"> </w:t>
      </w:r>
      <w:r w:rsidR="000A4E16">
        <w:t>that the</w:t>
      </w:r>
      <w:r w:rsidR="00925505">
        <w:t xml:space="preserve"> Authority </w:t>
      </w:r>
      <w:r w:rsidR="00E61CAF">
        <w:t xml:space="preserve">consider </w:t>
      </w:r>
      <w:r w:rsidR="0046747F">
        <w:t>replacing the existing factors relating to using</w:t>
      </w:r>
      <w:r w:rsidR="00376BF8">
        <w:t xml:space="preserve"> a</w:t>
      </w:r>
      <w:r w:rsidR="0046747F">
        <w:t xml:space="preserve"> combined oral contraceptive pill in</w:t>
      </w:r>
      <w:r w:rsidR="00E61CAF">
        <w:t xml:space="preserve"> the SOPs concerning </w:t>
      </w:r>
      <w:r w:rsidR="0046747F">
        <w:t>malignant neoplasm of the breast</w:t>
      </w:r>
      <w:r w:rsidR="00C90309">
        <w:t xml:space="preserve"> (Instrument Nos. </w:t>
      </w:r>
      <w:r w:rsidR="0046747F">
        <w:t>96 and 97 of 2014</w:t>
      </w:r>
      <w:r w:rsidR="00C90309">
        <w:t>)</w:t>
      </w:r>
      <w:r w:rsidR="0046747F">
        <w:t xml:space="preserve"> with factors relating to using any combined hormonal contraceptive, irrespective of the mode of delivery</w:t>
      </w:r>
      <w:r w:rsidR="00925505">
        <w:t>.</w:t>
      </w:r>
      <w:r w:rsidR="00E61CAF">
        <w:t xml:space="preserve"> </w:t>
      </w:r>
    </w:p>
    <w:p w14:paraId="63498566" w14:textId="416B523B" w:rsidR="00426D15" w:rsidRDefault="0046747F" w:rsidP="0010405A">
      <w:pPr>
        <w:pStyle w:val="NumberLevel1"/>
        <w:numPr>
          <w:ilvl w:val="0"/>
          <w:numId w:val="4"/>
        </w:numPr>
      </w:pPr>
      <w:r>
        <w:t xml:space="preserve">In a submission which accompanied her request, the applicant noted that increasing numbers of women are undertaking service </w:t>
      </w:r>
      <w:r w:rsidR="00DC433C">
        <w:t>in the Australian Defence Force (ADF), and that breast cancer is the leading cause of death for women across the three services which comprise the ADF. Consequently, the applicant submitted that it was vital that the relevant SOPs reflected the current SMSE.</w:t>
      </w:r>
    </w:p>
    <w:p w14:paraId="4D3E8BFB" w14:textId="0FD1D4FC" w:rsidR="00013739" w:rsidRDefault="00013739" w:rsidP="0010405A">
      <w:pPr>
        <w:pStyle w:val="NumberLevel1"/>
        <w:numPr>
          <w:ilvl w:val="0"/>
          <w:numId w:val="4"/>
        </w:numPr>
      </w:pPr>
      <w:r>
        <w:t>Incidentally, the applicant identified that the SOPs concerning the following 12 conditions also contained factors relating to using a combined oral contraceptive pill:</w:t>
      </w:r>
    </w:p>
    <w:p w14:paraId="547EC175" w14:textId="77777777" w:rsidR="00013739" w:rsidRDefault="00013739" w:rsidP="00013739">
      <w:pPr>
        <w:pStyle w:val="NumberLevel1"/>
        <w:numPr>
          <w:ilvl w:val="1"/>
          <w:numId w:val="4"/>
        </w:numPr>
        <w:spacing w:before="0" w:after="0"/>
        <w:ind w:left="924" w:hanging="357"/>
      </w:pPr>
      <w:r>
        <w:t>Inflammatory Bowel Disease</w:t>
      </w:r>
    </w:p>
    <w:p w14:paraId="1DD08DCE" w14:textId="77777777" w:rsidR="00013739" w:rsidRDefault="00013739" w:rsidP="00013739">
      <w:pPr>
        <w:pStyle w:val="NumberLevel1"/>
        <w:numPr>
          <w:ilvl w:val="1"/>
          <w:numId w:val="4"/>
        </w:numPr>
        <w:spacing w:before="0" w:after="0"/>
        <w:ind w:left="924" w:hanging="357"/>
      </w:pPr>
      <w:r>
        <w:t>Malignant Neoplasm of the Cervix</w:t>
      </w:r>
    </w:p>
    <w:p w14:paraId="64DCEBAE" w14:textId="77777777" w:rsidR="00013739" w:rsidRDefault="00013739" w:rsidP="00013739">
      <w:pPr>
        <w:pStyle w:val="NumberLevel1"/>
        <w:numPr>
          <w:ilvl w:val="1"/>
          <w:numId w:val="4"/>
        </w:numPr>
        <w:spacing w:before="0" w:after="0"/>
        <w:ind w:left="924" w:hanging="357"/>
      </w:pPr>
      <w:r>
        <w:t>Retinal Vascular Occlusion</w:t>
      </w:r>
    </w:p>
    <w:p w14:paraId="0A4A55DF" w14:textId="77777777" w:rsidR="00013739" w:rsidRDefault="00013739" w:rsidP="00013739">
      <w:pPr>
        <w:pStyle w:val="NumberLevel1"/>
        <w:numPr>
          <w:ilvl w:val="1"/>
          <w:numId w:val="4"/>
        </w:numPr>
        <w:spacing w:before="0" w:after="0"/>
        <w:ind w:left="924" w:hanging="357"/>
      </w:pPr>
      <w:r>
        <w:t>Malignant Neoplasm of the Liver</w:t>
      </w:r>
    </w:p>
    <w:p w14:paraId="60CCEF73" w14:textId="77777777" w:rsidR="00013739" w:rsidRDefault="00013739" w:rsidP="00013739">
      <w:pPr>
        <w:pStyle w:val="NumberLevel1"/>
        <w:numPr>
          <w:ilvl w:val="1"/>
          <w:numId w:val="4"/>
        </w:numPr>
        <w:spacing w:before="0" w:after="0"/>
        <w:ind w:left="924" w:hanging="357"/>
      </w:pPr>
      <w:r>
        <w:t>Subarachnoid Haemorrhage</w:t>
      </w:r>
    </w:p>
    <w:p w14:paraId="310B0BC2" w14:textId="77777777" w:rsidR="00013739" w:rsidRDefault="00013739" w:rsidP="00013739">
      <w:pPr>
        <w:pStyle w:val="NumberLevel1"/>
        <w:numPr>
          <w:ilvl w:val="1"/>
          <w:numId w:val="4"/>
        </w:numPr>
        <w:spacing w:before="0" w:after="0"/>
        <w:ind w:left="924" w:hanging="357"/>
      </w:pPr>
      <w:r>
        <w:t>Cerebrovascular Accident</w:t>
      </w:r>
    </w:p>
    <w:p w14:paraId="0FCEEA6B" w14:textId="77777777" w:rsidR="00013739" w:rsidRDefault="00013739" w:rsidP="00013739">
      <w:pPr>
        <w:pStyle w:val="NumberLevel1"/>
        <w:numPr>
          <w:ilvl w:val="1"/>
          <w:numId w:val="4"/>
        </w:numPr>
        <w:spacing w:before="0" w:after="0"/>
        <w:ind w:left="924" w:hanging="357"/>
      </w:pPr>
      <w:r>
        <w:t>Depressive Disorder</w:t>
      </w:r>
    </w:p>
    <w:p w14:paraId="1003D5A7" w14:textId="77777777" w:rsidR="00013739" w:rsidRDefault="00013739" w:rsidP="00013739">
      <w:pPr>
        <w:pStyle w:val="NumberLevel1"/>
        <w:numPr>
          <w:ilvl w:val="1"/>
          <w:numId w:val="4"/>
        </w:numPr>
        <w:spacing w:before="0" w:after="0"/>
        <w:ind w:left="924" w:hanging="357"/>
      </w:pPr>
      <w:r>
        <w:t>Ischaemic Heart Disease</w:t>
      </w:r>
    </w:p>
    <w:p w14:paraId="7E2825C8" w14:textId="77777777" w:rsidR="00013739" w:rsidRDefault="00013739" w:rsidP="00013739">
      <w:pPr>
        <w:pStyle w:val="NumberLevel1"/>
        <w:numPr>
          <w:ilvl w:val="1"/>
          <w:numId w:val="4"/>
        </w:numPr>
        <w:spacing w:before="0" w:after="0"/>
        <w:ind w:left="924" w:hanging="357"/>
      </w:pPr>
      <w:r>
        <w:t>Bipolar Disorder</w:t>
      </w:r>
    </w:p>
    <w:p w14:paraId="2405EA67" w14:textId="77777777" w:rsidR="00013739" w:rsidRDefault="00013739" w:rsidP="00013739">
      <w:pPr>
        <w:pStyle w:val="NumberLevel1"/>
        <w:numPr>
          <w:ilvl w:val="1"/>
          <w:numId w:val="4"/>
        </w:numPr>
        <w:spacing w:before="0" w:after="0"/>
        <w:ind w:left="924" w:hanging="357"/>
      </w:pPr>
      <w:r>
        <w:t>Malignant Neoplasm of the Endometrium</w:t>
      </w:r>
    </w:p>
    <w:p w14:paraId="11FE281E" w14:textId="77777777" w:rsidR="00013739" w:rsidRDefault="00013739" w:rsidP="00013739">
      <w:pPr>
        <w:pStyle w:val="NumberLevel1"/>
        <w:numPr>
          <w:ilvl w:val="1"/>
          <w:numId w:val="4"/>
        </w:numPr>
        <w:spacing w:before="0" w:after="0"/>
        <w:ind w:left="924" w:hanging="357"/>
      </w:pPr>
      <w:r>
        <w:t>Gingivitis</w:t>
      </w:r>
    </w:p>
    <w:p w14:paraId="7FE48E93" w14:textId="13E83E03" w:rsidR="00013739" w:rsidRDefault="00013739" w:rsidP="00013739">
      <w:pPr>
        <w:pStyle w:val="NumberLevel1"/>
        <w:numPr>
          <w:ilvl w:val="1"/>
          <w:numId w:val="4"/>
        </w:numPr>
        <w:spacing w:before="0" w:after="0"/>
        <w:ind w:left="924" w:hanging="357"/>
      </w:pPr>
      <w:r>
        <w:t>Cholelithiasis</w:t>
      </w:r>
    </w:p>
    <w:p w14:paraId="4F9FA66C" w14:textId="3F6B8CDD" w:rsidR="00013739" w:rsidRDefault="00013739" w:rsidP="00D96B81">
      <w:pPr>
        <w:pStyle w:val="NumberLevel1"/>
        <w:keepLines/>
        <w:numPr>
          <w:ilvl w:val="0"/>
          <w:numId w:val="4"/>
        </w:numPr>
      </w:pPr>
      <w:r>
        <w:lastRenderedPageBreak/>
        <w:t>The applicant indicated that she also sought a review of the SOPs concerning these conditions, on the basis that any causal association between combined hormonal contraceptives and malignant neoplasm of the breast should be reflected, by analogy, in the other SOPs which currently have factors relating to using a combined oral contraceptive pill.</w:t>
      </w:r>
    </w:p>
    <w:p w14:paraId="1C07CBF6" w14:textId="24C38E0F" w:rsidR="00013739" w:rsidRDefault="00013739" w:rsidP="00013739">
      <w:pPr>
        <w:pStyle w:val="NumberLevel1"/>
        <w:numPr>
          <w:ilvl w:val="0"/>
          <w:numId w:val="4"/>
        </w:numPr>
      </w:pPr>
      <w:r>
        <w:t xml:space="preserve">The Authority decided to defer its decision in relation to the request for review of the 12 conditions listed above until it had considered the current SMSE in relation to malignant neoplasm of the breast. </w:t>
      </w:r>
      <w:r w:rsidR="00E4010C">
        <w:t>At its meeting on 7 April 2021, the Authority decided not to proceed with focussed reviews of these conditions. The reasons for this decision are set out in a separate Statement of Reasons.</w:t>
      </w:r>
    </w:p>
    <w:p w14:paraId="0262A1AC" w14:textId="26E34CBD" w:rsidR="00234B85" w:rsidRPr="00D45F1B" w:rsidRDefault="00D96B81" w:rsidP="00D45F1B">
      <w:pPr>
        <w:pStyle w:val="NumberLevel1"/>
        <w:tabs>
          <w:tab w:val="clear" w:pos="360"/>
          <w:tab w:val="left" w:pos="720"/>
        </w:tabs>
        <w:ind w:left="426" w:hanging="426"/>
        <w:outlineLvl w:val="1"/>
        <w:rPr>
          <w:b/>
        </w:rPr>
      </w:pPr>
      <w:r w:rsidRPr="00D45F1B">
        <w:rPr>
          <w:b/>
        </w:rPr>
        <w:t>Ground</w:t>
      </w:r>
      <w:r w:rsidR="00234B85" w:rsidRPr="00D45F1B">
        <w:rPr>
          <w:b/>
        </w:rPr>
        <w:t xml:space="preserve"> upon which review </w:t>
      </w:r>
      <w:r w:rsidR="00DC433C" w:rsidRPr="00D45F1B">
        <w:rPr>
          <w:b/>
        </w:rPr>
        <w:t>was</w:t>
      </w:r>
      <w:r w:rsidR="00234B85" w:rsidRPr="00D45F1B">
        <w:rPr>
          <w:b/>
        </w:rPr>
        <w:t xml:space="preserve"> sought</w:t>
      </w:r>
    </w:p>
    <w:p w14:paraId="00F7737A" w14:textId="6C49785B" w:rsidR="006D368B" w:rsidRDefault="00E61CAF" w:rsidP="00035F56">
      <w:pPr>
        <w:pStyle w:val="NumberLevel1"/>
        <w:keepLines/>
        <w:numPr>
          <w:ilvl w:val="0"/>
          <w:numId w:val="4"/>
        </w:numPr>
      </w:pPr>
      <w:r>
        <w:t xml:space="preserve">The </w:t>
      </w:r>
      <w:r w:rsidR="00234B85">
        <w:t>applicant</w:t>
      </w:r>
      <w:r w:rsidR="004D03A6">
        <w:t xml:space="preserve"> sought </w:t>
      </w:r>
      <w:r w:rsidR="00234B85">
        <w:t xml:space="preserve">a review of </w:t>
      </w:r>
      <w:r w:rsidR="00376BF8">
        <w:t>the</w:t>
      </w:r>
      <w:r w:rsidR="00234B85">
        <w:t xml:space="preserve"> SOPs </w:t>
      </w:r>
      <w:r w:rsidR="00376BF8">
        <w:t xml:space="preserve">concerning malignant neoplasm of the breast </w:t>
      </w:r>
      <w:r w:rsidR="004D03A6">
        <w:t xml:space="preserve">on the ground that </w:t>
      </w:r>
      <w:r w:rsidR="00035F56" w:rsidRPr="00035F56">
        <w:t>alternative forms of combined hormonal contraceptives (particularly the vaginal ring) have the same contraindications, complications, side effects and interactions as the c</w:t>
      </w:r>
      <w:r w:rsidR="00E4010C">
        <w:t>ombined oral contraceptive pill.</w:t>
      </w:r>
      <w:r w:rsidR="00D96B81">
        <w:t xml:space="preserve"> In support of this ground of review, the applicant provided references to the following material:</w:t>
      </w:r>
    </w:p>
    <w:p w14:paraId="48A570BE" w14:textId="77777777" w:rsidR="00D96B81" w:rsidRDefault="00D96B81" w:rsidP="00D96B81">
      <w:pPr>
        <w:pStyle w:val="NumberLevel1"/>
        <w:keepLines/>
        <w:numPr>
          <w:ilvl w:val="1"/>
          <w:numId w:val="4"/>
        </w:numPr>
      </w:pPr>
      <w:r w:rsidRPr="00FF00D6">
        <w:rPr>
          <w:lang w:val="fr-FR"/>
        </w:rPr>
        <w:t xml:space="preserve">Cogliano VJ, Baan R, Straif K, Grosse Y, et al (2011). </w:t>
      </w:r>
      <w:r>
        <w:t>Preventable exposures associated with human cancers. J Natl Cancer Inst, 103(24):1827-39.</w:t>
      </w:r>
    </w:p>
    <w:p w14:paraId="0DE3020B" w14:textId="41F6809C" w:rsidR="00D96B81" w:rsidRDefault="00D96B81" w:rsidP="00D96B81">
      <w:pPr>
        <w:pStyle w:val="NumberLevel1"/>
        <w:keepLines/>
        <w:numPr>
          <w:ilvl w:val="1"/>
          <w:numId w:val="4"/>
        </w:numPr>
      </w:pPr>
      <w:r>
        <w:t xml:space="preserve">International Agency for Research on Cancer (2012) Pharmaceuticals. Combined estrogen-progestogen contraceptives. Retrieved 30 November 2020, from </w:t>
      </w:r>
      <w:hyperlink r:id="rId12" w:history="1">
        <w:r w:rsidRPr="003C4625">
          <w:rPr>
            <w:rStyle w:val="Hyperlink"/>
          </w:rPr>
          <w:t>https://publications.iarc.fr/118</w:t>
        </w:r>
      </w:hyperlink>
      <w:r>
        <w:t>.</w:t>
      </w:r>
    </w:p>
    <w:p w14:paraId="58D20B61" w14:textId="77777777" w:rsidR="00D96B81" w:rsidRDefault="00D96B81" w:rsidP="00D96B81">
      <w:pPr>
        <w:pStyle w:val="NumberLevel1"/>
        <w:keepLines/>
        <w:numPr>
          <w:ilvl w:val="1"/>
          <w:numId w:val="4"/>
        </w:numPr>
      </w:pPr>
      <w:r>
        <w:t>Del Pup L, Codacci-Pisanelli G, Peccatori F (2019). Breast cancer risk of hormonal contraception: Counselling considering new evidence. Crit Rev Oncol Hematol, 137:123-130.</w:t>
      </w:r>
    </w:p>
    <w:p w14:paraId="0D0B6899" w14:textId="77777777" w:rsidR="00D96B81" w:rsidRDefault="00D96B81" w:rsidP="00D96B81">
      <w:pPr>
        <w:pStyle w:val="NumberLevel1"/>
        <w:keepLines/>
        <w:numPr>
          <w:ilvl w:val="1"/>
          <w:numId w:val="4"/>
        </w:numPr>
      </w:pPr>
      <w:r>
        <w:t>Zolfaroli I, Tarín JJ, Cano A (2018). The action of estrogens and progestogens in the young female breast. Eur J Obstet Gynecol Reprod Biol, 230:204-207.</w:t>
      </w:r>
    </w:p>
    <w:p w14:paraId="09B87FB1" w14:textId="77777777" w:rsidR="00D96B81" w:rsidRDefault="00D96B81" w:rsidP="00D96B81">
      <w:pPr>
        <w:pStyle w:val="NumberLevel1"/>
        <w:keepLines/>
        <w:numPr>
          <w:ilvl w:val="1"/>
          <w:numId w:val="4"/>
        </w:numPr>
      </w:pPr>
      <w:r>
        <w:t>Westhoff CL, Pike MC (2018). Hormonal contraception and breast cancer. Contraception, 98(3):171-173.</w:t>
      </w:r>
    </w:p>
    <w:p w14:paraId="06074F12" w14:textId="10DA5D90" w:rsidR="00D96B81" w:rsidRDefault="00D96B81" w:rsidP="00D96B81">
      <w:pPr>
        <w:pStyle w:val="NumberLevel1"/>
        <w:keepLines/>
        <w:numPr>
          <w:ilvl w:val="1"/>
          <w:numId w:val="4"/>
        </w:numPr>
      </w:pPr>
      <w:r>
        <w:t>Center</w:t>
      </w:r>
      <w:r w:rsidR="00667E5C">
        <w:t>s</w:t>
      </w:r>
      <w:r>
        <w:t xml:space="preserve"> for Disease Control (2020) Classifications for combined hormonal contraceptives. Retrieved 26 November 2011, from </w:t>
      </w:r>
      <w:hyperlink r:id="rId13" w:history="1">
        <w:r w:rsidRPr="003C4625">
          <w:rPr>
            <w:rStyle w:val="Hyperlink"/>
          </w:rPr>
          <w:t>https://www.cdc.gov/reproductivehealth/contraception/mmwr/mec/appendixd.html</w:t>
        </w:r>
      </w:hyperlink>
      <w:r>
        <w:t xml:space="preserve">. </w:t>
      </w:r>
    </w:p>
    <w:p w14:paraId="617107A1" w14:textId="77777777" w:rsidR="00D96B81" w:rsidRDefault="00D96B81" w:rsidP="00D96B81">
      <w:pPr>
        <w:pStyle w:val="NumberLevel1"/>
        <w:keepLines/>
        <w:numPr>
          <w:ilvl w:val="1"/>
          <w:numId w:val="4"/>
        </w:numPr>
      </w:pPr>
      <w:r>
        <w:t>Consumer Medicine Information for NuvaRing.</w:t>
      </w:r>
    </w:p>
    <w:p w14:paraId="483E9E21" w14:textId="77777777" w:rsidR="00D96B81" w:rsidRDefault="00D96B81" w:rsidP="00D96B81">
      <w:pPr>
        <w:pStyle w:val="NumberLevel1"/>
        <w:keepLines/>
        <w:numPr>
          <w:ilvl w:val="1"/>
          <w:numId w:val="4"/>
        </w:numPr>
      </w:pPr>
      <w:r>
        <w:t>Australian Product Information for Nuvaring</w:t>
      </w:r>
    </w:p>
    <w:p w14:paraId="25452E62" w14:textId="77777777" w:rsidR="00D96B81" w:rsidRDefault="00D96B81" w:rsidP="00D96B81">
      <w:pPr>
        <w:pStyle w:val="NumberLevel1"/>
        <w:keepLines/>
        <w:numPr>
          <w:ilvl w:val="1"/>
          <w:numId w:val="4"/>
        </w:numPr>
      </w:pPr>
      <w:r>
        <w:t>The Royal Australian and New Zealand College of Obstetricians and Gynaecologists (RANZCOG) (2019). Combined Hormonal Contraceptives.</w:t>
      </w:r>
    </w:p>
    <w:p w14:paraId="6A1129A2" w14:textId="77777777" w:rsidR="00D96B81" w:rsidRDefault="00D96B81" w:rsidP="00D96B81">
      <w:pPr>
        <w:pStyle w:val="NumberLevel1"/>
        <w:keepLines/>
        <w:numPr>
          <w:ilvl w:val="1"/>
          <w:numId w:val="4"/>
        </w:numPr>
      </w:pPr>
      <w:r>
        <w:t>Kang M, Skinner R, Foran T (2007). Sex, contraception and health. Aust Fam Physician, 36(8):594-600.</w:t>
      </w:r>
    </w:p>
    <w:p w14:paraId="2F77295C" w14:textId="77777777" w:rsidR="00D96B81" w:rsidRDefault="00D96B81" w:rsidP="00D96B81">
      <w:pPr>
        <w:pStyle w:val="NumberLevel1"/>
        <w:keepLines/>
        <w:numPr>
          <w:ilvl w:val="1"/>
          <w:numId w:val="4"/>
        </w:numPr>
      </w:pPr>
      <w:r>
        <w:t>McNamee K, Harvey C, Bateson D (2013). A practical guide to contraception. Part 1: Contraceptive pills and vaginal rings. MedicineToday, 14(7): 18-32.</w:t>
      </w:r>
    </w:p>
    <w:p w14:paraId="12EAD116" w14:textId="097A6B6B" w:rsidR="00D96B81" w:rsidRDefault="00D96B81" w:rsidP="00D96B81">
      <w:pPr>
        <w:pStyle w:val="NumberLevel1"/>
        <w:keepLines/>
        <w:numPr>
          <w:ilvl w:val="1"/>
          <w:numId w:val="4"/>
        </w:numPr>
      </w:pPr>
      <w:r>
        <w:t>Family Planning Victoria (FPV) (2020). List of Combined Hormonal Contraceptives available in Australia.</w:t>
      </w:r>
    </w:p>
    <w:p w14:paraId="6583E3FA" w14:textId="255A76C8" w:rsidR="00E4010C" w:rsidRDefault="00E4010C" w:rsidP="00035F56">
      <w:pPr>
        <w:pStyle w:val="NumberLevel1"/>
        <w:keepLines/>
        <w:numPr>
          <w:ilvl w:val="0"/>
          <w:numId w:val="4"/>
        </w:numPr>
      </w:pPr>
      <w:r>
        <w:lastRenderedPageBreak/>
        <w:t xml:space="preserve">As indicated above, the Authority </w:t>
      </w:r>
      <w:r w:rsidR="008F7BD7">
        <w:t xml:space="preserve">concluded </w:t>
      </w:r>
      <w:r>
        <w:t>that this</w:t>
      </w:r>
      <w:r w:rsidR="00D96B81">
        <w:t xml:space="preserve"> ground</w:t>
      </w:r>
      <w:r w:rsidR="008F7BD7">
        <w:t xml:space="preserve"> when</w:t>
      </w:r>
      <w:r w:rsidR="00D96B81">
        <w:t xml:space="preserve"> considered in light of the supporting material,</w:t>
      </w:r>
      <w:r>
        <w:t xml:space="preserve"> provided a basis for it to </w:t>
      </w:r>
      <w:r w:rsidR="00376BF8">
        <w:t xml:space="preserve">carry out </w:t>
      </w:r>
      <w:r>
        <w:t>a</w:t>
      </w:r>
      <w:r w:rsidR="008F7BD7">
        <w:t>n investigation</w:t>
      </w:r>
      <w:r>
        <w:t xml:space="preserve"> </w:t>
      </w:r>
      <w:r w:rsidR="00D96B81">
        <w:t>into 'taking combined hormonal contraceptives' as a factor in malignant neoplasm of the breast.</w:t>
      </w:r>
    </w:p>
    <w:p w14:paraId="7325E237" w14:textId="7F304353" w:rsidR="00614DF1" w:rsidRDefault="008128F5" w:rsidP="00614DF1">
      <w:pPr>
        <w:pStyle w:val="PartHeading"/>
      </w:pPr>
      <w:bookmarkStart w:id="5" w:name="_Toc69996403"/>
      <w:r>
        <w:t>Evidence</w:t>
      </w:r>
      <w:r w:rsidR="00614DF1">
        <w:t xml:space="preserve"> Previously Considered by the Authority</w:t>
      </w:r>
      <w:bookmarkEnd w:id="5"/>
    </w:p>
    <w:p w14:paraId="0F643BA3" w14:textId="2C643C80" w:rsidR="00614DF1" w:rsidRPr="00C52668" w:rsidRDefault="00614DF1" w:rsidP="00614DF1">
      <w:pPr>
        <w:pStyle w:val="NumberLevel1"/>
        <w:numPr>
          <w:ilvl w:val="0"/>
          <w:numId w:val="4"/>
        </w:numPr>
        <w:outlineLvl w:val="9"/>
      </w:pPr>
      <w:r w:rsidRPr="00C52668">
        <w:t xml:space="preserve">At the time that the </w:t>
      </w:r>
      <w:r>
        <w:t>SOP</w:t>
      </w:r>
      <w:r w:rsidR="00BF4CF9">
        <w:t>s</w:t>
      </w:r>
      <w:r w:rsidRPr="00F97A62">
        <w:t xml:space="preserve"> concerning </w:t>
      </w:r>
      <w:r w:rsidR="00D96B81">
        <w:t>malignant neoplasm of the breast</w:t>
      </w:r>
      <w:r w:rsidR="00ED2302">
        <w:t xml:space="preserve"> (Instrument Nos. </w:t>
      </w:r>
      <w:r w:rsidR="00D96B81">
        <w:t>96 and 97 of 2014</w:t>
      </w:r>
      <w:r w:rsidR="00ED2302">
        <w:t>)</w:t>
      </w:r>
      <w:r>
        <w:t xml:space="preserve"> </w:t>
      </w:r>
      <w:r w:rsidR="00BF4CF9">
        <w:t>were</w:t>
      </w:r>
      <w:r>
        <w:t xml:space="preserve"> </w:t>
      </w:r>
      <w:r w:rsidRPr="00C52668">
        <w:t>determined, the Authority had before it information including:</w:t>
      </w:r>
    </w:p>
    <w:p w14:paraId="1350A62C" w14:textId="4AB11033" w:rsidR="00614DF1" w:rsidRPr="00C52668" w:rsidRDefault="00614DF1" w:rsidP="00614DF1">
      <w:pPr>
        <w:pStyle w:val="ListParagraph"/>
        <w:numPr>
          <w:ilvl w:val="0"/>
          <w:numId w:val="11"/>
        </w:numPr>
        <w:spacing w:before="120"/>
        <w:ind w:left="993" w:hanging="426"/>
        <w:rPr>
          <w:rFonts w:ascii="Arial" w:hAnsi="Arial" w:cs="Arial"/>
          <w:sz w:val="22"/>
          <w:szCs w:val="22"/>
        </w:rPr>
      </w:pPr>
      <w:r w:rsidRPr="00C52668">
        <w:rPr>
          <w:rFonts w:ascii="Arial" w:hAnsi="Arial" w:cs="Arial"/>
          <w:sz w:val="22"/>
          <w:szCs w:val="22"/>
        </w:rPr>
        <w:t xml:space="preserve">briefing papers prepared in </w:t>
      </w:r>
      <w:r w:rsidR="00D96B81">
        <w:rPr>
          <w:rFonts w:ascii="Arial" w:hAnsi="Arial" w:cs="Arial"/>
          <w:sz w:val="22"/>
          <w:szCs w:val="22"/>
        </w:rPr>
        <w:t>October 2014</w:t>
      </w:r>
      <w:r w:rsidRPr="00C52668">
        <w:rPr>
          <w:rFonts w:ascii="Arial" w:hAnsi="Arial" w:cs="Arial"/>
          <w:sz w:val="22"/>
          <w:szCs w:val="22"/>
        </w:rPr>
        <w:t xml:space="preserve"> by a Repatriation Medical Authority medical researcher; and</w:t>
      </w:r>
      <w:r>
        <w:rPr>
          <w:rFonts w:ascii="Arial" w:hAnsi="Arial" w:cs="Arial"/>
          <w:sz w:val="22"/>
          <w:szCs w:val="22"/>
        </w:rPr>
        <w:t xml:space="preserve"> </w:t>
      </w:r>
    </w:p>
    <w:p w14:paraId="1803A42D" w14:textId="77777777" w:rsidR="00614DF1" w:rsidRPr="00C52668" w:rsidRDefault="00614DF1" w:rsidP="00614DF1">
      <w:pPr>
        <w:pStyle w:val="NumberLevel1"/>
        <w:numPr>
          <w:ilvl w:val="0"/>
          <w:numId w:val="11"/>
        </w:numPr>
        <w:spacing w:before="0"/>
        <w:ind w:left="993" w:hanging="426"/>
        <w:outlineLvl w:val="9"/>
      </w:pPr>
      <w:r w:rsidRPr="00C52668">
        <w:t>an extensive number of articles published in the peer-reviewed literature.</w:t>
      </w:r>
    </w:p>
    <w:p w14:paraId="5EBE230B" w14:textId="77777777" w:rsidR="00614DF1" w:rsidRDefault="00614DF1" w:rsidP="00614DF1">
      <w:pPr>
        <w:pStyle w:val="PartHeading"/>
      </w:pPr>
      <w:bookmarkStart w:id="6" w:name="_Toc69996404"/>
      <w:r>
        <w:t>New Information Considered by the Authority</w:t>
      </w:r>
      <w:bookmarkEnd w:id="6"/>
    </w:p>
    <w:p w14:paraId="7A0637E6" w14:textId="1B2F7D14" w:rsidR="00614DF1" w:rsidRDefault="00614DF1" w:rsidP="00097496">
      <w:pPr>
        <w:pStyle w:val="NumberLevel1"/>
        <w:numPr>
          <w:ilvl w:val="0"/>
          <w:numId w:val="4"/>
        </w:numPr>
        <w:outlineLvl w:val="9"/>
        <w:rPr>
          <w:szCs w:val="24"/>
        </w:rPr>
      </w:pPr>
      <w:r w:rsidRPr="001E082D">
        <w:rPr>
          <w:szCs w:val="24"/>
        </w:rPr>
        <w:t>The information provided by the applicant, identified above, was considered.</w:t>
      </w:r>
      <w:r w:rsidR="00097496">
        <w:rPr>
          <w:szCs w:val="24"/>
        </w:rPr>
        <w:t xml:space="preserve"> </w:t>
      </w:r>
      <w:r w:rsidRPr="00097496">
        <w:rPr>
          <w:szCs w:val="24"/>
        </w:rPr>
        <w:t xml:space="preserve">A discussion paper that considered the information supplied by the applicant and other available relevant sound medical-scientific evidence </w:t>
      </w:r>
      <w:r w:rsidR="00AC7CDD" w:rsidRPr="00097496">
        <w:rPr>
          <w:szCs w:val="24"/>
        </w:rPr>
        <w:t xml:space="preserve">(SMSE) </w:t>
      </w:r>
      <w:r w:rsidRPr="00097496">
        <w:rPr>
          <w:szCs w:val="24"/>
        </w:rPr>
        <w:t>was prepared by a medical researcher</w:t>
      </w:r>
      <w:r w:rsidR="00D96B81">
        <w:rPr>
          <w:szCs w:val="24"/>
        </w:rPr>
        <w:t xml:space="preserve"> for the Authority's meeting held on 16 February 2021.</w:t>
      </w:r>
    </w:p>
    <w:p w14:paraId="36555742" w14:textId="7D6CE1F0" w:rsidR="00D96B81" w:rsidRPr="00097496" w:rsidRDefault="00D96B81" w:rsidP="00097496">
      <w:pPr>
        <w:pStyle w:val="NumberLevel1"/>
        <w:numPr>
          <w:ilvl w:val="0"/>
          <w:numId w:val="4"/>
        </w:numPr>
        <w:outlineLvl w:val="9"/>
        <w:rPr>
          <w:szCs w:val="24"/>
        </w:rPr>
      </w:pPr>
      <w:r>
        <w:rPr>
          <w:szCs w:val="24"/>
        </w:rPr>
        <w:t xml:space="preserve">A briefing paper </w:t>
      </w:r>
      <w:r w:rsidR="008E26CC">
        <w:rPr>
          <w:szCs w:val="24"/>
        </w:rPr>
        <w:t xml:space="preserve">providing a more detailed analysis of the current SMSE </w:t>
      </w:r>
      <w:r>
        <w:rPr>
          <w:szCs w:val="24"/>
        </w:rPr>
        <w:t xml:space="preserve">was prepared by a medical researcher for the Authority's </w:t>
      </w:r>
      <w:r w:rsidR="008E26CC">
        <w:rPr>
          <w:szCs w:val="24"/>
        </w:rPr>
        <w:t xml:space="preserve">meeting held on 7 April 2021, as part of the focussed review into 'taking combined hormonal contraceptives' as a factor in malignant neoplasm of the breast. </w:t>
      </w:r>
    </w:p>
    <w:p w14:paraId="5B9B5FCC" w14:textId="7275CCE7" w:rsidR="00614DF1" w:rsidRDefault="00614DF1" w:rsidP="00614DF1">
      <w:pPr>
        <w:pStyle w:val="PartHeading"/>
      </w:pPr>
      <w:bookmarkStart w:id="7" w:name="_Toc69996405"/>
      <w:r>
        <w:t xml:space="preserve">Summary of New and Existing </w:t>
      </w:r>
      <w:r w:rsidR="008128F5">
        <w:t>Evidence</w:t>
      </w:r>
      <w:bookmarkEnd w:id="7"/>
    </w:p>
    <w:p w14:paraId="06DFB983" w14:textId="1C8D4B39" w:rsidR="00667E5C" w:rsidRPr="00FF00D6" w:rsidRDefault="00667E5C" w:rsidP="00757EA5">
      <w:pPr>
        <w:pStyle w:val="NumberLevel1"/>
        <w:keepLines/>
        <w:numPr>
          <w:ilvl w:val="0"/>
          <w:numId w:val="4"/>
        </w:numPr>
        <w:outlineLvl w:val="9"/>
        <w:rPr>
          <w:color w:val="000000"/>
          <w:sz w:val="24"/>
          <w:szCs w:val="24"/>
          <w:shd w:val="clear" w:color="auto" w:fill="FFFFFF"/>
        </w:rPr>
      </w:pPr>
      <w:r>
        <w:t>While there is some biological plausibility in favour of causation based on the similarity of the hormones in oral and non-oral forms of hormonal contraception, it is possible that the lower doses of these hormones delivered by the vaginal ring (MIMS 202</w:t>
      </w:r>
      <w:r w:rsidR="00E95106">
        <w:t>1</w:t>
      </w:r>
      <w:r>
        <w:t xml:space="preserve">, </w:t>
      </w:r>
      <w:r w:rsidRPr="002B265E">
        <w:t>Van den Heuvel et al 2005</w:t>
      </w:r>
      <w:r>
        <w:t xml:space="preserve">) </w:t>
      </w:r>
      <w:r w:rsidR="00E95106">
        <w:t xml:space="preserve">compared with oral contraceptives </w:t>
      </w:r>
      <w:r>
        <w:t xml:space="preserve">may </w:t>
      </w:r>
      <w:r w:rsidR="00E95106">
        <w:t>have a lower</w:t>
      </w:r>
      <w:r>
        <w:t xml:space="preserve"> risk of adverse outcomes. </w:t>
      </w:r>
    </w:p>
    <w:p w14:paraId="0D26A4B3" w14:textId="11F11C2B" w:rsidR="00376BF8" w:rsidRDefault="00376BF8" w:rsidP="00376BF8">
      <w:pPr>
        <w:pStyle w:val="NumberLevel1"/>
        <w:keepLines/>
        <w:numPr>
          <w:ilvl w:val="0"/>
          <w:numId w:val="4"/>
        </w:numPr>
      </w:pPr>
      <w:r>
        <w:t>In evaluating exposure to hormones from using contraceptives, parameters that need to be considered include peak values, mean values and timing and duration of exposure. Relevantly,</w:t>
      </w:r>
    </w:p>
    <w:p w14:paraId="1E892DD6" w14:textId="562082B6" w:rsidR="00376BF8" w:rsidRPr="00376BF8" w:rsidRDefault="00376BF8" w:rsidP="00376BF8">
      <w:pPr>
        <w:pStyle w:val="ListParagraph"/>
        <w:numPr>
          <w:ilvl w:val="0"/>
          <w:numId w:val="11"/>
        </w:numPr>
        <w:spacing w:before="120"/>
        <w:ind w:left="993" w:hanging="426"/>
        <w:rPr>
          <w:rFonts w:ascii="Arial" w:hAnsi="Arial" w:cs="Arial"/>
          <w:sz w:val="22"/>
          <w:szCs w:val="22"/>
        </w:rPr>
      </w:pPr>
      <w:r w:rsidRPr="00376BF8">
        <w:rPr>
          <w:rFonts w:ascii="Arial" w:hAnsi="Arial" w:cs="Arial"/>
          <w:sz w:val="22"/>
          <w:szCs w:val="22"/>
        </w:rPr>
        <w:t xml:space="preserve">The maximum serum values for the vaginal ring components (etonogestrel and ethinylestradiol) are approximately 40% and 30% respectively of comparator combined oral contraceptive (30 microgram ethinylestradiol/150 microgram desogestrel). </w:t>
      </w:r>
    </w:p>
    <w:p w14:paraId="0FB0372C" w14:textId="00C35E67" w:rsidR="00376BF8" w:rsidRPr="00376BF8" w:rsidRDefault="00376BF8" w:rsidP="00376BF8">
      <w:pPr>
        <w:pStyle w:val="ListParagraph"/>
        <w:numPr>
          <w:ilvl w:val="0"/>
          <w:numId w:val="11"/>
        </w:numPr>
        <w:spacing w:before="120"/>
        <w:ind w:left="993" w:hanging="426"/>
        <w:rPr>
          <w:rFonts w:ascii="Arial" w:hAnsi="Arial" w:cs="Arial"/>
          <w:sz w:val="22"/>
          <w:szCs w:val="22"/>
        </w:rPr>
      </w:pPr>
      <w:r w:rsidRPr="00376BF8">
        <w:rPr>
          <w:rFonts w:ascii="Arial" w:hAnsi="Arial" w:cs="Arial"/>
          <w:sz w:val="22"/>
          <w:szCs w:val="22"/>
        </w:rPr>
        <w:t>The mean etonogestrel serum levels are in the same order of magnitude as those obtained for the combined oral contraceptive, whereas the mean ethinylestradiol serum levels are approximately 50%.</w:t>
      </w:r>
    </w:p>
    <w:p w14:paraId="764150F2" w14:textId="007A8646" w:rsidR="00376BF8" w:rsidRPr="00376BF8" w:rsidRDefault="00376BF8" w:rsidP="00376BF8">
      <w:pPr>
        <w:pStyle w:val="ListParagraph"/>
        <w:numPr>
          <w:ilvl w:val="0"/>
          <w:numId w:val="11"/>
        </w:numPr>
        <w:spacing w:before="120"/>
        <w:ind w:left="993" w:hanging="426"/>
        <w:rPr>
          <w:rFonts w:ascii="Arial" w:hAnsi="Arial" w:cs="Arial"/>
          <w:sz w:val="22"/>
          <w:szCs w:val="22"/>
        </w:rPr>
      </w:pPr>
      <w:r w:rsidRPr="00376BF8">
        <w:rPr>
          <w:rFonts w:ascii="Arial" w:hAnsi="Arial" w:cs="Arial"/>
          <w:sz w:val="22"/>
          <w:szCs w:val="22"/>
        </w:rPr>
        <w:t>As the vaginal ring is used continuously for three weeks, the exposure to maximum doses from the vaginal ring occurs only once per cycle (about 3 to 7 days after insertion), whereas the oral form contraceptive causes a peak value with each daily dose. Vaginal administration avoids daily peak concentrations (MIMS 2021).</w:t>
      </w:r>
    </w:p>
    <w:p w14:paraId="59FCED6A" w14:textId="42CB5C6F" w:rsidR="00E95106" w:rsidRPr="00FF00D6" w:rsidRDefault="00376BF8" w:rsidP="00376BF8">
      <w:pPr>
        <w:pStyle w:val="NumberLevel1"/>
        <w:keepLines/>
        <w:tabs>
          <w:tab w:val="clear" w:pos="360"/>
        </w:tabs>
        <w:ind w:left="567" w:firstLine="0"/>
        <w:outlineLvl w:val="9"/>
      </w:pPr>
      <w:r>
        <w:t>This suggests a reasonable basis for the view that the risks from exposure to hormones from using contraceptives are likely to be lower with the use of the vaginal ring method.</w:t>
      </w:r>
    </w:p>
    <w:p w14:paraId="67370E85" w14:textId="77777777" w:rsidR="00E95106" w:rsidRPr="00FF00D6" w:rsidRDefault="00667E5C" w:rsidP="00757EA5">
      <w:pPr>
        <w:pStyle w:val="NumberLevel1"/>
        <w:keepLines/>
        <w:numPr>
          <w:ilvl w:val="0"/>
          <w:numId w:val="4"/>
        </w:numPr>
        <w:outlineLvl w:val="9"/>
        <w:rPr>
          <w:color w:val="000000"/>
          <w:sz w:val="24"/>
          <w:szCs w:val="24"/>
          <w:shd w:val="clear" w:color="auto" w:fill="FFFFFF"/>
        </w:rPr>
      </w:pPr>
      <w:r>
        <w:lastRenderedPageBreak/>
        <w:t xml:space="preserve">There is in any case some uncertainty whether the small and transient increased risk of breast cancer observed with combined oral contraceptives is truly causal. This small excess risk may be real or may, at least in part, be explained by </w:t>
      </w:r>
      <w:r>
        <w:rPr>
          <w:lang w:val="en"/>
        </w:rPr>
        <w:t>an</w:t>
      </w:r>
      <w:r w:rsidRPr="00FA0FB4">
        <w:rPr>
          <w:lang w:val="en"/>
        </w:rPr>
        <w:t xml:space="preserve"> advance in the timing of diagnosis</w:t>
      </w:r>
      <w:r>
        <w:rPr>
          <w:lang w:val="en"/>
        </w:rPr>
        <w:t xml:space="preserve"> in pill users, since diagnosed cancers are less advanced (</w:t>
      </w:r>
      <w:r>
        <w:t>Westoff and Pike 2018)</w:t>
      </w:r>
      <w:r>
        <w:rPr>
          <w:lang w:val="en"/>
        </w:rPr>
        <w:t>.</w:t>
      </w:r>
      <w:r>
        <w:t xml:space="preserve"> </w:t>
      </w:r>
    </w:p>
    <w:p w14:paraId="11B52DF8" w14:textId="1305F93B" w:rsidR="00667E5C" w:rsidRPr="00FF00D6" w:rsidRDefault="00E95106" w:rsidP="00757EA5">
      <w:pPr>
        <w:pStyle w:val="NumberLevel1"/>
        <w:keepLines/>
        <w:numPr>
          <w:ilvl w:val="0"/>
          <w:numId w:val="4"/>
        </w:numPr>
        <w:outlineLvl w:val="9"/>
        <w:rPr>
          <w:color w:val="000000"/>
          <w:sz w:val="24"/>
          <w:szCs w:val="24"/>
          <w:shd w:val="clear" w:color="auto" w:fill="FFFFFF"/>
        </w:rPr>
      </w:pPr>
      <w:r>
        <w:t xml:space="preserve">The one available epidemiological study showed no increase in risk of breast cancer in users of the vaginal ring or transdermal patches (Morch et al 2017). </w:t>
      </w:r>
      <w:r w:rsidR="00667E5C">
        <w:t>Further epidemiological studies of risks associated with non-oral forms of combined hormonal contraception are needed to assess whether or not there is a reasonable hypothesis of a causal association with breast cancer.</w:t>
      </w:r>
    </w:p>
    <w:p w14:paraId="73C7FA98" w14:textId="77777777" w:rsidR="00614DF1" w:rsidRDefault="00614DF1" w:rsidP="00614DF1">
      <w:pPr>
        <w:pStyle w:val="PartHeading"/>
        <w:tabs>
          <w:tab w:val="num" w:pos="567"/>
        </w:tabs>
        <w:ind w:left="567" w:hanging="567"/>
      </w:pPr>
      <w:bookmarkStart w:id="8" w:name="_Toc69996406"/>
      <w:r>
        <w:t>Findings of Fact</w:t>
      </w:r>
      <w:bookmarkEnd w:id="8"/>
    </w:p>
    <w:p w14:paraId="59E59A05" w14:textId="7FE21377" w:rsidR="00614DF1" w:rsidRPr="00B45FAB" w:rsidRDefault="00614DF1" w:rsidP="007E32C9">
      <w:pPr>
        <w:pStyle w:val="NumberLevel1"/>
        <w:keepNext/>
        <w:numPr>
          <w:ilvl w:val="0"/>
          <w:numId w:val="4"/>
        </w:numPr>
        <w:tabs>
          <w:tab w:val="left" w:pos="567"/>
        </w:tabs>
        <w:outlineLvl w:val="9"/>
        <w:rPr>
          <w:szCs w:val="24"/>
        </w:rPr>
      </w:pPr>
      <w:r w:rsidRPr="00091898">
        <w:rPr>
          <w:szCs w:val="24"/>
        </w:rPr>
        <w:t>In light of the material discussed above, the Autho</w:t>
      </w:r>
      <w:r w:rsidR="00097496">
        <w:rPr>
          <w:szCs w:val="24"/>
        </w:rPr>
        <w:t>rity made the following finding</w:t>
      </w:r>
      <w:r w:rsidRPr="00091898">
        <w:rPr>
          <w:szCs w:val="24"/>
        </w:rPr>
        <w:t xml:space="preserve"> of fact:</w:t>
      </w:r>
    </w:p>
    <w:p w14:paraId="585294F2" w14:textId="5742D117" w:rsidR="00614DF1" w:rsidRPr="00520938" w:rsidRDefault="006D6BFE" w:rsidP="00B01CCA">
      <w:pPr>
        <w:pStyle w:val="NumberLevel1"/>
        <w:numPr>
          <w:ilvl w:val="1"/>
          <w:numId w:val="15"/>
        </w:numPr>
        <w:tabs>
          <w:tab w:val="clear" w:pos="927"/>
          <w:tab w:val="num" w:pos="1134"/>
        </w:tabs>
        <w:ind w:left="1134" w:hanging="567"/>
        <w:outlineLvl w:val="9"/>
        <w:rPr>
          <w:szCs w:val="24"/>
        </w:rPr>
      </w:pPr>
      <w:r>
        <w:rPr>
          <w:szCs w:val="24"/>
        </w:rPr>
        <w:t>T</w:t>
      </w:r>
      <w:r w:rsidR="00AC7CDD">
        <w:rPr>
          <w:szCs w:val="24"/>
        </w:rPr>
        <w:t xml:space="preserve">he </w:t>
      </w:r>
      <w:r w:rsidR="00B01CCA">
        <w:rPr>
          <w:szCs w:val="24"/>
        </w:rPr>
        <w:t xml:space="preserve">body of available SMSE </w:t>
      </w:r>
      <w:r w:rsidR="00097496">
        <w:rPr>
          <w:szCs w:val="24"/>
        </w:rPr>
        <w:t xml:space="preserve">does not support the existence of a causal association between </w:t>
      </w:r>
      <w:r w:rsidR="008E26CC">
        <w:rPr>
          <w:szCs w:val="24"/>
        </w:rPr>
        <w:t>taking non-oral combined hormonal contraceptives</w:t>
      </w:r>
      <w:r w:rsidR="00097496">
        <w:rPr>
          <w:szCs w:val="24"/>
        </w:rPr>
        <w:t xml:space="preserve"> and the clinical onset </w:t>
      </w:r>
      <w:r w:rsidR="00A4147F">
        <w:rPr>
          <w:szCs w:val="24"/>
        </w:rPr>
        <w:t xml:space="preserve">or clinical worsening </w:t>
      </w:r>
      <w:r w:rsidR="00097496">
        <w:rPr>
          <w:szCs w:val="24"/>
        </w:rPr>
        <w:t xml:space="preserve">of </w:t>
      </w:r>
      <w:r w:rsidR="008E26CC">
        <w:rPr>
          <w:szCs w:val="24"/>
        </w:rPr>
        <w:t>malignant neoplasm of the breast</w:t>
      </w:r>
      <w:r w:rsidR="00097496">
        <w:rPr>
          <w:szCs w:val="24"/>
        </w:rPr>
        <w:t>.</w:t>
      </w:r>
      <w:r>
        <w:rPr>
          <w:szCs w:val="24"/>
        </w:rPr>
        <w:t xml:space="preserve"> </w:t>
      </w:r>
      <w:r w:rsidRPr="00D7525A">
        <w:rPr>
          <w:szCs w:val="24"/>
        </w:rPr>
        <w:t xml:space="preserve">Consequently, the Authority is not satisfied that there is at least a reasonable hypothesis that </w:t>
      </w:r>
      <w:r w:rsidR="008E26CC">
        <w:rPr>
          <w:szCs w:val="24"/>
        </w:rPr>
        <w:t>taking a non-oral combined hormonal contraceptive</w:t>
      </w:r>
      <w:r w:rsidRPr="00D7525A">
        <w:rPr>
          <w:szCs w:val="24"/>
        </w:rPr>
        <w:t xml:space="preserve"> is a factor which caus</w:t>
      </w:r>
      <w:r>
        <w:rPr>
          <w:szCs w:val="24"/>
        </w:rPr>
        <w:t xml:space="preserve">es, or contributes to, the clinical onset </w:t>
      </w:r>
      <w:r w:rsidR="00A4147F">
        <w:rPr>
          <w:szCs w:val="24"/>
        </w:rPr>
        <w:t xml:space="preserve">or clinical worsening </w:t>
      </w:r>
      <w:r>
        <w:rPr>
          <w:szCs w:val="24"/>
        </w:rPr>
        <w:t xml:space="preserve">of </w:t>
      </w:r>
      <w:r w:rsidR="008E26CC">
        <w:rPr>
          <w:szCs w:val="24"/>
        </w:rPr>
        <w:t>malignant neoplasm of the breast</w:t>
      </w:r>
      <w:r>
        <w:rPr>
          <w:szCs w:val="24"/>
        </w:rPr>
        <w:t>.</w:t>
      </w:r>
    </w:p>
    <w:p w14:paraId="21540F1A" w14:textId="77777777" w:rsidR="00614DF1" w:rsidRDefault="00614DF1" w:rsidP="00614DF1">
      <w:pPr>
        <w:pStyle w:val="PartHeading"/>
      </w:pPr>
      <w:bookmarkStart w:id="9" w:name="_Toc69996407"/>
      <w:r>
        <w:t>Reasons for the Decision</w:t>
      </w:r>
      <w:bookmarkEnd w:id="9"/>
    </w:p>
    <w:p w14:paraId="30D41C7B" w14:textId="66B3BBEE" w:rsidR="00614DF1" w:rsidRPr="007D6C12" w:rsidRDefault="00614DF1" w:rsidP="00614DF1">
      <w:pPr>
        <w:pStyle w:val="NumberLevel1"/>
        <w:numPr>
          <w:ilvl w:val="0"/>
          <w:numId w:val="4"/>
        </w:numPr>
        <w:outlineLvl w:val="9"/>
        <w:rPr>
          <w:szCs w:val="24"/>
        </w:rPr>
      </w:pPr>
      <w:r w:rsidRPr="00091898">
        <w:rPr>
          <w:szCs w:val="24"/>
        </w:rPr>
        <w:t xml:space="preserve">The Authority was cognisant of the provisions of the VEA, and had particular regard to subsection 5AB(2) </w:t>
      </w:r>
      <w:r w:rsidR="000B28B4">
        <w:rPr>
          <w:szCs w:val="24"/>
        </w:rPr>
        <w:t>SMSE</w:t>
      </w:r>
      <w:r w:rsidRPr="00091898">
        <w:rPr>
          <w:szCs w:val="24"/>
        </w:rPr>
        <w:t>, s 5D injury/disease, and Part XI</w:t>
      </w:r>
      <w:r>
        <w:rPr>
          <w:szCs w:val="24"/>
        </w:rPr>
        <w:t>A</w:t>
      </w:r>
      <w:r w:rsidRPr="00091898">
        <w:rPr>
          <w:szCs w:val="24"/>
        </w:rPr>
        <w:t>.</w:t>
      </w:r>
    </w:p>
    <w:p w14:paraId="545571D3" w14:textId="5CADC5A0" w:rsidR="00614DF1" w:rsidRPr="00C52668" w:rsidRDefault="000B28B4" w:rsidP="00614DF1">
      <w:pPr>
        <w:pStyle w:val="BodyText"/>
        <w:spacing w:after="120"/>
        <w:ind w:left="567"/>
        <w:rPr>
          <w:rFonts w:ascii="Arial" w:hAnsi="Arial" w:cs="Arial"/>
          <w:sz w:val="22"/>
          <w:szCs w:val="22"/>
        </w:rPr>
      </w:pPr>
      <w:r>
        <w:rPr>
          <w:rFonts w:ascii="Arial" w:hAnsi="Arial" w:cs="Arial"/>
          <w:sz w:val="22"/>
          <w:szCs w:val="22"/>
        </w:rPr>
        <w:t>SMSE</w:t>
      </w:r>
      <w:r w:rsidR="00614DF1" w:rsidRPr="00C52668">
        <w:rPr>
          <w:rFonts w:ascii="Arial" w:hAnsi="Arial" w:cs="Arial"/>
          <w:sz w:val="22"/>
          <w:szCs w:val="22"/>
        </w:rPr>
        <w:t xml:space="preserve"> is defined as follows:</w:t>
      </w:r>
    </w:p>
    <w:p w14:paraId="6CFC8F01" w14:textId="77777777" w:rsidR="00614DF1" w:rsidRPr="00C52668" w:rsidRDefault="00614DF1" w:rsidP="00614DF1">
      <w:pPr>
        <w:pStyle w:val="ListParagraph"/>
        <w:spacing w:after="120" w:line="280" w:lineRule="atLeast"/>
        <w:ind w:left="567" w:right="567"/>
        <w:contextualSpacing w:val="0"/>
        <w:rPr>
          <w:rFonts w:ascii="Arial" w:hAnsi="Arial" w:cs="Arial"/>
          <w:i/>
          <w:sz w:val="22"/>
          <w:szCs w:val="22"/>
        </w:rPr>
      </w:pPr>
      <w:r w:rsidRPr="00C52668">
        <w:rPr>
          <w:rFonts w:ascii="Arial" w:hAnsi="Arial" w:cs="Arial"/>
          <w:i/>
          <w:sz w:val="22"/>
          <w:szCs w:val="22"/>
        </w:rPr>
        <w:t>"Information about a particular kind of injury, disease or death is taken to be</w:t>
      </w:r>
      <w:r w:rsidRPr="00C52668">
        <w:rPr>
          <w:rFonts w:ascii="Arial" w:hAnsi="Arial" w:cs="Arial"/>
          <w:b/>
          <w:i/>
          <w:sz w:val="22"/>
          <w:szCs w:val="22"/>
        </w:rPr>
        <w:t xml:space="preserve"> sound</w:t>
      </w:r>
      <w:r w:rsidRPr="00C52668">
        <w:rPr>
          <w:rFonts w:ascii="Arial" w:hAnsi="Arial" w:cs="Arial"/>
          <w:i/>
          <w:sz w:val="22"/>
          <w:szCs w:val="22"/>
        </w:rPr>
        <w:t xml:space="preserve"> </w:t>
      </w:r>
      <w:r w:rsidRPr="00C52668">
        <w:rPr>
          <w:rFonts w:ascii="Arial" w:hAnsi="Arial" w:cs="Arial"/>
          <w:b/>
          <w:i/>
          <w:sz w:val="22"/>
          <w:szCs w:val="22"/>
        </w:rPr>
        <w:t>medical-scientific evidence</w:t>
      </w:r>
      <w:r w:rsidRPr="00C52668">
        <w:rPr>
          <w:rFonts w:ascii="Arial" w:hAnsi="Arial" w:cs="Arial"/>
          <w:i/>
          <w:sz w:val="22"/>
          <w:szCs w:val="22"/>
        </w:rPr>
        <w:t xml:space="preserve"> if:</w:t>
      </w:r>
    </w:p>
    <w:p w14:paraId="30071406" w14:textId="77777777" w:rsidR="00614DF1" w:rsidRPr="00C52668" w:rsidRDefault="00614DF1" w:rsidP="00614DF1">
      <w:pPr>
        <w:pStyle w:val="ListParagraph"/>
        <w:spacing w:before="120" w:after="120"/>
        <w:ind w:left="1134" w:right="567" w:hanging="567"/>
        <w:contextualSpacing w:val="0"/>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t>the information:</w:t>
      </w:r>
    </w:p>
    <w:p w14:paraId="1A97EAFF" w14:textId="77777777" w:rsidR="00614DF1" w:rsidRPr="00C52668" w:rsidRDefault="00614DF1" w:rsidP="00614DF1">
      <w:pPr>
        <w:pStyle w:val="ListParagraph"/>
        <w:spacing w:line="260" w:lineRule="atLeast"/>
        <w:ind w:left="1701" w:right="567" w:hanging="567"/>
        <w:rPr>
          <w:rFonts w:ascii="Arial" w:hAnsi="Arial" w:cs="Arial"/>
          <w:i/>
          <w:sz w:val="22"/>
          <w:szCs w:val="22"/>
        </w:rPr>
      </w:pPr>
      <w:r w:rsidRPr="00C52668">
        <w:rPr>
          <w:rFonts w:ascii="Arial" w:hAnsi="Arial" w:cs="Arial"/>
          <w:i/>
          <w:sz w:val="22"/>
          <w:szCs w:val="22"/>
        </w:rPr>
        <w:t>(i)</w:t>
      </w:r>
      <w:r w:rsidRPr="00C52668">
        <w:rPr>
          <w:rFonts w:ascii="Arial" w:hAnsi="Arial" w:cs="Arial"/>
          <w:i/>
          <w:sz w:val="22"/>
          <w:szCs w:val="22"/>
        </w:rPr>
        <w:tab/>
        <w:t xml:space="preserve">is consistent with material relating to medical science that has been published in a medical or scientific publication and has been, in the opinion of the Repatriation Medical Authority, subjected to a peer review process; or </w:t>
      </w:r>
    </w:p>
    <w:p w14:paraId="511EF0AF" w14:textId="77777777" w:rsidR="00614DF1" w:rsidRPr="00C52668" w:rsidRDefault="00614DF1" w:rsidP="00614DF1">
      <w:pPr>
        <w:pStyle w:val="ListParagraph"/>
        <w:spacing w:line="260" w:lineRule="atLeast"/>
        <w:ind w:left="1701" w:right="567" w:hanging="567"/>
        <w:rPr>
          <w:rFonts w:ascii="Arial" w:hAnsi="Arial" w:cs="Arial"/>
          <w:i/>
          <w:sz w:val="22"/>
          <w:szCs w:val="22"/>
        </w:rPr>
      </w:pPr>
      <w:r w:rsidRPr="00C52668">
        <w:rPr>
          <w:rFonts w:ascii="Arial" w:hAnsi="Arial" w:cs="Arial"/>
          <w:i/>
          <w:sz w:val="22"/>
          <w:szCs w:val="22"/>
        </w:rPr>
        <w:t>(ii)</w:t>
      </w:r>
      <w:r w:rsidRPr="00C52668">
        <w:rPr>
          <w:rFonts w:ascii="Arial" w:hAnsi="Arial" w:cs="Arial"/>
          <w:i/>
          <w:sz w:val="22"/>
          <w:szCs w:val="22"/>
        </w:rPr>
        <w:tab/>
        <w:t>in accordance with generally accepted medical practice, would serve as the basis for the diagnosis and management of a medical condition; and</w:t>
      </w:r>
    </w:p>
    <w:p w14:paraId="2B043E52" w14:textId="77777777" w:rsidR="00614DF1" w:rsidRPr="00C52668" w:rsidRDefault="00614DF1" w:rsidP="00614DF1">
      <w:pPr>
        <w:pStyle w:val="NumberLevel1"/>
        <w:keepNext/>
        <w:keepLines/>
        <w:tabs>
          <w:tab w:val="clear" w:pos="360"/>
        </w:tabs>
        <w:spacing w:line="260" w:lineRule="atLeast"/>
        <w:ind w:left="1134" w:hanging="567"/>
        <w:outlineLvl w:val="9"/>
        <w:rPr>
          <w:i/>
        </w:rPr>
      </w:pPr>
      <w:r w:rsidRPr="00C52668">
        <w:rPr>
          <w:i/>
        </w:rPr>
        <w:t>(b)</w:t>
      </w:r>
      <w:r w:rsidRPr="00C52668">
        <w:rPr>
          <w:i/>
        </w:rPr>
        <w:tab/>
        <w:t>in the case of information about how that kind of injury, disease or death may be caused - meets the applicable criteria for assessing causation currently applied in the field of epidemiology."</w:t>
      </w:r>
    </w:p>
    <w:p w14:paraId="5CD793F9" w14:textId="2295FB4D" w:rsidR="00614DF1" w:rsidRPr="007D6C12" w:rsidRDefault="00614DF1" w:rsidP="00614DF1">
      <w:pPr>
        <w:pStyle w:val="NumberLevel1"/>
        <w:numPr>
          <w:ilvl w:val="0"/>
          <w:numId w:val="4"/>
        </w:numPr>
        <w:outlineLvl w:val="9"/>
        <w:rPr>
          <w:szCs w:val="24"/>
        </w:rPr>
      </w:pPr>
      <w:r w:rsidRPr="00091898">
        <w:rPr>
          <w:szCs w:val="24"/>
        </w:rPr>
        <w:t>The Authority noted s</w:t>
      </w:r>
      <w:r w:rsidR="00F71036">
        <w:rPr>
          <w:szCs w:val="24"/>
        </w:rPr>
        <w:t>ub-sections 196B(7)</w:t>
      </w:r>
      <w:r w:rsidR="00FF00D6">
        <w:rPr>
          <w:szCs w:val="24"/>
        </w:rPr>
        <w:t>, 196B(8)</w:t>
      </w:r>
      <w:r w:rsidR="00F71036">
        <w:rPr>
          <w:szCs w:val="24"/>
        </w:rPr>
        <w:t xml:space="preserve"> and 196B(9) and </w:t>
      </w:r>
      <w:r w:rsidRPr="00091898">
        <w:rPr>
          <w:szCs w:val="24"/>
        </w:rPr>
        <w:t>s</w:t>
      </w:r>
      <w:r w:rsidR="00F71036">
        <w:rPr>
          <w:szCs w:val="24"/>
        </w:rPr>
        <w:t>ection</w:t>
      </w:r>
      <w:r w:rsidR="00FF00D6">
        <w:rPr>
          <w:szCs w:val="24"/>
        </w:rPr>
        <w:t xml:space="preserve"> </w:t>
      </w:r>
      <w:r w:rsidRPr="00091898">
        <w:rPr>
          <w:szCs w:val="24"/>
        </w:rPr>
        <w:t>196E, which relevantly provide:</w:t>
      </w:r>
    </w:p>
    <w:p w14:paraId="55549C89" w14:textId="77777777" w:rsidR="00614DF1" w:rsidRPr="00C52668" w:rsidRDefault="00614DF1" w:rsidP="00614DF1">
      <w:pPr>
        <w:rPr>
          <w:rFonts w:ascii="Arial" w:hAnsi="Arial" w:cs="Arial"/>
          <w:b/>
          <w:i/>
          <w:sz w:val="22"/>
          <w:szCs w:val="22"/>
        </w:rPr>
      </w:pPr>
      <w:r w:rsidRPr="00C52668">
        <w:rPr>
          <w:rFonts w:ascii="Arial" w:hAnsi="Arial" w:cs="Arial"/>
          <w:sz w:val="22"/>
          <w:szCs w:val="22"/>
        </w:rPr>
        <w:t>196B(7)</w:t>
      </w:r>
    </w:p>
    <w:p w14:paraId="2A060EE2" w14:textId="77777777" w:rsidR="00614DF1" w:rsidRPr="00C52668" w:rsidRDefault="00614DF1" w:rsidP="00614DF1">
      <w:pPr>
        <w:keepNext/>
        <w:spacing w:before="120" w:after="60" w:line="260" w:lineRule="atLeast"/>
        <w:ind w:left="567"/>
        <w:rPr>
          <w:rFonts w:ascii="Arial" w:hAnsi="Arial" w:cs="Arial"/>
          <w:i/>
          <w:sz w:val="22"/>
          <w:szCs w:val="22"/>
        </w:rPr>
      </w:pPr>
      <w:r w:rsidRPr="00C52668">
        <w:rPr>
          <w:rFonts w:ascii="Arial" w:hAnsi="Arial" w:cs="Arial"/>
          <w:i/>
          <w:sz w:val="22"/>
          <w:szCs w:val="22"/>
        </w:rPr>
        <w:t>If the Authority:</w:t>
      </w:r>
    </w:p>
    <w:p w14:paraId="4575C925" w14:textId="77777777" w:rsidR="00614DF1" w:rsidRPr="00C52668" w:rsidRDefault="00614DF1" w:rsidP="00614DF1">
      <w:pPr>
        <w:tabs>
          <w:tab w:val="left" w:pos="1134"/>
        </w:tabs>
        <w:spacing w:line="260" w:lineRule="atLeast"/>
        <w:ind w:left="567"/>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t>is asked under section 196E to review:</w:t>
      </w:r>
    </w:p>
    <w:p w14:paraId="52B27080" w14:textId="77777777" w:rsidR="00614DF1"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(i)</w:t>
      </w:r>
      <w:r w:rsidRPr="00C52668">
        <w:rPr>
          <w:rFonts w:ascii="Arial" w:hAnsi="Arial" w:cs="Arial"/>
          <w:i/>
          <w:sz w:val="22"/>
          <w:szCs w:val="22"/>
        </w:rPr>
        <w:tab/>
        <w:t>some or all of the contents of a Statement of Principles;</w:t>
      </w:r>
    </w:p>
    <w:p w14:paraId="2292B319" w14:textId="77777777" w:rsidR="00614DF1" w:rsidRDefault="00614DF1" w:rsidP="00614DF1">
      <w:pPr>
        <w:spacing w:line="260" w:lineRule="atLeast"/>
        <w:ind w:firstLine="567"/>
        <w:rPr>
          <w:rFonts w:ascii="Arial" w:hAnsi="Arial" w:cs="Arial"/>
          <w:i/>
          <w:sz w:val="22"/>
          <w:szCs w:val="22"/>
        </w:rPr>
      </w:pPr>
      <w:r>
        <w:rPr>
          <w:rFonts w:ascii="Arial" w:hAnsi="Arial" w:cs="Arial"/>
          <w:i/>
          <w:sz w:val="22"/>
          <w:szCs w:val="22"/>
        </w:rPr>
        <w:t>[…]</w:t>
      </w:r>
    </w:p>
    <w:p w14:paraId="70ED7C54" w14:textId="77777777" w:rsidR="00614DF1" w:rsidRPr="00C52668" w:rsidRDefault="00614DF1" w:rsidP="00614DF1">
      <w:pPr>
        <w:tabs>
          <w:tab w:val="left" w:pos="1134"/>
        </w:tabs>
        <w:spacing w:line="260" w:lineRule="atLeast"/>
        <w:ind w:left="567"/>
        <w:rPr>
          <w:rFonts w:ascii="Arial" w:hAnsi="Arial" w:cs="Arial"/>
          <w:i/>
          <w:sz w:val="22"/>
          <w:szCs w:val="22"/>
        </w:rPr>
      </w:pPr>
      <w:r>
        <w:rPr>
          <w:rFonts w:ascii="Arial" w:hAnsi="Arial" w:cs="Arial"/>
          <w:i/>
          <w:sz w:val="22"/>
          <w:szCs w:val="22"/>
        </w:rPr>
        <w:t>(b)</w:t>
      </w:r>
      <w:r>
        <w:rPr>
          <w:rFonts w:ascii="Arial" w:hAnsi="Arial" w:cs="Arial"/>
          <w:i/>
          <w:sz w:val="22"/>
          <w:szCs w:val="22"/>
        </w:rPr>
        <w:tab/>
      </w:r>
      <w:r w:rsidRPr="00666203">
        <w:rPr>
          <w:rFonts w:ascii="Arial" w:hAnsi="Arial" w:cs="Arial"/>
          <w:i/>
          <w:sz w:val="22"/>
          <w:szCs w:val="22"/>
        </w:rPr>
        <w:t>thinks that there are grounds for such a review</w:t>
      </w:r>
      <w:r>
        <w:rPr>
          <w:rFonts w:ascii="Arial" w:hAnsi="Arial" w:cs="Arial"/>
          <w:i/>
          <w:sz w:val="22"/>
          <w:szCs w:val="22"/>
        </w:rPr>
        <w:t>;[…]</w:t>
      </w:r>
    </w:p>
    <w:p w14:paraId="61C78FD6" w14:textId="77777777" w:rsidR="00614DF1" w:rsidRPr="00C52668" w:rsidRDefault="00614DF1" w:rsidP="00614DF1">
      <w:pPr>
        <w:tabs>
          <w:tab w:val="left" w:pos="567"/>
        </w:tabs>
        <w:spacing w:line="260" w:lineRule="atLeast"/>
        <w:ind w:left="567"/>
        <w:rPr>
          <w:rFonts w:ascii="Arial" w:hAnsi="Arial" w:cs="Arial"/>
          <w:i/>
          <w:sz w:val="22"/>
          <w:szCs w:val="22"/>
        </w:rPr>
      </w:pPr>
      <w:r w:rsidRPr="00C52668">
        <w:rPr>
          <w:rFonts w:ascii="Arial" w:hAnsi="Arial" w:cs="Arial"/>
          <w:i/>
          <w:sz w:val="22"/>
          <w:szCs w:val="22"/>
        </w:rPr>
        <w:lastRenderedPageBreak/>
        <w:t>the Authority must, subject to subsection 196C(4) and section 196CA in a case where paragraph (a) applies, carry out an investigation to find out if there is new information available about:</w:t>
      </w:r>
    </w:p>
    <w:p w14:paraId="3FE5DF2E" w14:textId="77777777" w:rsidR="00614DF1" w:rsidRPr="00C52668" w:rsidRDefault="00614DF1" w:rsidP="00614DF1">
      <w:pPr>
        <w:spacing w:line="260" w:lineRule="atLeast"/>
        <w:ind w:left="1134" w:hanging="567"/>
        <w:rPr>
          <w:rFonts w:ascii="Arial" w:hAnsi="Arial" w:cs="Arial"/>
          <w:i/>
          <w:sz w:val="22"/>
          <w:szCs w:val="22"/>
        </w:rPr>
      </w:pPr>
      <w:r w:rsidRPr="00C52668">
        <w:rPr>
          <w:rFonts w:ascii="Arial" w:hAnsi="Arial" w:cs="Arial"/>
          <w:i/>
          <w:sz w:val="22"/>
          <w:szCs w:val="22"/>
        </w:rPr>
        <w:t>(d)</w:t>
      </w:r>
      <w:r w:rsidRPr="00C52668">
        <w:rPr>
          <w:rFonts w:ascii="Arial" w:hAnsi="Arial" w:cs="Arial"/>
          <w:i/>
          <w:sz w:val="22"/>
          <w:szCs w:val="22"/>
        </w:rPr>
        <w:tab/>
        <w:t>how the injury may be suffered, the disease may be contracted or the death may occur; or</w:t>
      </w:r>
    </w:p>
    <w:p w14:paraId="70AFCAC3" w14:textId="77777777" w:rsidR="00614DF1" w:rsidRPr="00C52668" w:rsidRDefault="00614DF1" w:rsidP="00614DF1">
      <w:pPr>
        <w:spacing w:after="120" w:line="260" w:lineRule="atLeast"/>
        <w:ind w:left="1134" w:hanging="567"/>
        <w:rPr>
          <w:rFonts w:ascii="Arial" w:hAnsi="Arial" w:cs="Arial"/>
          <w:i/>
          <w:sz w:val="22"/>
          <w:szCs w:val="22"/>
        </w:rPr>
      </w:pPr>
      <w:r w:rsidRPr="00C52668">
        <w:rPr>
          <w:rFonts w:ascii="Arial" w:hAnsi="Arial" w:cs="Arial"/>
          <w:i/>
          <w:sz w:val="22"/>
          <w:szCs w:val="22"/>
        </w:rPr>
        <w:t>(e)</w:t>
      </w:r>
      <w:r w:rsidRPr="00C52668">
        <w:rPr>
          <w:rFonts w:ascii="Arial" w:hAnsi="Arial" w:cs="Arial"/>
          <w:i/>
          <w:sz w:val="22"/>
          <w:szCs w:val="22"/>
        </w:rPr>
        <w:tab/>
        <w:t>the extent to which the disease, injury or death may be war-caused or defence-caused.</w:t>
      </w:r>
    </w:p>
    <w:p w14:paraId="2FF83BB6" w14:textId="5AC19703" w:rsidR="00FF00D6" w:rsidRDefault="00FF00D6" w:rsidP="00FF00D6">
      <w:pPr>
        <w:keepNext/>
        <w:keepLines/>
        <w:rPr>
          <w:rFonts w:ascii="Arial" w:hAnsi="Arial" w:cs="Arial"/>
          <w:sz w:val="22"/>
          <w:szCs w:val="22"/>
        </w:rPr>
      </w:pPr>
      <w:r>
        <w:rPr>
          <w:rFonts w:ascii="Arial" w:hAnsi="Arial" w:cs="Arial"/>
          <w:sz w:val="22"/>
          <w:szCs w:val="22"/>
        </w:rPr>
        <w:t>196B(8)</w:t>
      </w:r>
    </w:p>
    <w:p w14:paraId="4FCB3ACF" w14:textId="04FBDF0E" w:rsidR="00FF00D6" w:rsidRDefault="00FF00D6" w:rsidP="00FF00D6">
      <w:pPr>
        <w:keepNext/>
        <w:keepLines/>
        <w:rPr>
          <w:rFonts w:ascii="Arial" w:hAnsi="Arial" w:cs="Arial"/>
          <w:sz w:val="22"/>
          <w:szCs w:val="22"/>
        </w:rPr>
      </w:pPr>
    </w:p>
    <w:p w14:paraId="4DA8C8E4" w14:textId="688C8A6A" w:rsidR="00FF00D6" w:rsidRDefault="00FF00D6" w:rsidP="00FF00D6">
      <w:pPr>
        <w:keepNext/>
        <w:keepLines/>
        <w:ind w:left="567"/>
        <w:rPr>
          <w:rFonts w:ascii="Arial" w:hAnsi="Arial" w:cs="Arial"/>
          <w:i/>
          <w:sz w:val="22"/>
          <w:szCs w:val="22"/>
        </w:rPr>
      </w:pPr>
      <w:r w:rsidRPr="00FF00D6">
        <w:rPr>
          <w:rFonts w:ascii="Arial" w:hAnsi="Arial" w:cs="Arial"/>
          <w:i/>
          <w:sz w:val="22"/>
          <w:szCs w:val="22"/>
        </w:rPr>
        <w:t>If, after carrying out the investigation, the Authority is of the view that there is a new body of sound medical</w:t>
      </w:r>
      <w:r w:rsidRPr="00FF00D6">
        <w:rPr>
          <w:rFonts w:ascii="Cambria Math" w:hAnsi="Cambria Math" w:cs="Cambria Math"/>
          <w:i/>
          <w:sz w:val="22"/>
          <w:szCs w:val="22"/>
        </w:rPr>
        <w:t>‑</w:t>
      </w:r>
      <w:r w:rsidRPr="00FF00D6">
        <w:rPr>
          <w:rFonts w:ascii="Arial" w:hAnsi="Arial" w:cs="Arial"/>
          <w:i/>
          <w:sz w:val="22"/>
          <w:szCs w:val="22"/>
        </w:rPr>
        <w:t>scientific evidence availabl</w:t>
      </w:r>
      <w:r>
        <w:rPr>
          <w:rFonts w:ascii="Arial" w:hAnsi="Arial" w:cs="Arial"/>
          <w:i/>
          <w:sz w:val="22"/>
          <w:szCs w:val="22"/>
        </w:rPr>
        <w:t xml:space="preserve">e that, together with the sound </w:t>
      </w:r>
      <w:r w:rsidRPr="00FF00D6">
        <w:rPr>
          <w:rFonts w:ascii="Arial" w:hAnsi="Arial" w:cs="Arial"/>
          <w:i/>
          <w:sz w:val="22"/>
          <w:szCs w:val="22"/>
        </w:rPr>
        <w:t>medical</w:t>
      </w:r>
      <w:r w:rsidRPr="00FF00D6">
        <w:rPr>
          <w:rFonts w:ascii="Cambria Math" w:hAnsi="Cambria Math" w:cs="Cambria Math"/>
          <w:i/>
          <w:sz w:val="22"/>
          <w:szCs w:val="22"/>
        </w:rPr>
        <w:t>‑</w:t>
      </w:r>
      <w:r w:rsidRPr="00FF00D6">
        <w:rPr>
          <w:rFonts w:ascii="Arial" w:hAnsi="Arial" w:cs="Arial"/>
          <w:i/>
          <w:sz w:val="22"/>
          <w:szCs w:val="22"/>
        </w:rPr>
        <w:t>scientific evidence previously considered by the Authority, justifies the making of a Statement of Principles, or an amendment of the Statement of Principles already determined, in respect of that kind of injury, disease or death, the Authority must:</w:t>
      </w:r>
    </w:p>
    <w:p w14:paraId="4184A189" w14:textId="4C3ADDAE" w:rsidR="00FF00D6" w:rsidRDefault="00FF00D6" w:rsidP="00FF00D6">
      <w:pPr>
        <w:spacing w:line="260" w:lineRule="atLeast"/>
        <w:ind w:left="1701" w:hanging="567"/>
        <w:rPr>
          <w:rFonts w:ascii="Arial" w:hAnsi="Arial" w:cs="Arial"/>
          <w:i/>
          <w:sz w:val="22"/>
          <w:szCs w:val="22"/>
        </w:rPr>
      </w:pPr>
      <w:r>
        <w:rPr>
          <w:rFonts w:ascii="Arial" w:hAnsi="Arial" w:cs="Arial"/>
          <w:i/>
          <w:sz w:val="22"/>
          <w:szCs w:val="22"/>
        </w:rPr>
        <w:t>(a) […]; or</w:t>
      </w:r>
    </w:p>
    <w:p w14:paraId="214ECA76" w14:textId="7CD98AEE" w:rsidR="00FF00D6" w:rsidRDefault="00FF00D6" w:rsidP="00FF00D6">
      <w:pPr>
        <w:spacing w:line="260" w:lineRule="atLeast"/>
        <w:ind w:left="1418" w:hanging="284"/>
        <w:rPr>
          <w:rFonts w:ascii="Arial" w:hAnsi="Arial" w:cs="Arial"/>
          <w:i/>
          <w:sz w:val="22"/>
          <w:szCs w:val="22"/>
        </w:rPr>
      </w:pPr>
      <w:r>
        <w:rPr>
          <w:rFonts w:ascii="Arial" w:hAnsi="Arial" w:cs="Arial"/>
          <w:i/>
          <w:sz w:val="22"/>
          <w:szCs w:val="22"/>
        </w:rPr>
        <w:t xml:space="preserve">(b) </w:t>
      </w:r>
      <w:r w:rsidRPr="00FF00D6">
        <w:rPr>
          <w:rFonts w:ascii="Arial" w:hAnsi="Arial" w:cs="Arial"/>
          <w:i/>
          <w:sz w:val="22"/>
          <w:szCs w:val="22"/>
        </w:rPr>
        <w:t>make a determination amending the Statement of Principles determined under subsection (2) or (3) in respect of that kind of injury, disease or death; or</w:t>
      </w:r>
    </w:p>
    <w:p w14:paraId="40B3CE29" w14:textId="33A851E9" w:rsidR="00FF00D6" w:rsidRDefault="00FF00D6" w:rsidP="00FF00D6">
      <w:pPr>
        <w:spacing w:line="260" w:lineRule="atLeast"/>
        <w:ind w:left="1418" w:hanging="284"/>
        <w:rPr>
          <w:rFonts w:ascii="Arial" w:hAnsi="Arial" w:cs="Arial"/>
          <w:i/>
          <w:sz w:val="22"/>
          <w:szCs w:val="22"/>
        </w:rPr>
      </w:pPr>
      <w:r>
        <w:rPr>
          <w:rFonts w:ascii="Arial" w:hAnsi="Arial" w:cs="Arial"/>
          <w:i/>
          <w:sz w:val="22"/>
          <w:szCs w:val="22"/>
        </w:rPr>
        <w:t>(c) […];</w:t>
      </w:r>
    </w:p>
    <w:p w14:paraId="063FA701" w14:textId="6C97E3BF" w:rsidR="00FF00D6" w:rsidRPr="00FF00D6" w:rsidRDefault="00FF00D6" w:rsidP="00FF00D6">
      <w:pPr>
        <w:keepNext/>
        <w:keepLines/>
        <w:spacing w:line="260" w:lineRule="atLeast"/>
        <w:ind w:left="851" w:hanging="284"/>
        <w:rPr>
          <w:rFonts w:ascii="Arial" w:hAnsi="Arial" w:cs="Arial"/>
          <w:i/>
          <w:sz w:val="22"/>
          <w:szCs w:val="22"/>
        </w:rPr>
      </w:pPr>
      <w:r>
        <w:rPr>
          <w:rFonts w:ascii="Arial" w:hAnsi="Arial" w:cs="Arial"/>
          <w:i/>
          <w:sz w:val="22"/>
          <w:szCs w:val="22"/>
        </w:rPr>
        <w:t>as the case requires.</w:t>
      </w:r>
    </w:p>
    <w:p w14:paraId="3CB53903" w14:textId="77777777" w:rsidR="00FF00D6" w:rsidRDefault="00FF00D6" w:rsidP="00FF00D6">
      <w:pPr>
        <w:keepNext/>
        <w:keepLines/>
        <w:rPr>
          <w:rFonts w:ascii="Arial" w:hAnsi="Arial" w:cs="Arial"/>
          <w:sz w:val="22"/>
          <w:szCs w:val="22"/>
        </w:rPr>
      </w:pPr>
    </w:p>
    <w:p w14:paraId="23029FFD" w14:textId="72CCA58E" w:rsidR="00614DF1" w:rsidRPr="00C52668" w:rsidRDefault="00614DF1" w:rsidP="00614DF1">
      <w:pPr>
        <w:rPr>
          <w:rFonts w:ascii="Arial" w:hAnsi="Arial" w:cs="Arial"/>
          <w:b/>
          <w:i/>
          <w:sz w:val="22"/>
          <w:szCs w:val="22"/>
        </w:rPr>
      </w:pPr>
      <w:r w:rsidRPr="00C52668">
        <w:rPr>
          <w:rFonts w:ascii="Arial" w:hAnsi="Arial" w:cs="Arial"/>
          <w:sz w:val="22"/>
          <w:szCs w:val="22"/>
        </w:rPr>
        <w:t>196</w:t>
      </w:r>
      <w:r w:rsidR="008E26CC">
        <w:rPr>
          <w:rFonts w:ascii="Arial" w:hAnsi="Arial" w:cs="Arial"/>
          <w:sz w:val="22"/>
          <w:szCs w:val="22"/>
        </w:rPr>
        <w:t>B(9)</w:t>
      </w:r>
      <w:r w:rsidRPr="00C52668">
        <w:rPr>
          <w:rFonts w:ascii="Arial" w:hAnsi="Arial" w:cs="Arial"/>
          <w:sz w:val="22"/>
          <w:szCs w:val="22"/>
        </w:rPr>
        <w:tab/>
      </w:r>
    </w:p>
    <w:p w14:paraId="36C07E35" w14:textId="2E0ED6EE" w:rsidR="00614DF1" w:rsidRPr="00C52668" w:rsidRDefault="008E26CC" w:rsidP="00614DF1">
      <w:pPr>
        <w:spacing w:before="120" w:line="260" w:lineRule="atLeast"/>
        <w:ind w:left="1134" w:hanging="567"/>
        <w:rPr>
          <w:rFonts w:ascii="Arial" w:hAnsi="Arial" w:cs="Arial"/>
          <w:i/>
          <w:sz w:val="22"/>
          <w:szCs w:val="22"/>
        </w:rPr>
      </w:pPr>
      <w:r w:rsidRPr="008E26CC">
        <w:rPr>
          <w:rFonts w:ascii="Arial" w:hAnsi="Arial" w:cs="Arial"/>
          <w:i/>
          <w:sz w:val="22"/>
          <w:szCs w:val="22"/>
        </w:rPr>
        <w:t>If, after carrying out the investigation, the Authority is of the view</w:t>
      </w:r>
      <w:r w:rsidR="00614DF1" w:rsidRPr="00C52668">
        <w:rPr>
          <w:rFonts w:ascii="Arial" w:hAnsi="Arial" w:cs="Arial"/>
          <w:i/>
          <w:sz w:val="22"/>
          <w:szCs w:val="22"/>
        </w:rPr>
        <w:t>:</w:t>
      </w:r>
    </w:p>
    <w:p w14:paraId="11B6942B" w14:textId="64920FC9"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r>
      <w:r w:rsidR="008E26CC" w:rsidRPr="008E26CC">
        <w:rPr>
          <w:rFonts w:ascii="Arial" w:hAnsi="Arial" w:cs="Arial"/>
          <w:i/>
          <w:sz w:val="22"/>
          <w:szCs w:val="22"/>
        </w:rPr>
        <w:t>that there is no new sound medical</w:t>
      </w:r>
      <w:r w:rsidR="008E26CC" w:rsidRPr="008E26CC">
        <w:rPr>
          <w:rFonts w:ascii="Cambria Math" w:hAnsi="Cambria Math" w:cs="Cambria Math"/>
          <w:i/>
          <w:sz w:val="22"/>
          <w:szCs w:val="22"/>
        </w:rPr>
        <w:t>‑</w:t>
      </w:r>
      <w:r w:rsidR="008E26CC" w:rsidRPr="008E26CC">
        <w:rPr>
          <w:rFonts w:ascii="Arial" w:hAnsi="Arial" w:cs="Arial"/>
          <w:i/>
          <w:sz w:val="22"/>
          <w:szCs w:val="22"/>
        </w:rPr>
        <w:t>scientific evidence about that kind of injury, disease or death; or</w:t>
      </w:r>
    </w:p>
    <w:p w14:paraId="245EF217" w14:textId="79C44D23" w:rsidR="00614DF1" w:rsidRPr="00C52668" w:rsidRDefault="00614DF1" w:rsidP="008E26CC">
      <w:pPr>
        <w:spacing w:line="260" w:lineRule="atLeast"/>
        <w:ind w:left="1701" w:hanging="567"/>
        <w:rPr>
          <w:rFonts w:ascii="Arial" w:hAnsi="Arial" w:cs="Arial"/>
          <w:i/>
          <w:sz w:val="22"/>
          <w:szCs w:val="22"/>
        </w:rPr>
      </w:pPr>
      <w:r w:rsidRPr="00C52668">
        <w:rPr>
          <w:rFonts w:ascii="Arial" w:hAnsi="Arial" w:cs="Arial"/>
          <w:i/>
          <w:sz w:val="22"/>
          <w:szCs w:val="22"/>
        </w:rPr>
        <w:t>(b)</w:t>
      </w:r>
      <w:r w:rsidRPr="00C52668">
        <w:rPr>
          <w:rFonts w:ascii="Arial" w:hAnsi="Arial" w:cs="Arial"/>
          <w:i/>
          <w:sz w:val="22"/>
          <w:szCs w:val="22"/>
        </w:rPr>
        <w:tab/>
      </w:r>
      <w:r w:rsidR="008E26CC" w:rsidRPr="008E26CC">
        <w:rPr>
          <w:rFonts w:ascii="Arial" w:hAnsi="Arial" w:cs="Arial"/>
          <w:i/>
          <w:sz w:val="22"/>
          <w:szCs w:val="22"/>
        </w:rPr>
        <w:t>that the new sound medical</w:t>
      </w:r>
      <w:r w:rsidR="008E26CC" w:rsidRPr="008E26CC">
        <w:rPr>
          <w:rFonts w:ascii="Cambria Math" w:hAnsi="Cambria Math" w:cs="Cambria Math"/>
          <w:i/>
          <w:sz w:val="22"/>
          <w:szCs w:val="22"/>
        </w:rPr>
        <w:t>‑</w:t>
      </w:r>
      <w:r w:rsidR="008E26CC" w:rsidRPr="008E26CC">
        <w:rPr>
          <w:rFonts w:ascii="Arial" w:hAnsi="Arial" w:cs="Arial"/>
          <w:i/>
          <w:sz w:val="22"/>
          <w:szCs w:val="22"/>
        </w:rPr>
        <w:t>scientific evidence available is not sufficient to justify the making of a Statement of Principles, or an amendment of the Statement of Principles already determined in respect of that kind of injury, disease or death;</w:t>
      </w:r>
    </w:p>
    <w:p w14:paraId="0E19A963" w14:textId="40195EBB" w:rsidR="00614DF1" w:rsidRPr="00C52668" w:rsidRDefault="008E26CC" w:rsidP="008E26CC">
      <w:pPr>
        <w:spacing w:line="260" w:lineRule="atLeast"/>
        <w:ind w:left="1134"/>
        <w:rPr>
          <w:rFonts w:ascii="Arial" w:hAnsi="Arial" w:cs="Arial"/>
          <w:i/>
          <w:sz w:val="22"/>
          <w:szCs w:val="22"/>
        </w:rPr>
      </w:pPr>
      <w:r>
        <w:rPr>
          <w:rFonts w:ascii="Arial" w:hAnsi="Arial" w:cs="Arial"/>
          <w:i/>
          <w:sz w:val="22"/>
          <w:szCs w:val="22"/>
        </w:rPr>
        <w:t xml:space="preserve">the </w:t>
      </w:r>
      <w:r w:rsidRPr="008E26CC">
        <w:rPr>
          <w:rFonts w:ascii="Arial" w:hAnsi="Arial" w:cs="Arial"/>
          <w:i/>
          <w:sz w:val="22"/>
          <w:szCs w:val="22"/>
        </w:rPr>
        <w:t>Authority must make a declaration in writing:</w:t>
      </w:r>
    </w:p>
    <w:p w14:paraId="0983E96D" w14:textId="3F8A24AE" w:rsidR="00614DF1" w:rsidRDefault="002A790A" w:rsidP="002A790A">
      <w:pPr>
        <w:spacing w:line="260" w:lineRule="atLeast"/>
        <w:ind w:left="1701" w:hanging="567"/>
        <w:rPr>
          <w:rFonts w:ascii="Arial" w:hAnsi="Arial" w:cs="Arial"/>
          <w:i/>
          <w:sz w:val="22"/>
          <w:szCs w:val="22"/>
        </w:rPr>
      </w:pPr>
      <w:r>
        <w:rPr>
          <w:rFonts w:ascii="Arial" w:hAnsi="Arial" w:cs="Arial"/>
          <w:i/>
          <w:sz w:val="22"/>
          <w:szCs w:val="22"/>
        </w:rPr>
        <w:t>(c)</w:t>
      </w:r>
      <w:r>
        <w:rPr>
          <w:rFonts w:ascii="Arial" w:hAnsi="Arial" w:cs="Arial"/>
          <w:i/>
          <w:sz w:val="22"/>
          <w:szCs w:val="22"/>
        </w:rPr>
        <w:tab/>
      </w:r>
      <w:r w:rsidRPr="002A790A">
        <w:rPr>
          <w:rFonts w:ascii="Arial" w:hAnsi="Arial" w:cs="Arial"/>
          <w:i/>
          <w:sz w:val="22"/>
          <w:szCs w:val="22"/>
        </w:rPr>
        <w:t>stating that it does not propose to make a Statement of Principles, or amend the Statement of Principles already determined (as the case may be); and</w:t>
      </w:r>
    </w:p>
    <w:p w14:paraId="31AE0C5E" w14:textId="4F949684" w:rsidR="002A790A" w:rsidRDefault="002A790A" w:rsidP="002A790A">
      <w:pPr>
        <w:spacing w:line="260" w:lineRule="atLeast"/>
        <w:ind w:left="1701" w:hanging="567"/>
        <w:rPr>
          <w:rFonts w:ascii="Arial" w:hAnsi="Arial" w:cs="Arial"/>
          <w:i/>
          <w:sz w:val="22"/>
          <w:szCs w:val="22"/>
        </w:rPr>
      </w:pPr>
      <w:r>
        <w:rPr>
          <w:rFonts w:ascii="Arial" w:hAnsi="Arial" w:cs="Arial"/>
          <w:i/>
          <w:sz w:val="22"/>
          <w:szCs w:val="22"/>
        </w:rPr>
        <w:t>(d)</w:t>
      </w:r>
      <w:r>
        <w:rPr>
          <w:rFonts w:ascii="Arial" w:hAnsi="Arial" w:cs="Arial"/>
          <w:i/>
          <w:sz w:val="22"/>
          <w:szCs w:val="22"/>
        </w:rPr>
        <w:tab/>
      </w:r>
      <w:r w:rsidRPr="002A790A">
        <w:rPr>
          <w:rFonts w:ascii="Arial" w:hAnsi="Arial" w:cs="Arial"/>
          <w:i/>
          <w:sz w:val="22"/>
          <w:szCs w:val="22"/>
        </w:rPr>
        <w:t>giving the reasons for its decision.</w:t>
      </w:r>
    </w:p>
    <w:p w14:paraId="125F1F6C" w14:textId="77777777" w:rsidR="002A790A" w:rsidRPr="00C52668" w:rsidRDefault="002A790A" w:rsidP="002A790A">
      <w:pPr>
        <w:spacing w:line="260" w:lineRule="atLeast"/>
        <w:ind w:left="1701" w:hanging="567"/>
        <w:rPr>
          <w:rFonts w:ascii="Arial" w:hAnsi="Arial" w:cs="Arial"/>
          <w:i/>
          <w:sz w:val="22"/>
          <w:szCs w:val="22"/>
        </w:rPr>
      </w:pPr>
    </w:p>
    <w:p w14:paraId="249E9F64" w14:textId="13413DAD" w:rsidR="00614DF1" w:rsidRPr="00C52668" w:rsidRDefault="00614DF1" w:rsidP="00614DF1">
      <w:pPr>
        <w:rPr>
          <w:rFonts w:ascii="Arial" w:hAnsi="Arial" w:cs="Arial"/>
          <w:b/>
          <w:i/>
          <w:sz w:val="22"/>
          <w:szCs w:val="22"/>
        </w:rPr>
      </w:pPr>
      <w:r w:rsidRPr="00C52668">
        <w:rPr>
          <w:rFonts w:ascii="Arial" w:hAnsi="Arial" w:cs="Arial"/>
          <w:sz w:val="22"/>
          <w:szCs w:val="22"/>
        </w:rPr>
        <w:t xml:space="preserve">196E </w:t>
      </w:r>
    </w:p>
    <w:p w14:paraId="745579EB" w14:textId="77777777" w:rsidR="00614DF1" w:rsidRPr="00C52668" w:rsidRDefault="00614DF1" w:rsidP="00614DF1">
      <w:pPr>
        <w:spacing w:before="120" w:line="260" w:lineRule="atLeast"/>
        <w:ind w:left="1134" w:hanging="567"/>
        <w:rPr>
          <w:rFonts w:ascii="Arial" w:hAnsi="Arial" w:cs="Arial"/>
          <w:i/>
          <w:sz w:val="22"/>
          <w:szCs w:val="22"/>
        </w:rPr>
      </w:pPr>
      <w:r w:rsidRPr="00C52668">
        <w:rPr>
          <w:rFonts w:ascii="Arial" w:hAnsi="Arial" w:cs="Arial"/>
          <w:i/>
          <w:sz w:val="22"/>
          <w:szCs w:val="22"/>
        </w:rPr>
        <w:t>(1)</w:t>
      </w:r>
      <w:r w:rsidRPr="00C52668">
        <w:rPr>
          <w:rFonts w:ascii="Arial" w:hAnsi="Arial" w:cs="Arial"/>
          <w:i/>
          <w:sz w:val="22"/>
          <w:szCs w:val="22"/>
        </w:rPr>
        <w:tab/>
        <w:t>Any of the following:</w:t>
      </w:r>
    </w:p>
    <w:p w14:paraId="0E332E3A"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(b)</w:t>
      </w:r>
      <w:r w:rsidRPr="00C52668">
        <w:rPr>
          <w:rFonts w:ascii="Arial" w:hAnsi="Arial" w:cs="Arial"/>
          <w:i/>
          <w:sz w:val="22"/>
          <w:szCs w:val="22"/>
        </w:rPr>
        <w:tab/>
        <w:t>a person eligible to make a claim for a pension under Part II or IV;</w:t>
      </w:r>
    </w:p>
    <w:p w14:paraId="5C81124D"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(ba)</w:t>
      </w:r>
      <w:r w:rsidRPr="00C52668">
        <w:rPr>
          <w:rFonts w:ascii="Arial" w:hAnsi="Arial" w:cs="Arial"/>
          <w:i/>
          <w:sz w:val="22"/>
          <w:szCs w:val="22"/>
        </w:rPr>
        <w:tab/>
        <w:t>a person eligible to make a claim for compensation under section 319 of the MRCA;</w:t>
      </w:r>
    </w:p>
    <w:p w14:paraId="5EA80CC1"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(c)</w:t>
      </w:r>
      <w:r w:rsidRPr="00C52668">
        <w:rPr>
          <w:rFonts w:ascii="Arial" w:hAnsi="Arial" w:cs="Arial"/>
          <w:i/>
          <w:sz w:val="22"/>
          <w:szCs w:val="22"/>
        </w:rPr>
        <w:tab/>
        <w:t>an organisation representing veterans ….</w:t>
      </w:r>
    </w:p>
    <w:p w14:paraId="6FFE40D2"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may ask the Repatriation Medical Authority:</w:t>
      </w:r>
    </w:p>
    <w:p w14:paraId="0809AA09" w14:textId="77777777" w:rsidR="00614DF1" w:rsidRDefault="00614DF1" w:rsidP="00614DF1">
      <w:pPr>
        <w:pStyle w:val="NumberLevel1"/>
        <w:keepNext/>
        <w:keepLines/>
        <w:tabs>
          <w:tab w:val="clear" w:pos="360"/>
        </w:tabs>
        <w:spacing w:before="0" w:line="260" w:lineRule="atLeast"/>
        <w:ind w:left="1701" w:hanging="567"/>
        <w:outlineLvl w:val="9"/>
      </w:pPr>
      <w:r w:rsidRPr="00C52668">
        <w:rPr>
          <w:i/>
        </w:rPr>
        <w:t>(f)</w:t>
      </w:r>
      <w:r w:rsidRPr="00C52668">
        <w:rPr>
          <w:i/>
        </w:rPr>
        <w:tab/>
        <w:t>to review the contents of a Statement of Principles in force under this Part.</w:t>
      </w:r>
    </w:p>
    <w:p w14:paraId="75CCC48D" w14:textId="77777777" w:rsidR="00614DF1" w:rsidRDefault="00614DF1" w:rsidP="00614DF1">
      <w:pPr>
        <w:pStyle w:val="NumberLevel1"/>
        <w:tabs>
          <w:tab w:val="clear" w:pos="360"/>
          <w:tab w:val="left" w:pos="720"/>
        </w:tabs>
        <w:ind w:left="426" w:hanging="426"/>
        <w:outlineLvl w:val="1"/>
        <w:rPr>
          <w:b/>
        </w:rPr>
      </w:pPr>
      <w:r>
        <w:rPr>
          <w:b/>
        </w:rPr>
        <w:t xml:space="preserve">Basis for commencing review of an existing SOP </w:t>
      </w:r>
    </w:p>
    <w:p w14:paraId="4B9D58A6" w14:textId="45B54D64" w:rsidR="00614DF1" w:rsidRDefault="00614DF1" w:rsidP="00B73269">
      <w:pPr>
        <w:pStyle w:val="NumberLevel1"/>
        <w:numPr>
          <w:ilvl w:val="0"/>
          <w:numId w:val="4"/>
        </w:numPr>
        <w:outlineLvl w:val="9"/>
        <w:rPr>
          <w:szCs w:val="24"/>
        </w:rPr>
      </w:pPr>
      <w:r w:rsidRPr="00091898">
        <w:rPr>
          <w:szCs w:val="24"/>
        </w:rPr>
        <w:t xml:space="preserve">It is </w:t>
      </w:r>
      <w:r w:rsidR="002A790A">
        <w:rPr>
          <w:szCs w:val="24"/>
        </w:rPr>
        <w:t>the applicant's</w:t>
      </w:r>
      <w:r w:rsidRPr="00091898">
        <w:rPr>
          <w:szCs w:val="24"/>
        </w:rPr>
        <w:t xml:space="preserve"> request whic</w:t>
      </w:r>
      <w:r w:rsidR="002A790A">
        <w:rPr>
          <w:szCs w:val="24"/>
        </w:rPr>
        <w:t xml:space="preserve">h prompted the Authority </w:t>
      </w:r>
      <w:r w:rsidRPr="00091898">
        <w:rPr>
          <w:szCs w:val="24"/>
        </w:rPr>
        <w:t>to com</w:t>
      </w:r>
      <w:r w:rsidR="001A1196">
        <w:rPr>
          <w:szCs w:val="24"/>
        </w:rPr>
        <w:t>m</w:t>
      </w:r>
      <w:r w:rsidR="002A790A">
        <w:rPr>
          <w:szCs w:val="24"/>
        </w:rPr>
        <w:t>ence an investigation into this</w:t>
      </w:r>
      <w:r w:rsidRPr="00091898">
        <w:rPr>
          <w:szCs w:val="24"/>
        </w:rPr>
        <w:t xml:space="preserve"> particular factor un</w:t>
      </w:r>
      <w:r w:rsidR="002A790A">
        <w:rPr>
          <w:szCs w:val="24"/>
        </w:rPr>
        <w:t>der s 196B(7)(a)</w:t>
      </w:r>
      <w:r w:rsidR="0002096B">
        <w:rPr>
          <w:szCs w:val="24"/>
        </w:rPr>
        <w:t xml:space="preserve"> of the VEA.</w:t>
      </w:r>
      <w:r w:rsidR="0002096B">
        <w:rPr>
          <w:rStyle w:val="FootnoteReference"/>
          <w:szCs w:val="24"/>
        </w:rPr>
        <w:footnoteReference w:id="1"/>
      </w:r>
    </w:p>
    <w:p w14:paraId="740E63B1" w14:textId="13B86F50" w:rsidR="002A790A" w:rsidRDefault="002A790A" w:rsidP="002A790A">
      <w:pPr>
        <w:pStyle w:val="NumberLevel1"/>
        <w:tabs>
          <w:tab w:val="clear" w:pos="360"/>
          <w:tab w:val="left" w:pos="720"/>
        </w:tabs>
        <w:ind w:left="426" w:hanging="426"/>
        <w:outlineLvl w:val="1"/>
        <w:rPr>
          <w:b/>
        </w:rPr>
      </w:pPr>
      <w:r>
        <w:rPr>
          <w:b/>
        </w:rPr>
        <w:t xml:space="preserve">Basis for amending an existing SOP </w:t>
      </w:r>
    </w:p>
    <w:p w14:paraId="5069CD78" w14:textId="29DBE41F" w:rsidR="002A790A" w:rsidRPr="002A790A" w:rsidRDefault="0002096B" w:rsidP="00CD0BC8">
      <w:pPr>
        <w:pStyle w:val="NumberLevel1"/>
        <w:numPr>
          <w:ilvl w:val="0"/>
          <w:numId w:val="4"/>
        </w:numPr>
        <w:outlineLvl w:val="9"/>
        <w:rPr>
          <w:szCs w:val="24"/>
        </w:rPr>
      </w:pPr>
      <w:r>
        <w:rPr>
          <w:szCs w:val="24"/>
        </w:rPr>
        <w:t>I</w:t>
      </w:r>
      <w:r w:rsidRPr="0002096B">
        <w:rPr>
          <w:szCs w:val="24"/>
        </w:rPr>
        <w:t xml:space="preserve">n forming any view during </w:t>
      </w:r>
      <w:r>
        <w:rPr>
          <w:szCs w:val="24"/>
        </w:rPr>
        <w:t>an</w:t>
      </w:r>
      <w:r w:rsidRPr="0002096B">
        <w:rPr>
          <w:szCs w:val="24"/>
        </w:rPr>
        <w:t xml:space="preserve"> investigation, the Authorit</w:t>
      </w:r>
      <w:r w:rsidR="00CD0BC8">
        <w:rPr>
          <w:szCs w:val="24"/>
        </w:rPr>
        <w:t xml:space="preserve">y </w:t>
      </w:r>
      <w:r w:rsidR="00CD0BC8" w:rsidRPr="00CD0BC8">
        <w:rPr>
          <w:szCs w:val="24"/>
        </w:rPr>
        <w:t>may rely only on</w:t>
      </w:r>
      <w:r w:rsidR="00CD0BC8">
        <w:rPr>
          <w:szCs w:val="24"/>
        </w:rPr>
        <w:t xml:space="preserve"> SMSE. </w:t>
      </w:r>
      <w:r w:rsidR="002A790A">
        <w:rPr>
          <w:szCs w:val="24"/>
        </w:rPr>
        <w:t>Subsection</w:t>
      </w:r>
      <w:r>
        <w:rPr>
          <w:szCs w:val="24"/>
        </w:rPr>
        <w:t xml:space="preserve"> 196B(8) provides that where there is</w:t>
      </w:r>
      <w:r w:rsidR="00CD0BC8">
        <w:rPr>
          <w:szCs w:val="24"/>
        </w:rPr>
        <w:t xml:space="preserve"> </w:t>
      </w:r>
      <w:r w:rsidR="00CD0BC8" w:rsidRPr="00CD0BC8">
        <w:rPr>
          <w:szCs w:val="24"/>
        </w:rPr>
        <w:t xml:space="preserve">a new body of sound medical-scientific evidence available that, together with the sound medical-scientific evidence previously </w:t>
      </w:r>
      <w:r w:rsidR="00CD0BC8" w:rsidRPr="00CD0BC8">
        <w:rPr>
          <w:szCs w:val="24"/>
        </w:rPr>
        <w:lastRenderedPageBreak/>
        <w:t xml:space="preserve">considered by the Authority, justifies the amendment of </w:t>
      </w:r>
      <w:r w:rsidR="00CD0BC8">
        <w:rPr>
          <w:szCs w:val="24"/>
        </w:rPr>
        <w:t xml:space="preserve">a SOP the </w:t>
      </w:r>
      <w:r w:rsidR="00FF00D6">
        <w:rPr>
          <w:szCs w:val="24"/>
        </w:rPr>
        <w:t>Authority</w:t>
      </w:r>
      <w:r w:rsidR="00CD0BC8">
        <w:rPr>
          <w:szCs w:val="24"/>
        </w:rPr>
        <w:t xml:space="preserve"> is required to do so. On the other hand where there is no new SMSE or the new SMSE is </w:t>
      </w:r>
      <w:r w:rsidR="00FF00D6">
        <w:rPr>
          <w:szCs w:val="24"/>
        </w:rPr>
        <w:t>insufficient</w:t>
      </w:r>
      <w:r w:rsidR="00CD0BC8">
        <w:rPr>
          <w:szCs w:val="24"/>
        </w:rPr>
        <w:t xml:space="preserve"> to justify </w:t>
      </w:r>
      <w:r w:rsidR="00FF00D6">
        <w:rPr>
          <w:szCs w:val="24"/>
        </w:rPr>
        <w:t>an</w:t>
      </w:r>
      <w:r w:rsidR="00CD0BC8">
        <w:rPr>
          <w:szCs w:val="24"/>
        </w:rPr>
        <w:t xml:space="preserve"> amendment </w:t>
      </w:r>
      <w:r w:rsidR="00F71036">
        <w:rPr>
          <w:szCs w:val="24"/>
        </w:rPr>
        <w:t xml:space="preserve">subsection 196B(9) provides that the Authority </w:t>
      </w:r>
      <w:r w:rsidR="00F71036">
        <w:rPr>
          <w:i/>
          <w:szCs w:val="24"/>
        </w:rPr>
        <w:t>must</w:t>
      </w:r>
      <w:r w:rsidR="00F71036">
        <w:rPr>
          <w:szCs w:val="24"/>
        </w:rPr>
        <w:t xml:space="preserve"> make a declaration stating that it does not propose to amend the SOP</w:t>
      </w:r>
      <w:r w:rsidR="00CD0BC8">
        <w:rPr>
          <w:szCs w:val="24"/>
        </w:rPr>
        <w:t xml:space="preserve"> and give reasons for that decision.</w:t>
      </w:r>
    </w:p>
    <w:p w14:paraId="6E5EA2DB" w14:textId="4E4F413C" w:rsidR="00614DF1" w:rsidRPr="00641C48" w:rsidRDefault="00614DF1" w:rsidP="00757EA5">
      <w:pPr>
        <w:pStyle w:val="NumberLevel1"/>
        <w:keepNext/>
        <w:tabs>
          <w:tab w:val="clear" w:pos="360"/>
        </w:tabs>
        <w:ind w:left="0" w:firstLine="0"/>
        <w:outlineLvl w:val="1"/>
        <w:rPr>
          <w:b/>
        </w:rPr>
      </w:pPr>
      <w:r>
        <w:rPr>
          <w:b/>
        </w:rPr>
        <w:t xml:space="preserve">Reasons for deciding not to </w:t>
      </w:r>
      <w:r w:rsidR="000647DA">
        <w:rPr>
          <w:b/>
        </w:rPr>
        <w:t>amend</w:t>
      </w:r>
      <w:r>
        <w:rPr>
          <w:b/>
        </w:rPr>
        <w:t xml:space="preserve"> an existing SOP</w:t>
      </w:r>
    </w:p>
    <w:p w14:paraId="3F9AA17F" w14:textId="77777777" w:rsidR="00614DF1" w:rsidRPr="007D6C12" w:rsidRDefault="00614DF1" w:rsidP="00614DF1">
      <w:pPr>
        <w:pStyle w:val="NumberLevel1"/>
        <w:numPr>
          <w:ilvl w:val="0"/>
          <w:numId w:val="4"/>
        </w:numPr>
        <w:outlineLvl w:val="9"/>
        <w:rPr>
          <w:szCs w:val="24"/>
        </w:rPr>
      </w:pPr>
      <w:r w:rsidRPr="00091898">
        <w:rPr>
          <w:szCs w:val="24"/>
        </w:rPr>
        <w:t xml:space="preserve">Together with its own expert knowledge, the Authority took </w:t>
      </w:r>
      <w:r w:rsidRPr="007D6C12">
        <w:rPr>
          <w:szCs w:val="24"/>
        </w:rPr>
        <w:t>into consideration:</w:t>
      </w:r>
    </w:p>
    <w:p w14:paraId="2A325B61" w14:textId="6E692AC1" w:rsidR="00614DF1" w:rsidRDefault="00614DF1" w:rsidP="00614DF1">
      <w:pPr>
        <w:pStyle w:val="ListParagraph"/>
        <w:numPr>
          <w:ilvl w:val="0"/>
          <w:numId w:val="12"/>
        </w:numPr>
        <w:tabs>
          <w:tab w:val="left" w:pos="1134"/>
        </w:tabs>
        <w:spacing w:line="280" w:lineRule="atLeast"/>
        <w:ind w:left="1134" w:hanging="567"/>
        <w:rPr>
          <w:rFonts w:ascii="Arial" w:hAnsi="Arial" w:cs="Arial"/>
          <w:sz w:val="22"/>
          <w:szCs w:val="22"/>
        </w:rPr>
      </w:pPr>
      <w:r w:rsidRPr="00C52668">
        <w:rPr>
          <w:rFonts w:ascii="Arial" w:hAnsi="Arial" w:cs="Arial"/>
          <w:sz w:val="22"/>
          <w:szCs w:val="22"/>
        </w:rPr>
        <w:t xml:space="preserve">the </w:t>
      </w:r>
      <w:r>
        <w:rPr>
          <w:rFonts w:ascii="Arial" w:hAnsi="Arial" w:cs="Arial"/>
          <w:sz w:val="22"/>
          <w:szCs w:val="22"/>
        </w:rPr>
        <w:t xml:space="preserve">information provided by </w:t>
      </w:r>
      <w:r w:rsidR="00F71036">
        <w:rPr>
          <w:rFonts w:ascii="Arial" w:hAnsi="Arial" w:cs="Arial"/>
          <w:sz w:val="22"/>
          <w:szCs w:val="22"/>
        </w:rPr>
        <w:t>the applicant</w:t>
      </w:r>
      <w:r w:rsidRPr="00C52668">
        <w:rPr>
          <w:rFonts w:ascii="Arial" w:hAnsi="Arial" w:cs="Arial"/>
          <w:sz w:val="22"/>
          <w:szCs w:val="22"/>
        </w:rPr>
        <w:t>;</w:t>
      </w:r>
    </w:p>
    <w:p w14:paraId="68E874B3" w14:textId="036AB012" w:rsidR="00614DF1" w:rsidRPr="004E2A7C" w:rsidRDefault="00614DF1" w:rsidP="00F71036">
      <w:pPr>
        <w:pStyle w:val="ListParagraph"/>
        <w:numPr>
          <w:ilvl w:val="0"/>
          <w:numId w:val="12"/>
        </w:numPr>
        <w:tabs>
          <w:tab w:val="left" w:pos="1134"/>
        </w:tabs>
        <w:spacing w:line="280" w:lineRule="atLeast"/>
        <w:ind w:left="1134" w:hanging="567"/>
        <w:rPr>
          <w:rFonts w:ascii="Arial" w:hAnsi="Arial" w:cs="Arial"/>
          <w:sz w:val="22"/>
          <w:szCs w:val="22"/>
        </w:rPr>
      </w:pPr>
      <w:r w:rsidRPr="004E2A7C">
        <w:rPr>
          <w:rFonts w:ascii="Arial" w:hAnsi="Arial" w:cs="Arial"/>
          <w:sz w:val="22"/>
          <w:szCs w:val="22"/>
        </w:rPr>
        <w:t xml:space="preserve">the information held by the Authority and obtained during its previous </w:t>
      </w:r>
      <w:r w:rsidR="00CD0BC8">
        <w:rPr>
          <w:rFonts w:ascii="Arial" w:hAnsi="Arial" w:cs="Arial"/>
          <w:sz w:val="22"/>
          <w:szCs w:val="22"/>
        </w:rPr>
        <w:t xml:space="preserve">investigations </w:t>
      </w:r>
      <w:r w:rsidRPr="004E2A7C">
        <w:rPr>
          <w:rFonts w:ascii="Arial" w:hAnsi="Arial" w:cs="Arial"/>
          <w:sz w:val="22"/>
          <w:szCs w:val="22"/>
        </w:rPr>
        <w:t xml:space="preserve">leading </w:t>
      </w:r>
      <w:r w:rsidR="00CD0BC8">
        <w:rPr>
          <w:rFonts w:ascii="Arial" w:hAnsi="Arial" w:cs="Arial"/>
          <w:sz w:val="22"/>
          <w:szCs w:val="22"/>
        </w:rPr>
        <w:t xml:space="preserve">up </w:t>
      </w:r>
      <w:r w:rsidRPr="004E2A7C">
        <w:rPr>
          <w:rFonts w:ascii="Arial" w:hAnsi="Arial" w:cs="Arial"/>
          <w:sz w:val="22"/>
          <w:szCs w:val="22"/>
        </w:rPr>
        <w:t xml:space="preserve">to the determination of </w:t>
      </w:r>
      <w:r>
        <w:rPr>
          <w:rFonts w:ascii="Arial" w:hAnsi="Arial" w:cs="Arial"/>
          <w:sz w:val="22"/>
          <w:szCs w:val="22"/>
        </w:rPr>
        <w:t>the SOPs</w:t>
      </w:r>
      <w:r w:rsidRPr="004E2A7C">
        <w:rPr>
          <w:rFonts w:ascii="Arial" w:hAnsi="Arial" w:cs="Arial"/>
          <w:sz w:val="22"/>
          <w:szCs w:val="22"/>
        </w:rPr>
        <w:t xml:space="preserve"> concerning </w:t>
      </w:r>
      <w:r w:rsidR="00F71036">
        <w:rPr>
          <w:rFonts w:ascii="Arial" w:hAnsi="Arial" w:cs="Arial"/>
          <w:sz w:val="22"/>
          <w:szCs w:val="22"/>
        </w:rPr>
        <w:t xml:space="preserve">malignant neoplasm of the breast </w:t>
      </w:r>
      <w:r w:rsidR="00F71036" w:rsidRPr="00F71036">
        <w:rPr>
          <w:rFonts w:ascii="Arial" w:hAnsi="Arial" w:cs="Arial"/>
          <w:sz w:val="22"/>
          <w:szCs w:val="22"/>
        </w:rPr>
        <w:t>(Instrument Nos. 96 and 97 of 2014)</w:t>
      </w:r>
      <w:r w:rsidRPr="004E2A7C">
        <w:rPr>
          <w:rFonts w:ascii="Arial" w:hAnsi="Arial" w:cs="Arial"/>
          <w:sz w:val="22"/>
          <w:szCs w:val="22"/>
        </w:rPr>
        <w:t xml:space="preserve">; and </w:t>
      </w:r>
    </w:p>
    <w:p w14:paraId="57BAE1BF" w14:textId="77777777" w:rsidR="00F71036" w:rsidRDefault="00614DF1" w:rsidP="00614DF1">
      <w:pPr>
        <w:pStyle w:val="ListParagraph"/>
        <w:numPr>
          <w:ilvl w:val="0"/>
          <w:numId w:val="12"/>
        </w:numPr>
        <w:tabs>
          <w:tab w:val="left" w:pos="1134"/>
        </w:tabs>
        <w:spacing w:line="280" w:lineRule="atLeast"/>
        <w:ind w:left="1134" w:hanging="567"/>
        <w:rPr>
          <w:rFonts w:ascii="Arial" w:hAnsi="Arial" w:cs="Arial"/>
          <w:sz w:val="22"/>
          <w:szCs w:val="22"/>
        </w:rPr>
      </w:pPr>
      <w:r>
        <w:rPr>
          <w:rFonts w:ascii="Arial" w:hAnsi="Arial" w:cs="Arial"/>
          <w:sz w:val="22"/>
          <w:szCs w:val="22"/>
        </w:rPr>
        <w:t>the</w:t>
      </w:r>
      <w:r w:rsidRPr="004E2A7C">
        <w:rPr>
          <w:rFonts w:ascii="Arial" w:hAnsi="Arial" w:cs="Arial"/>
          <w:sz w:val="22"/>
          <w:szCs w:val="22"/>
        </w:rPr>
        <w:t xml:space="preserve"> discussion paper prepared by a medical researcher</w:t>
      </w:r>
      <w:r w:rsidR="00F71036">
        <w:rPr>
          <w:rFonts w:ascii="Arial" w:hAnsi="Arial" w:cs="Arial"/>
          <w:sz w:val="22"/>
          <w:szCs w:val="22"/>
        </w:rPr>
        <w:t xml:space="preserve"> for the February 2021 meeting;</w:t>
      </w:r>
    </w:p>
    <w:p w14:paraId="38D1D669" w14:textId="1E7DC85E" w:rsidR="00614DF1" w:rsidRPr="004E2A7C" w:rsidRDefault="00F71036" w:rsidP="00614DF1">
      <w:pPr>
        <w:pStyle w:val="ListParagraph"/>
        <w:numPr>
          <w:ilvl w:val="0"/>
          <w:numId w:val="12"/>
        </w:numPr>
        <w:tabs>
          <w:tab w:val="left" w:pos="1134"/>
        </w:tabs>
        <w:spacing w:line="280" w:lineRule="atLeast"/>
        <w:ind w:left="1134" w:hanging="567"/>
        <w:rPr>
          <w:rFonts w:ascii="Arial" w:hAnsi="Arial" w:cs="Arial"/>
          <w:sz w:val="22"/>
          <w:szCs w:val="22"/>
        </w:rPr>
      </w:pPr>
      <w:r>
        <w:rPr>
          <w:rFonts w:ascii="Arial" w:hAnsi="Arial" w:cs="Arial"/>
          <w:sz w:val="22"/>
          <w:szCs w:val="22"/>
        </w:rPr>
        <w:t>the briefing paper prepared by a medical researcher for the April 2021 meeting</w:t>
      </w:r>
      <w:r w:rsidR="00614DF1" w:rsidRPr="004E2A7C">
        <w:rPr>
          <w:rFonts w:ascii="Arial" w:hAnsi="Arial" w:cs="Arial"/>
          <w:sz w:val="22"/>
          <w:szCs w:val="22"/>
        </w:rPr>
        <w:t>.</w:t>
      </w:r>
    </w:p>
    <w:p w14:paraId="65C20D16" w14:textId="6C28EABB" w:rsidR="00F87EC5" w:rsidRDefault="0003385F" w:rsidP="00D95179">
      <w:pPr>
        <w:pStyle w:val="NumberLevel1"/>
        <w:numPr>
          <w:ilvl w:val="0"/>
          <w:numId w:val="4"/>
        </w:numPr>
        <w:outlineLvl w:val="9"/>
        <w:rPr>
          <w:szCs w:val="24"/>
        </w:rPr>
      </w:pPr>
      <w:r>
        <w:rPr>
          <w:szCs w:val="24"/>
        </w:rPr>
        <w:t xml:space="preserve">As noted above, the applicant relied on the following </w:t>
      </w:r>
      <w:r w:rsidR="001A1196">
        <w:rPr>
          <w:szCs w:val="24"/>
        </w:rPr>
        <w:t>ground</w:t>
      </w:r>
      <w:r>
        <w:rPr>
          <w:szCs w:val="24"/>
        </w:rPr>
        <w:t xml:space="preserve"> for seeking a review of the contents of the SOPs concerning </w:t>
      </w:r>
      <w:r w:rsidR="00D45F1B">
        <w:rPr>
          <w:szCs w:val="24"/>
        </w:rPr>
        <w:t>malignant neoplasm of the breast</w:t>
      </w:r>
      <w:r>
        <w:rPr>
          <w:szCs w:val="24"/>
        </w:rPr>
        <w:t>:</w:t>
      </w:r>
    </w:p>
    <w:p w14:paraId="44753953" w14:textId="7DB05CD9" w:rsidR="0003385F" w:rsidRDefault="00D45F1B" w:rsidP="00D45F1B">
      <w:pPr>
        <w:pStyle w:val="ListParagraph"/>
        <w:numPr>
          <w:ilvl w:val="0"/>
          <w:numId w:val="12"/>
        </w:numPr>
        <w:tabs>
          <w:tab w:val="left" w:pos="1134"/>
        </w:tabs>
        <w:spacing w:line="280" w:lineRule="atLeast"/>
        <w:ind w:left="1134" w:hanging="567"/>
        <w:rPr>
          <w:rFonts w:ascii="Arial" w:hAnsi="Arial" w:cs="Arial"/>
          <w:sz w:val="22"/>
          <w:szCs w:val="22"/>
        </w:rPr>
      </w:pPr>
      <w:r w:rsidRPr="00D45F1B">
        <w:rPr>
          <w:rFonts w:ascii="Arial" w:hAnsi="Arial" w:cs="Arial"/>
          <w:sz w:val="22"/>
          <w:szCs w:val="22"/>
        </w:rPr>
        <w:t>alternative forms of combined hormonal contraceptives (particularly the vaginal ring) have the same contraindications, complications, side effects and interactions as the combined oral contraceptive pill.</w:t>
      </w:r>
    </w:p>
    <w:p w14:paraId="3B6D0CCA" w14:textId="5994E9CA" w:rsidR="00D45F1B" w:rsidRPr="00234B85" w:rsidRDefault="000647DA" w:rsidP="00D45F1B">
      <w:pPr>
        <w:pStyle w:val="NumberLevel1"/>
        <w:tabs>
          <w:tab w:val="clear" w:pos="360"/>
        </w:tabs>
        <w:rPr>
          <w:i/>
        </w:rPr>
      </w:pPr>
      <w:r>
        <w:rPr>
          <w:i/>
        </w:rPr>
        <w:t>Is there new sound medical-scientific evidence?</w:t>
      </w:r>
    </w:p>
    <w:p w14:paraId="648AC622" w14:textId="2002F2B9" w:rsidR="00D45F1B" w:rsidRDefault="00D45F1B" w:rsidP="001A1196">
      <w:pPr>
        <w:pStyle w:val="NumberLevel1"/>
        <w:numPr>
          <w:ilvl w:val="0"/>
          <w:numId w:val="4"/>
        </w:numPr>
        <w:outlineLvl w:val="9"/>
      </w:pPr>
      <w:r>
        <w:t xml:space="preserve">Since its previous consideration of the SMSE in relation to using oral contraceptive pills, new SMSE concerning the use of contraceptives has been published (some of which was identified by the applicant in her request). </w:t>
      </w:r>
    </w:p>
    <w:p w14:paraId="6A3C4BED" w14:textId="53E0F945" w:rsidR="000647DA" w:rsidRPr="00234B85" w:rsidRDefault="000647DA" w:rsidP="000647DA">
      <w:pPr>
        <w:pStyle w:val="NumberLevel1"/>
        <w:tabs>
          <w:tab w:val="clear" w:pos="360"/>
        </w:tabs>
        <w:rPr>
          <w:i/>
        </w:rPr>
      </w:pPr>
      <w:r>
        <w:rPr>
          <w:i/>
        </w:rPr>
        <w:t xml:space="preserve">Is the </w:t>
      </w:r>
      <w:r w:rsidR="00CD0BC8">
        <w:rPr>
          <w:i/>
        </w:rPr>
        <w:t xml:space="preserve">available </w:t>
      </w:r>
      <w:r>
        <w:rPr>
          <w:i/>
        </w:rPr>
        <w:t>sound medical-scientific evidence sufficient to justify amendment?</w:t>
      </w:r>
    </w:p>
    <w:p w14:paraId="0116B993" w14:textId="09708CE0" w:rsidR="0003385F" w:rsidRDefault="001A1196" w:rsidP="00ED5D33">
      <w:pPr>
        <w:pStyle w:val="NumberLevel1"/>
        <w:numPr>
          <w:ilvl w:val="0"/>
          <w:numId w:val="4"/>
        </w:numPr>
        <w:outlineLvl w:val="9"/>
      </w:pPr>
      <w:r>
        <w:t>T</w:t>
      </w:r>
      <w:r w:rsidR="0003385F">
        <w:t>h</w:t>
      </w:r>
      <w:r w:rsidR="009B700F">
        <w:t xml:space="preserve">e Authority </w:t>
      </w:r>
      <w:r w:rsidR="00CD0BC8">
        <w:t xml:space="preserve">is of the view </w:t>
      </w:r>
      <w:r w:rsidR="009B700F">
        <w:t>that the currently available SMSE</w:t>
      </w:r>
      <w:r w:rsidR="00F204BD">
        <w:t xml:space="preserve"> </w:t>
      </w:r>
      <w:r w:rsidR="00CD0BC8">
        <w:t xml:space="preserve">including the new SMSE </w:t>
      </w:r>
      <w:r w:rsidR="0003385F">
        <w:t xml:space="preserve">was </w:t>
      </w:r>
      <w:r w:rsidR="000647DA">
        <w:t xml:space="preserve">not sufficient to justify the amendment which the applicant sought. </w:t>
      </w:r>
      <w:r w:rsidR="000647DA" w:rsidRPr="000647DA">
        <w:t>The limited epidemiological data</w:t>
      </w:r>
      <w:r w:rsidR="00CD0BC8">
        <w:t xml:space="preserve">, being </w:t>
      </w:r>
      <w:r w:rsidR="001976D6">
        <w:t>one study which did not find an increased risk</w:t>
      </w:r>
      <w:r w:rsidR="00CD0BC8">
        <w:t xml:space="preserve">, </w:t>
      </w:r>
      <w:r w:rsidR="000647DA" w:rsidRPr="000647DA">
        <w:t>mean</w:t>
      </w:r>
      <w:r w:rsidR="00CD0BC8">
        <w:t>t</w:t>
      </w:r>
      <w:r w:rsidR="000647DA" w:rsidRPr="000647DA">
        <w:t xml:space="preserve"> that inclusion of non-oral forms of hormonal contraception in the S</w:t>
      </w:r>
      <w:r w:rsidR="000647DA">
        <w:t>O</w:t>
      </w:r>
      <w:r w:rsidR="000647DA" w:rsidRPr="000647DA">
        <w:t>Ps would largely be based on analogy. Other bodies treat oral and non-oral methods as equivalent in terms of safety, based on the precautionary principle rather than evidence.</w:t>
      </w:r>
      <w:r w:rsidR="00F03308">
        <w:t xml:space="preserve"> </w:t>
      </w:r>
      <w:r w:rsidR="00ED5D33">
        <w:t xml:space="preserve">However, the Authority is obliged to only rely on the evidence in </w:t>
      </w:r>
      <w:r w:rsidR="00F03308">
        <w:t xml:space="preserve">assessing </w:t>
      </w:r>
      <w:r w:rsidR="00ED5D33" w:rsidRPr="00ED5D33">
        <w:t xml:space="preserve">how </w:t>
      </w:r>
      <w:r w:rsidR="00ED5D33">
        <w:t>a</w:t>
      </w:r>
      <w:r w:rsidR="00ED5D33" w:rsidRPr="00ED5D33">
        <w:t xml:space="preserve"> disease may be caused</w:t>
      </w:r>
      <w:r w:rsidR="00ED5D33">
        <w:t xml:space="preserve">. </w:t>
      </w:r>
      <w:r w:rsidR="00F03308">
        <w:t xml:space="preserve"> </w:t>
      </w:r>
    </w:p>
    <w:p w14:paraId="1214F5E6" w14:textId="15CDA5AB" w:rsidR="002B0EF2" w:rsidRPr="0003385F" w:rsidRDefault="00ED5D33" w:rsidP="002B0EF2">
      <w:pPr>
        <w:pStyle w:val="NumberLevel1"/>
        <w:numPr>
          <w:ilvl w:val="0"/>
          <w:numId w:val="4"/>
        </w:numPr>
        <w:outlineLvl w:val="9"/>
      </w:pPr>
      <w:r>
        <w:t>Here, t</w:t>
      </w:r>
      <w:r w:rsidR="002B0EF2" w:rsidRPr="002B0EF2">
        <w:t xml:space="preserve">he vaginal ring delivers lower overall and maximal doses of the estrogen and progesterone components than </w:t>
      </w:r>
      <w:r w:rsidR="002B0EF2">
        <w:t>combined oral contraceptives</w:t>
      </w:r>
      <w:r w:rsidR="002B0EF2" w:rsidRPr="002B0EF2">
        <w:t xml:space="preserve"> with less fluctuation, as well as lower mean doses of the estrogen component</w:t>
      </w:r>
      <w:r w:rsidR="00532E19">
        <w:t>.</w:t>
      </w:r>
      <w:r w:rsidR="00344A64" w:rsidRPr="00344A64">
        <w:t xml:space="preserve"> </w:t>
      </w:r>
      <w:r w:rsidR="00344A64">
        <w:t>In general, adverse outcomes associated with oral contraceptive pills have reduced as lower doses of estrogen have been introduced over the last few decades.</w:t>
      </w:r>
      <w:r w:rsidR="00705D73">
        <w:t xml:space="preserve"> </w:t>
      </w:r>
      <w:r w:rsidR="0030712C">
        <w:t>Nonetheless</w:t>
      </w:r>
      <w:r w:rsidR="001976D6">
        <w:t>, the</w:t>
      </w:r>
      <w:r w:rsidR="002B0EF2">
        <w:t xml:space="preserve"> evidence is too equivocal to say with any certainty whether the risks of using non-oral </w:t>
      </w:r>
      <w:r w:rsidR="000811AE">
        <w:t>forms of combined hormonal contraception</w:t>
      </w:r>
      <w:r w:rsidR="002B0EF2">
        <w:t xml:space="preserve"> are similar, higher or lower </w:t>
      </w:r>
      <w:r w:rsidR="000811AE">
        <w:t>than the risks of using combined oral contraceptive pills.</w:t>
      </w:r>
    </w:p>
    <w:p w14:paraId="607CEEF0" w14:textId="061AE059" w:rsidR="00614DF1" w:rsidRDefault="00614DF1" w:rsidP="00614DF1">
      <w:pPr>
        <w:pStyle w:val="PartHeading"/>
      </w:pPr>
      <w:bookmarkStart w:id="10" w:name="_Toc38025123"/>
      <w:bookmarkStart w:id="11" w:name="_Toc156722918"/>
      <w:bookmarkStart w:id="12" w:name="_Toc69996408"/>
      <w:bookmarkEnd w:id="10"/>
      <w:bookmarkEnd w:id="11"/>
      <w:r>
        <w:t>Conclusions</w:t>
      </w:r>
      <w:bookmarkEnd w:id="12"/>
    </w:p>
    <w:p w14:paraId="33E7673F" w14:textId="29977624" w:rsidR="00614DF1" w:rsidRPr="00F87EC5" w:rsidRDefault="00614DF1" w:rsidP="00F87EC5">
      <w:pPr>
        <w:pStyle w:val="NumberLevel1"/>
        <w:numPr>
          <w:ilvl w:val="0"/>
          <w:numId w:val="4"/>
        </w:numPr>
        <w:outlineLvl w:val="9"/>
        <w:rPr>
          <w:szCs w:val="24"/>
        </w:rPr>
      </w:pPr>
      <w:bookmarkStart w:id="13" w:name="_Toc156722920"/>
      <w:bookmarkEnd w:id="13"/>
      <w:r w:rsidRPr="00091898">
        <w:rPr>
          <w:szCs w:val="24"/>
        </w:rPr>
        <w:t xml:space="preserve">Overall, for the reasons set out above, </w:t>
      </w:r>
      <w:r w:rsidR="000811AE">
        <w:rPr>
          <w:szCs w:val="24"/>
        </w:rPr>
        <w:t>the available SMSE is not sufficient to justify the</w:t>
      </w:r>
      <w:r w:rsidR="00ED5D33">
        <w:rPr>
          <w:szCs w:val="24"/>
        </w:rPr>
        <w:t xml:space="preserve"> amendment of the SOPs concerning malignant neoplasm of the breast by including</w:t>
      </w:r>
      <w:r w:rsidR="000811AE">
        <w:rPr>
          <w:szCs w:val="24"/>
        </w:rPr>
        <w:t xml:space="preserve"> factors </w:t>
      </w:r>
      <w:r w:rsidR="00ED5D33">
        <w:rPr>
          <w:szCs w:val="24"/>
        </w:rPr>
        <w:t>for the</w:t>
      </w:r>
      <w:r w:rsidR="000811AE">
        <w:rPr>
          <w:szCs w:val="24"/>
        </w:rPr>
        <w:t xml:space="preserve"> us</w:t>
      </w:r>
      <w:r w:rsidR="00ED5D33">
        <w:rPr>
          <w:szCs w:val="24"/>
        </w:rPr>
        <w:t>e of</w:t>
      </w:r>
      <w:r w:rsidR="000811AE">
        <w:rPr>
          <w:szCs w:val="24"/>
        </w:rPr>
        <w:t xml:space="preserve"> non-oral forms of combined hormonal contraception</w:t>
      </w:r>
      <w:r w:rsidR="00ED5D33">
        <w:rPr>
          <w:szCs w:val="24"/>
        </w:rPr>
        <w:t>.</w:t>
      </w:r>
    </w:p>
    <w:p w14:paraId="4F70B19B" w14:textId="77777777" w:rsidR="00614DF1" w:rsidRDefault="00614DF1" w:rsidP="00757EA5">
      <w:pPr>
        <w:pStyle w:val="PartHeading"/>
      </w:pPr>
      <w:bookmarkStart w:id="14" w:name="_Toc38023746"/>
      <w:bookmarkStart w:id="15" w:name="_Toc37947041"/>
      <w:bookmarkStart w:id="16" w:name="_Toc38023747"/>
      <w:bookmarkStart w:id="17" w:name="_Toc37947042"/>
      <w:bookmarkStart w:id="18" w:name="_Toc38023748"/>
      <w:bookmarkStart w:id="19" w:name="_Toc37947043"/>
      <w:bookmarkStart w:id="20" w:name="_Toc38023749"/>
      <w:bookmarkStart w:id="21" w:name="_Toc37947044"/>
      <w:bookmarkStart w:id="22" w:name="_Toc38023750"/>
      <w:bookmarkStart w:id="23" w:name="_Toc38023751"/>
      <w:bookmarkStart w:id="24" w:name="_Toc69996409"/>
      <w:bookmarkEnd w:id="14"/>
      <w:bookmarkEnd w:id="15"/>
      <w:bookmarkEnd w:id="16"/>
      <w:bookmarkEnd w:id="17"/>
      <w:bookmarkEnd w:id="18"/>
      <w:bookmarkEnd w:id="19"/>
      <w:bookmarkEnd w:id="20"/>
      <w:bookmarkEnd w:id="21"/>
      <w:bookmarkEnd w:id="22"/>
      <w:r>
        <w:lastRenderedPageBreak/>
        <w:t>Decision</w:t>
      </w:r>
      <w:bookmarkEnd w:id="23"/>
      <w:bookmarkEnd w:id="24"/>
    </w:p>
    <w:p w14:paraId="315A595B" w14:textId="2389624B" w:rsidR="00614DF1" w:rsidRPr="007D6C12" w:rsidRDefault="00614DF1" w:rsidP="00757EA5">
      <w:pPr>
        <w:pStyle w:val="NumberLevel1"/>
        <w:keepNext/>
        <w:keepLines/>
        <w:numPr>
          <w:ilvl w:val="0"/>
          <w:numId w:val="4"/>
        </w:numPr>
        <w:outlineLvl w:val="9"/>
        <w:rPr>
          <w:szCs w:val="24"/>
        </w:rPr>
      </w:pPr>
      <w:r w:rsidRPr="00091898">
        <w:rPr>
          <w:szCs w:val="24"/>
        </w:rPr>
        <w:t xml:space="preserve">The Authority decided at its meeting on </w:t>
      </w:r>
      <w:r w:rsidR="000811AE">
        <w:rPr>
          <w:szCs w:val="24"/>
        </w:rPr>
        <w:t>7 April 2021</w:t>
      </w:r>
      <w:r w:rsidRPr="00091898">
        <w:rPr>
          <w:szCs w:val="24"/>
        </w:rPr>
        <w:t xml:space="preserve"> not to </w:t>
      </w:r>
      <w:r w:rsidR="000811AE">
        <w:rPr>
          <w:szCs w:val="24"/>
        </w:rPr>
        <w:t>amend</w:t>
      </w:r>
      <w:r w:rsidRPr="007D6C12">
        <w:rPr>
          <w:szCs w:val="24"/>
        </w:rPr>
        <w:t xml:space="preserve"> the </w:t>
      </w:r>
      <w:r>
        <w:rPr>
          <w:szCs w:val="24"/>
        </w:rPr>
        <w:t>SOP</w:t>
      </w:r>
      <w:r w:rsidR="00D4185F">
        <w:rPr>
          <w:szCs w:val="24"/>
        </w:rPr>
        <w:t>s</w:t>
      </w:r>
      <w:r w:rsidRPr="007D6C12">
        <w:rPr>
          <w:szCs w:val="24"/>
        </w:rPr>
        <w:t xml:space="preserve"> concerning </w:t>
      </w:r>
      <w:r w:rsidR="000811AE">
        <w:rPr>
          <w:szCs w:val="24"/>
        </w:rPr>
        <w:t>malignant neoplasm of the breast</w:t>
      </w:r>
      <w:r w:rsidRPr="007D6C12">
        <w:rPr>
          <w:szCs w:val="24"/>
        </w:rPr>
        <w:t xml:space="preserve"> </w:t>
      </w:r>
      <w:r w:rsidRPr="00091898">
        <w:rPr>
          <w:szCs w:val="24"/>
        </w:rPr>
        <w:t>(</w:t>
      </w:r>
      <w:r w:rsidR="000811AE" w:rsidRPr="00F71036">
        <w:t>Instrument Nos. 96 and 97 of 2014</w:t>
      </w:r>
      <w:r w:rsidRPr="00091898">
        <w:rPr>
          <w:szCs w:val="24"/>
        </w:rPr>
        <w:t xml:space="preserve">) as it considered that the </w:t>
      </w:r>
      <w:r w:rsidR="000811AE">
        <w:rPr>
          <w:szCs w:val="24"/>
        </w:rPr>
        <w:t>SMSE was no</w:t>
      </w:r>
      <w:r w:rsidR="00E95106">
        <w:rPr>
          <w:szCs w:val="24"/>
        </w:rPr>
        <w:t>t</w:t>
      </w:r>
      <w:r w:rsidR="000811AE">
        <w:rPr>
          <w:szCs w:val="24"/>
        </w:rPr>
        <w:t xml:space="preserve"> sufficient to justify the amendment sought </w:t>
      </w:r>
      <w:r w:rsidR="00ED5D33">
        <w:rPr>
          <w:szCs w:val="24"/>
        </w:rPr>
        <w:t xml:space="preserve">in </w:t>
      </w:r>
      <w:r w:rsidR="000811AE">
        <w:rPr>
          <w:szCs w:val="24"/>
        </w:rPr>
        <w:t>the application.</w:t>
      </w:r>
      <w:r w:rsidRPr="00091898">
        <w:rPr>
          <w:szCs w:val="24"/>
        </w:rPr>
        <w:t xml:space="preserve"> </w:t>
      </w:r>
    </w:p>
    <w:p w14:paraId="7222CDEC" w14:textId="176A5498" w:rsidR="00614DF1" w:rsidRPr="00150C5D" w:rsidRDefault="00614DF1" w:rsidP="00757EA5">
      <w:pPr>
        <w:keepNext/>
        <w:keepLines/>
        <w:ind w:left="360"/>
        <w:jc w:val="both"/>
        <w:rPr>
          <w:sz w:val="24"/>
          <w:szCs w:val="24"/>
        </w:rPr>
      </w:pPr>
    </w:p>
    <w:p w14:paraId="3C42DD15" w14:textId="77777777" w:rsidR="00614DF1" w:rsidRPr="00150C5D" w:rsidRDefault="00614DF1" w:rsidP="00757EA5">
      <w:pPr>
        <w:keepNext/>
        <w:keepLines/>
        <w:ind w:left="360"/>
        <w:jc w:val="both"/>
        <w:rPr>
          <w:sz w:val="24"/>
          <w:szCs w:val="24"/>
        </w:rPr>
      </w:pPr>
    </w:p>
    <w:p w14:paraId="5E9F4A37" w14:textId="36838B16" w:rsidR="00614DF1" w:rsidRPr="00C52668" w:rsidRDefault="00460448" w:rsidP="00757EA5">
      <w:pPr>
        <w:keepNext/>
        <w:keepLines/>
        <w:ind w:left="567"/>
        <w:rPr>
          <w:rFonts w:ascii="Arial" w:hAnsi="Arial" w:cs="Arial"/>
          <w:sz w:val="22"/>
          <w:szCs w:val="22"/>
        </w:rPr>
      </w:pPr>
      <w:r>
        <w:rPr>
          <w:rFonts w:ascii="Arial" w:hAnsi="Arial" w:cs="Arial"/>
          <w:sz w:val="22"/>
          <w:szCs w:val="22"/>
        </w:rPr>
        <w:t xml:space="preserve">Professor Nicholas Saunders </w:t>
      </w:r>
      <w:r w:rsidR="00614DF1" w:rsidRPr="00C52668">
        <w:rPr>
          <w:rFonts w:ascii="Arial" w:hAnsi="Arial" w:cs="Arial"/>
          <w:sz w:val="22"/>
          <w:szCs w:val="22"/>
        </w:rPr>
        <w:t>AO</w:t>
      </w:r>
    </w:p>
    <w:p w14:paraId="1FEF08CF" w14:textId="77777777" w:rsidR="00614DF1" w:rsidRPr="00C52668" w:rsidRDefault="00614DF1" w:rsidP="00757EA5">
      <w:pPr>
        <w:keepNext/>
        <w:keepLines/>
        <w:ind w:left="567"/>
        <w:rPr>
          <w:rFonts w:ascii="Arial" w:hAnsi="Arial" w:cs="Arial"/>
          <w:sz w:val="22"/>
          <w:szCs w:val="22"/>
        </w:rPr>
      </w:pPr>
      <w:r w:rsidRPr="00C52668">
        <w:rPr>
          <w:rFonts w:ascii="Arial" w:hAnsi="Arial" w:cs="Arial"/>
          <w:sz w:val="22"/>
          <w:szCs w:val="22"/>
        </w:rPr>
        <w:t>Chairperson</w:t>
      </w:r>
    </w:p>
    <w:p w14:paraId="3031A519" w14:textId="77777777" w:rsidR="00614DF1" w:rsidRPr="00C52668" w:rsidRDefault="00614DF1" w:rsidP="00757EA5">
      <w:pPr>
        <w:keepNext/>
        <w:keepLines/>
        <w:ind w:left="567"/>
        <w:rPr>
          <w:rFonts w:ascii="Arial" w:hAnsi="Arial" w:cs="Arial"/>
          <w:sz w:val="22"/>
          <w:szCs w:val="22"/>
        </w:rPr>
      </w:pPr>
      <w:r w:rsidRPr="00C52668">
        <w:rPr>
          <w:rFonts w:ascii="Arial" w:hAnsi="Arial" w:cs="Arial"/>
          <w:sz w:val="22"/>
          <w:szCs w:val="22"/>
        </w:rPr>
        <w:t>Repatriation Medical Authority</w:t>
      </w:r>
    </w:p>
    <w:p w14:paraId="7B9776E3" w14:textId="77777777" w:rsidR="00614DF1" w:rsidRPr="00C52668" w:rsidRDefault="00614DF1" w:rsidP="00757EA5">
      <w:pPr>
        <w:keepNext/>
        <w:keepLines/>
        <w:ind w:left="567"/>
        <w:jc w:val="both"/>
        <w:rPr>
          <w:rFonts w:ascii="Arial" w:hAnsi="Arial" w:cs="Arial"/>
          <w:sz w:val="22"/>
          <w:szCs w:val="22"/>
        </w:rPr>
      </w:pPr>
    </w:p>
    <w:p w14:paraId="7CB8D540" w14:textId="3DC136F3" w:rsidR="00614DF1" w:rsidRPr="00152FDD" w:rsidRDefault="00070D2E" w:rsidP="00757EA5">
      <w:pPr>
        <w:keepNext/>
        <w:keepLines/>
        <w:ind w:left="567"/>
        <w:jc w:val="both"/>
      </w:pPr>
      <w:r>
        <w:rPr>
          <w:rFonts w:ascii="Arial" w:hAnsi="Arial" w:cs="Arial"/>
          <w:sz w:val="22"/>
          <w:szCs w:val="22"/>
        </w:rPr>
        <w:t>23 April 2021</w:t>
      </w:r>
    </w:p>
    <w:p w14:paraId="59DA02F1" w14:textId="77777777" w:rsidR="00152FDD" w:rsidRPr="00614DF1" w:rsidRDefault="00152FDD" w:rsidP="00757EA5">
      <w:pPr>
        <w:keepNext/>
        <w:keepLines/>
      </w:pPr>
    </w:p>
    <w:sectPr w:rsidR="00152FDD" w:rsidRPr="00614DF1" w:rsidSect="00345222">
      <w:footerReference w:type="even" r:id="rId14"/>
      <w:footerReference w:type="default" r:id="rId15"/>
      <w:footerReference w:type="first" r:id="rId16"/>
      <w:pgSz w:w="11907" w:h="16840" w:code="9"/>
      <w:pgMar w:top="1361" w:right="1247" w:bottom="1418" w:left="1247"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66B7" w14:textId="77777777" w:rsidR="001F5941" w:rsidRDefault="001F5941">
      <w:r>
        <w:separator/>
      </w:r>
    </w:p>
  </w:endnote>
  <w:endnote w:type="continuationSeparator" w:id="0">
    <w:p w14:paraId="1AB2DEA2" w14:textId="77777777" w:rsidR="001F5941" w:rsidRDefault="001F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7BD7" w14:textId="77777777" w:rsidR="00614DF1" w:rsidRDefault="00614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76AC9FE6" w14:textId="77777777" w:rsidR="00614DF1" w:rsidRDefault="00614D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4B2D" w14:textId="47645F9E" w:rsidR="00614DF1" w:rsidRDefault="00614DF1" w:rsidP="005121CA">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sidR="00A873B9">
      <w:rPr>
        <w:rFonts w:ascii="Arial" w:hAnsi="Arial" w:cs="Arial"/>
        <w:sz w:val="14"/>
        <w:szCs w:val="14"/>
      </w:rPr>
      <w:t>Decision not to amend</w:t>
    </w:r>
    <w:r w:rsidRPr="00C52668">
      <w:rPr>
        <w:rFonts w:ascii="Arial" w:hAnsi="Arial" w:cs="Arial"/>
        <w:sz w:val="14"/>
        <w:szCs w:val="14"/>
      </w:rPr>
      <w:t xml:space="preserve"> Statement</w:t>
    </w:r>
    <w:r w:rsidR="00C90309">
      <w:rPr>
        <w:rFonts w:ascii="Arial" w:hAnsi="Arial" w:cs="Arial"/>
        <w:sz w:val="14"/>
        <w:szCs w:val="14"/>
      </w:rPr>
      <w:t>s</w:t>
    </w:r>
    <w:r w:rsidRPr="00C52668">
      <w:rPr>
        <w:rFonts w:ascii="Arial" w:hAnsi="Arial" w:cs="Arial"/>
        <w:sz w:val="14"/>
        <w:szCs w:val="14"/>
      </w:rPr>
      <w:t xml:space="preserve"> of Principles concerning </w:t>
    </w:r>
    <w:r w:rsidR="00A873B9">
      <w:rPr>
        <w:rFonts w:ascii="Arial" w:hAnsi="Arial" w:cs="Arial"/>
        <w:sz w:val="14"/>
        <w:szCs w:val="14"/>
      </w:rPr>
      <w:t>malignant neoplasm of the breast</w:t>
    </w:r>
    <w:r>
      <w:rPr>
        <w:rFonts w:ascii="Arial" w:hAnsi="Arial" w:cs="Arial"/>
        <w:sz w:val="14"/>
        <w:szCs w:val="14"/>
      </w:rPr>
      <w:t xml:space="preserve"> No</w:t>
    </w:r>
    <w:r w:rsidR="00AD04E1">
      <w:rPr>
        <w:rFonts w:ascii="Arial" w:hAnsi="Arial" w:cs="Arial"/>
        <w:sz w:val="14"/>
        <w:szCs w:val="14"/>
      </w:rPr>
      <w:t>s</w:t>
    </w:r>
    <w:r>
      <w:rPr>
        <w:rFonts w:ascii="Arial" w:hAnsi="Arial" w:cs="Arial"/>
        <w:sz w:val="14"/>
        <w:szCs w:val="14"/>
      </w:rPr>
      <w:t xml:space="preserve">. </w:t>
    </w:r>
    <w:r w:rsidR="00A873B9">
      <w:rPr>
        <w:rFonts w:ascii="Arial" w:hAnsi="Arial" w:cs="Arial"/>
        <w:sz w:val="14"/>
        <w:szCs w:val="14"/>
      </w:rPr>
      <w:t>96</w:t>
    </w:r>
    <w:r w:rsidR="00AD04E1">
      <w:rPr>
        <w:rFonts w:ascii="Arial" w:hAnsi="Arial" w:cs="Arial"/>
        <w:sz w:val="14"/>
        <w:szCs w:val="14"/>
      </w:rPr>
      <w:t xml:space="preserve"> and </w:t>
    </w:r>
    <w:r w:rsidR="00A873B9">
      <w:rPr>
        <w:rFonts w:ascii="Arial" w:hAnsi="Arial" w:cs="Arial"/>
        <w:sz w:val="14"/>
        <w:szCs w:val="14"/>
      </w:rPr>
      <w:t>97</w:t>
    </w:r>
    <w:r w:rsidR="00C90309">
      <w:rPr>
        <w:rFonts w:ascii="Arial" w:hAnsi="Arial" w:cs="Arial"/>
        <w:sz w:val="14"/>
        <w:szCs w:val="14"/>
      </w:rPr>
      <w:t xml:space="preserve"> of 201</w:t>
    </w:r>
    <w:r w:rsidR="00A873B9">
      <w:rPr>
        <w:rFonts w:ascii="Arial" w:hAnsi="Arial" w:cs="Arial"/>
        <w:sz w:val="14"/>
        <w:szCs w:val="14"/>
      </w:rPr>
      <w:t>4</w:t>
    </w:r>
  </w:p>
  <w:p w14:paraId="4F4CC6C7" w14:textId="2182768D" w:rsidR="00614DF1" w:rsidRDefault="00614DF1" w:rsidP="005121CA">
    <w:pPr>
      <w:pStyle w:val="Footer"/>
      <w:ind w:right="360"/>
      <w:jc w:val="center"/>
      <w:rPr>
        <w:szCs w:val="18"/>
      </w:rPr>
    </w:pPr>
    <w:r w:rsidRPr="00195FE5">
      <w:rPr>
        <w:rFonts w:ascii="Arial" w:hAnsi="Arial" w:cs="Arial"/>
        <w:sz w:val="14"/>
        <w:szCs w:val="14"/>
      </w:rPr>
      <w:t xml:space="preserve">Page </w:t>
    </w:r>
    <w:r w:rsidRPr="00195FE5">
      <w:rPr>
        <w:rStyle w:val="PageNumber"/>
        <w:rFonts w:ascii="Arial" w:hAnsi="Arial" w:cs="Arial"/>
        <w:sz w:val="14"/>
        <w:szCs w:val="14"/>
      </w:rPr>
      <w:fldChar w:fldCharType="begin"/>
    </w:r>
    <w:r w:rsidRPr="00195FE5">
      <w:rPr>
        <w:rStyle w:val="PageNumber"/>
        <w:rFonts w:ascii="Arial" w:hAnsi="Arial" w:cs="Arial"/>
        <w:sz w:val="14"/>
        <w:szCs w:val="14"/>
      </w:rPr>
      <w:instrText xml:space="preserve"> PAGE </w:instrText>
    </w:r>
    <w:r w:rsidRPr="00195FE5">
      <w:rPr>
        <w:rStyle w:val="PageNumber"/>
        <w:rFonts w:ascii="Arial" w:hAnsi="Arial" w:cs="Arial"/>
        <w:sz w:val="14"/>
        <w:szCs w:val="14"/>
      </w:rPr>
      <w:fldChar w:fldCharType="separate"/>
    </w:r>
    <w:r w:rsidR="00240209">
      <w:rPr>
        <w:rStyle w:val="PageNumber"/>
        <w:rFonts w:ascii="Arial" w:hAnsi="Arial" w:cs="Arial"/>
        <w:noProof/>
        <w:sz w:val="14"/>
        <w:szCs w:val="14"/>
      </w:rPr>
      <w:t>2</w:t>
    </w:r>
    <w:r w:rsidRPr="00195FE5">
      <w:rPr>
        <w:rStyle w:val="PageNumber"/>
        <w:rFonts w:ascii="Arial" w:hAnsi="Arial" w:cs="Arial"/>
        <w:sz w:val="14"/>
        <w:szCs w:val="14"/>
      </w:rPr>
      <w:fldChar w:fldCharType="end"/>
    </w:r>
    <w:r w:rsidRPr="00195FE5">
      <w:rPr>
        <w:rStyle w:val="PageNumber"/>
        <w:rFonts w:ascii="Arial" w:hAnsi="Arial" w:cs="Arial"/>
        <w:sz w:val="14"/>
        <w:szCs w:val="14"/>
      </w:rPr>
      <w:t xml:space="preserve"> of </w:t>
    </w:r>
    <w:r w:rsidRPr="00195FE5">
      <w:rPr>
        <w:rStyle w:val="PageNumber"/>
        <w:rFonts w:ascii="Arial" w:hAnsi="Arial" w:cs="Arial"/>
        <w:sz w:val="14"/>
        <w:szCs w:val="14"/>
      </w:rPr>
      <w:fldChar w:fldCharType="begin"/>
    </w:r>
    <w:r w:rsidRPr="00195FE5">
      <w:rPr>
        <w:rStyle w:val="PageNumber"/>
        <w:rFonts w:ascii="Arial" w:hAnsi="Arial" w:cs="Arial"/>
        <w:sz w:val="14"/>
        <w:szCs w:val="14"/>
      </w:rPr>
      <w:instrText xml:space="preserve"> NUMPAGES </w:instrText>
    </w:r>
    <w:r w:rsidRPr="00195FE5">
      <w:rPr>
        <w:rStyle w:val="PageNumber"/>
        <w:rFonts w:ascii="Arial" w:hAnsi="Arial" w:cs="Arial"/>
        <w:sz w:val="14"/>
        <w:szCs w:val="14"/>
      </w:rPr>
      <w:fldChar w:fldCharType="separate"/>
    </w:r>
    <w:r w:rsidR="00240209">
      <w:rPr>
        <w:rStyle w:val="PageNumber"/>
        <w:rFonts w:ascii="Arial" w:hAnsi="Arial" w:cs="Arial"/>
        <w:noProof/>
        <w:sz w:val="14"/>
        <w:szCs w:val="14"/>
      </w:rPr>
      <w:t>9</w:t>
    </w:r>
    <w:r w:rsidRPr="00195FE5">
      <w:rPr>
        <w:rStyle w:val="PageNumber"/>
        <w:rFonts w:ascii="Arial" w:hAnsi="Arial" w:cs="Arial"/>
        <w:sz w:val="14"/>
        <w:szCs w:val="14"/>
      </w:rPr>
      <w:fldChar w:fldCharType="end"/>
    </w:r>
  </w:p>
  <w:p w14:paraId="4F729A6E" w14:textId="77777777" w:rsidR="00614DF1" w:rsidRPr="004E2D4D" w:rsidRDefault="00614DF1" w:rsidP="00DA2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5322" w14:textId="77777777" w:rsidR="00614DF1" w:rsidRDefault="00614DF1">
    <w:pPr>
      <w:pStyle w:val="Footer"/>
      <w:tabs>
        <w:tab w:val="right" w:pos="8640"/>
      </w:tabs>
    </w:pPr>
    <w:r>
      <w:tab/>
    </w:r>
  </w:p>
  <w:p w14:paraId="1B0C0F27" w14:textId="77777777" w:rsidR="00614DF1" w:rsidRPr="004E2D4D" w:rsidRDefault="00614DF1" w:rsidP="00DA2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1400" w14:textId="77777777" w:rsidR="002201AA" w:rsidRDefault="005472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890663" w14:textId="77777777" w:rsidR="002201AA" w:rsidRDefault="002201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3DE7" w14:textId="5BB5DC54" w:rsidR="005121CA" w:rsidRPr="00C90309" w:rsidRDefault="00A873B9" w:rsidP="00C90309">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Pr>
        <w:rFonts w:ascii="Arial" w:hAnsi="Arial" w:cs="Arial"/>
        <w:sz w:val="14"/>
        <w:szCs w:val="14"/>
      </w:rPr>
      <w:t>Decision not to amend</w:t>
    </w:r>
    <w:r w:rsidRPr="00C52668">
      <w:rPr>
        <w:rFonts w:ascii="Arial" w:hAnsi="Arial" w:cs="Arial"/>
        <w:sz w:val="14"/>
        <w:szCs w:val="14"/>
      </w:rPr>
      <w:t xml:space="preserve"> Statement</w:t>
    </w:r>
    <w:r>
      <w:rPr>
        <w:rFonts w:ascii="Arial" w:hAnsi="Arial" w:cs="Arial"/>
        <w:sz w:val="14"/>
        <w:szCs w:val="14"/>
      </w:rPr>
      <w:t>s</w:t>
    </w:r>
    <w:r w:rsidRPr="00C52668">
      <w:rPr>
        <w:rFonts w:ascii="Arial" w:hAnsi="Arial" w:cs="Arial"/>
        <w:sz w:val="14"/>
        <w:szCs w:val="14"/>
      </w:rPr>
      <w:t xml:space="preserve"> of Principles concerning </w:t>
    </w:r>
    <w:r>
      <w:rPr>
        <w:rFonts w:ascii="Arial" w:hAnsi="Arial" w:cs="Arial"/>
        <w:sz w:val="14"/>
        <w:szCs w:val="14"/>
      </w:rPr>
      <w:t>malignant neoplasm of the breast Nos. 96 and 97</w:t>
    </w:r>
    <w:r w:rsidR="00070D2E">
      <w:rPr>
        <w:rFonts w:ascii="Arial" w:hAnsi="Arial" w:cs="Arial"/>
        <w:sz w:val="14"/>
        <w:szCs w:val="14"/>
      </w:rPr>
      <w:t xml:space="preserve"> of 2014</w:t>
    </w:r>
  </w:p>
  <w:p w14:paraId="5A11B955" w14:textId="146D18B8" w:rsidR="002201AA" w:rsidRDefault="00BC279C">
    <w:pPr>
      <w:pStyle w:val="Footer"/>
      <w:jc w:val="center"/>
      <w:rPr>
        <w:sz w:val="20"/>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0209">
      <w:rPr>
        <w:rStyle w:val="PageNumber"/>
        <w:rFonts w:ascii="Arial" w:hAnsi="Arial" w:cs="Arial"/>
        <w:noProof/>
        <w:sz w:val="16"/>
        <w:szCs w:val="16"/>
      </w:rPr>
      <w:t>9</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240209">
      <w:rPr>
        <w:rStyle w:val="PageNumber"/>
        <w:rFonts w:ascii="Arial" w:hAnsi="Arial" w:cs="Arial"/>
        <w:noProof/>
        <w:sz w:val="16"/>
        <w:szCs w:val="16"/>
      </w:rPr>
      <w:t>9</w:t>
    </w:r>
    <w:r>
      <w:rPr>
        <w:rStyle w:val="PageNumber"/>
        <w:rFonts w:ascii="Arial" w:hAnsi="Arial" w:cs="Arial"/>
        <w:sz w:val="16"/>
        <w:szCs w:val="16"/>
      </w:rPr>
      <w:fldChar w:fldCharType="end"/>
    </w:r>
    <w:r>
      <w:rPr>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F9F6C" w14:textId="17A232CE" w:rsidR="00C90309" w:rsidRDefault="00A873B9" w:rsidP="00C90309">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Pr>
        <w:rFonts w:ascii="Arial" w:hAnsi="Arial" w:cs="Arial"/>
        <w:sz w:val="14"/>
        <w:szCs w:val="14"/>
      </w:rPr>
      <w:t>Decision not to amend</w:t>
    </w:r>
    <w:r w:rsidRPr="00C52668">
      <w:rPr>
        <w:rFonts w:ascii="Arial" w:hAnsi="Arial" w:cs="Arial"/>
        <w:sz w:val="14"/>
        <w:szCs w:val="14"/>
      </w:rPr>
      <w:t xml:space="preserve"> Statement</w:t>
    </w:r>
    <w:r>
      <w:rPr>
        <w:rFonts w:ascii="Arial" w:hAnsi="Arial" w:cs="Arial"/>
        <w:sz w:val="14"/>
        <w:szCs w:val="14"/>
      </w:rPr>
      <w:t>s</w:t>
    </w:r>
    <w:r w:rsidRPr="00C52668">
      <w:rPr>
        <w:rFonts w:ascii="Arial" w:hAnsi="Arial" w:cs="Arial"/>
        <w:sz w:val="14"/>
        <w:szCs w:val="14"/>
      </w:rPr>
      <w:t xml:space="preserve"> of Principles concerning </w:t>
    </w:r>
    <w:r>
      <w:rPr>
        <w:rFonts w:ascii="Arial" w:hAnsi="Arial" w:cs="Arial"/>
        <w:sz w:val="14"/>
        <w:szCs w:val="14"/>
      </w:rPr>
      <w:t>malignant neoplasm of the breast Nos. 96 and 97 of 2014</w:t>
    </w:r>
  </w:p>
  <w:p w14:paraId="1E101BF1" w14:textId="007AB672" w:rsidR="002201AA" w:rsidRDefault="00BC279C" w:rsidP="005121CA">
    <w:pPr>
      <w:pStyle w:val="Footer"/>
      <w:jc w:val="center"/>
      <w:rPr>
        <w:sz w:val="20"/>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40209">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240209">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5EDD5" w14:textId="77777777" w:rsidR="001F5941" w:rsidRDefault="001F5941">
      <w:r>
        <w:separator/>
      </w:r>
    </w:p>
  </w:footnote>
  <w:footnote w:type="continuationSeparator" w:id="0">
    <w:p w14:paraId="2AABA4E7" w14:textId="77777777" w:rsidR="001F5941" w:rsidRDefault="001F5941">
      <w:r>
        <w:continuationSeparator/>
      </w:r>
    </w:p>
  </w:footnote>
  <w:footnote w:id="1">
    <w:p w14:paraId="370D1CE3" w14:textId="5326AB55" w:rsidR="0002096B" w:rsidRDefault="0002096B">
      <w:pPr>
        <w:pStyle w:val="FootnoteText"/>
      </w:pPr>
      <w:r>
        <w:rPr>
          <w:rStyle w:val="FootnoteReference"/>
        </w:rPr>
        <w:footnoteRef/>
      </w:r>
      <w:r>
        <w:t xml:space="preserve"> I</w:t>
      </w:r>
      <w:r w:rsidRPr="0002096B">
        <w:t xml:space="preserve">t not otherwise being an application within </w:t>
      </w:r>
      <w:r>
        <w:t xml:space="preserve">either </w:t>
      </w:r>
      <w:r w:rsidRPr="0002096B">
        <w:t>subsection 196C(4) or section 196CA</w:t>
      </w:r>
      <w:r>
        <w:t xml:space="preserve"> of the VEA</w:t>
      </w:r>
      <w:r w:rsidRPr="000209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538"/>
    <w:multiLevelType w:val="hybridMultilevel"/>
    <w:tmpl w:val="7C6480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0716E7B"/>
    <w:multiLevelType w:val="hybridMultilevel"/>
    <w:tmpl w:val="880472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5F50C2E"/>
    <w:multiLevelType w:val="hybridMultilevel"/>
    <w:tmpl w:val="DA36047C"/>
    <w:lvl w:ilvl="0" w:tplc="AEAC6E0C">
      <w:start w:val="11"/>
      <w:numFmt w:val="decimal"/>
      <w:lvlText w:val="%1."/>
      <w:lvlJc w:val="left"/>
      <w:pPr>
        <w:ind w:left="121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D485C"/>
    <w:multiLevelType w:val="hybridMultilevel"/>
    <w:tmpl w:val="5E38ECCC"/>
    <w:lvl w:ilvl="0" w:tplc="0C090003">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04248D0"/>
    <w:multiLevelType w:val="multilevel"/>
    <w:tmpl w:val="68D4FB4C"/>
    <w:lvl w:ilvl="0">
      <w:start w:val="1"/>
      <w:numFmt w:val="decimal"/>
      <w:lvlText w:val="%1."/>
      <w:lvlJc w:val="left"/>
      <w:pPr>
        <w:tabs>
          <w:tab w:val="num" w:pos="567"/>
        </w:tabs>
        <w:ind w:left="567" w:hanging="567"/>
      </w:pPr>
      <w:rPr>
        <w:rFonts w:cs="Times New Roman" w:hint="default"/>
        <w:b w:val="0"/>
      </w:rPr>
    </w:lvl>
    <w:lvl w:ilvl="1">
      <w:start w:val="1"/>
      <w:numFmt w:val="bullet"/>
      <w:lvlText w:val=""/>
      <w:lvlJc w:val="left"/>
      <w:pPr>
        <w:tabs>
          <w:tab w:val="num" w:pos="927"/>
        </w:tabs>
        <w:ind w:left="927" w:hanging="360"/>
      </w:pPr>
      <w:rPr>
        <w:rFonts w:ascii="Symbol" w:hAnsi="Symbol" w:hint="default"/>
      </w:rPr>
    </w:lvl>
    <w:lvl w:ilvl="2">
      <w:start w:val="1"/>
      <w:numFmt w:val="lowerLetter"/>
      <w:lvlText w:val="(%3)"/>
      <w:lvlJc w:val="left"/>
      <w:pPr>
        <w:tabs>
          <w:tab w:val="num" w:pos="1494"/>
        </w:tabs>
        <w:ind w:left="1494" w:hanging="360"/>
      </w:pPr>
      <w:rPr>
        <w:rFonts w:cs="Times New Roman" w:hint="default"/>
      </w:rPr>
    </w:lvl>
    <w:lvl w:ilvl="3">
      <w:start w:val="1"/>
      <w:numFmt w:val="decimal"/>
      <w:lvlText w:val="%1.%2.%3.%4."/>
      <w:lvlJc w:val="left"/>
      <w:pPr>
        <w:tabs>
          <w:tab w:val="num" w:pos="2835"/>
        </w:tabs>
        <w:ind w:left="2835" w:hanging="851"/>
      </w:pPr>
      <w:rPr>
        <w:rFonts w:cs="Times New Roman" w:hint="default"/>
      </w:rPr>
    </w:lvl>
    <w:lvl w:ilvl="4">
      <w:start w:val="1"/>
      <w:numFmt w:val="decimal"/>
      <w:lvlText w:val="%1.%2.%3.%4.%5."/>
      <w:lvlJc w:val="left"/>
      <w:pPr>
        <w:tabs>
          <w:tab w:val="num" w:pos="3969"/>
        </w:tabs>
        <w:ind w:left="3969" w:hanging="1134"/>
      </w:pPr>
      <w:rPr>
        <w:rFonts w:cs="Times New Roman" w:hint="default"/>
      </w:rPr>
    </w:lvl>
    <w:lvl w:ilvl="5">
      <w:start w:val="1"/>
      <w:numFmt w:val="decimal"/>
      <w:lvlText w:val="%1.%2.%3.%4.%5.%6."/>
      <w:lvlJc w:val="left"/>
      <w:pPr>
        <w:tabs>
          <w:tab w:val="num" w:pos="5102"/>
        </w:tabs>
        <w:ind w:left="5102" w:hanging="1133"/>
      </w:pPr>
      <w:rPr>
        <w:rFonts w:cs="Times New Roman" w:hint="default"/>
      </w:rPr>
    </w:lvl>
    <w:lvl w:ilvl="6">
      <w:start w:val="1"/>
      <w:numFmt w:val="decimal"/>
      <w:lvlText w:val="%1.%2.%3.%4.%5.%6.%7."/>
      <w:lvlJc w:val="left"/>
      <w:pPr>
        <w:tabs>
          <w:tab w:val="num" w:pos="6236"/>
        </w:tabs>
        <w:ind w:left="6236" w:hanging="1134"/>
      </w:pPr>
      <w:rPr>
        <w:rFonts w:cs="Times New Roman" w:hint="default"/>
      </w:rPr>
    </w:lvl>
    <w:lvl w:ilvl="7">
      <w:start w:val="1"/>
      <w:numFmt w:val="decimal"/>
      <w:lvlText w:val="%1.%2.%3.%4.%5.%6.%7.%8."/>
      <w:lvlJc w:val="left"/>
      <w:pPr>
        <w:tabs>
          <w:tab w:val="num" w:pos="7370"/>
        </w:tabs>
        <w:ind w:left="7370" w:hanging="1134"/>
      </w:pPr>
      <w:rPr>
        <w:rFonts w:cs="Times New Roman" w:hint="default"/>
      </w:rPr>
    </w:lvl>
    <w:lvl w:ilvl="8">
      <w:start w:val="1"/>
      <w:numFmt w:val="decimal"/>
      <w:lvlText w:val="%1.%2.%3.%4.%5.%6.%7.%8.%9."/>
      <w:lvlJc w:val="left"/>
      <w:pPr>
        <w:tabs>
          <w:tab w:val="num" w:pos="7370"/>
        </w:tabs>
        <w:ind w:left="7370" w:hanging="1134"/>
      </w:pPr>
      <w:rPr>
        <w:rFonts w:cs="Times New Roman" w:hint="default"/>
      </w:rPr>
    </w:lvl>
  </w:abstractNum>
  <w:abstractNum w:abstractNumId="5" w15:restartNumberingAfterBreak="0">
    <w:nsid w:val="2A331D63"/>
    <w:multiLevelType w:val="hybridMultilevel"/>
    <w:tmpl w:val="0DF010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8C94318"/>
    <w:multiLevelType w:val="hybridMultilevel"/>
    <w:tmpl w:val="F414652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A1E5050"/>
    <w:multiLevelType w:val="hybridMultilevel"/>
    <w:tmpl w:val="7DC0C166"/>
    <w:lvl w:ilvl="0" w:tplc="D6A4FB8A">
      <w:start w:val="3"/>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8" w15:restartNumberingAfterBreak="0">
    <w:nsid w:val="53FD4BC6"/>
    <w:multiLevelType w:val="multilevel"/>
    <w:tmpl w:val="920E9568"/>
    <w:name w:val="AGSPart"/>
    <w:lvl w:ilvl="0">
      <w:start w:val="1"/>
      <w:numFmt w:val="upperRoman"/>
      <w:pStyle w:val="PartHeading"/>
      <w:lvlText w:val="Part  %1"/>
      <w:lvlJc w:val="left"/>
      <w:pPr>
        <w:tabs>
          <w:tab w:val="num" w:pos="1134"/>
        </w:tabs>
        <w:ind w:left="1134" w:hanging="113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E7A4839"/>
    <w:multiLevelType w:val="hybridMultilevel"/>
    <w:tmpl w:val="1374C44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6040460F"/>
    <w:multiLevelType w:val="hybridMultilevel"/>
    <w:tmpl w:val="035AD1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67E46922"/>
    <w:multiLevelType w:val="hybridMultilevel"/>
    <w:tmpl w:val="F11A194A"/>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0035D0"/>
    <w:multiLevelType w:val="multilevel"/>
    <w:tmpl w:val="218C610A"/>
    <w:lvl w:ilvl="0">
      <w:start w:val="1"/>
      <w:numFmt w:val="decimal"/>
      <w:lvlText w:val="%1."/>
      <w:lvlJc w:val="left"/>
      <w:pPr>
        <w:tabs>
          <w:tab w:val="num" w:pos="567"/>
        </w:tabs>
        <w:ind w:left="567" w:hanging="567"/>
      </w:pPr>
      <w:rPr>
        <w:rFonts w:cs="Times New Roman" w:hint="default"/>
        <w:b w:val="0"/>
      </w:rPr>
    </w:lvl>
    <w:lvl w:ilvl="1">
      <w:start w:val="1"/>
      <w:numFmt w:val="bullet"/>
      <w:lvlText w:val=""/>
      <w:lvlJc w:val="left"/>
      <w:pPr>
        <w:tabs>
          <w:tab w:val="num" w:pos="927"/>
        </w:tabs>
        <w:ind w:left="927" w:hanging="360"/>
      </w:pPr>
      <w:rPr>
        <w:rFonts w:ascii="Symbol" w:hAnsi="Symbol" w:hint="default"/>
      </w:rPr>
    </w:lvl>
    <w:lvl w:ilvl="2">
      <w:start w:val="1"/>
      <w:numFmt w:val="lowerLetter"/>
      <w:lvlText w:val="(%3)"/>
      <w:lvlJc w:val="left"/>
      <w:pPr>
        <w:tabs>
          <w:tab w:val="num" w:pos="1494"/>
        </w:tabs>
        <w:ind w:left="1494" w:hanging="360"/>
      </w:pPr>
      <w:rPr>
        <w:rFonts w:cs="Times New Roman" w:hint="default"/>
      </w:rPr>
    </w:lvl>
    <w:lvl w:ilvl="3">
      <w:start w:val="1"/>
      <w:numFmt w:val="decimal"/>
      <w:lvlText w:val="%1.%2.%3.%4."/>
      <w:lvlJc w:val="left"/>
      <w:pPr>
        <w:tabs>
          <w:tab w:val="num" w:pos="2835"/>
        </w:tabs>
        <w:ind w:left="2835" w:hanging="851"/>
      </w:pPr>
      <w:rPr>
        <w:rFonts w:cs="Times New Roman" w:hint="default"/>
      </w:rPr>
    </w:lvl>
    <w:lvl w:ilvl="4">
      <w:start w:val="1"/>
      <w:numFmt w:val="decimal"/>
      <w:lvlText w:val="%1.%2.%3.%4.%5."/>
      <w:lvlJc w:val="left"/>
      <w:pPr>
        <w:tabs>
          <w:tab w:val="num" w:pos="3969"/>
        </w:tabs>
        <w:ind w:left="3969" w:hanging="1134"/>
      </w:pPr>
      <w:rPr>
        <w:rFonts w:cs="Times New Roman" w:hint="default"/>
      </w:rPr>
    </w:lvl>
    <w:lvl w:ilvl="5">
      <w:start w:val="1"/>
      <w:numFmt w:val="decimal"/>
      <w:lvlText w:val="%1.%2.%3.%4.%5.%6."/>
      <w:lvlJc w:val="left"/>
      <w:pPr>
        <w:tabs>
          <w:tab w:val="num" w:pos="5102"/>
        </w:tabs>
        <w:ind w:left="5102" w:hanging="1133"/>
      </w:pPr>
      <w:rPr>
        <w:rFonts w:cs="Times New Roman" w:hint="default"/>
      </w:rPr>
    </w:lvl>
    <w:lvl w:ilvl="6">
      <w:start w:val="1"/>
      <w:numFmt w:val="decimal"/>
      <w:lvlText w:val="%1.%2.%3.%4.%5.%6.%7."/>
      <w:lvlJc w:val="left"/>
      <w:pPr>
        <w:tabs>
          <w:tab w:val="num" w:pos="6236"/>
        </w:tabs>
        <w:ind w:left="6236" w:hanging="1134"/>
      </w:pPr>
      <w:rPr>
        <w:rFonts w:cs="Times New Roman" w:hint="default"/>
      </w:rPr>
    </w:lvl>
    <w:lvl w:ilvl="7">
      <w:start w:val="1"/>
      <w:numFmt w:val="decimal"/>
      <w:lvlText w:val="%1.%2.%3.%4.%5.%6.%7.%8."/>
      <w:lvlJc w:val="left"/>
      <w:pPr>
        <w:tabs>
          <w:tab w:val="num" w:pos="7370"/>
        </w:tabs>
        <w:ind w:left="7370" w:hanging="1134"/>
      </w:pPr>
      <w:rPr>
        <w:rFonts w:cs="Times New Roman" w:hint="default"/>
      </w:rPr>
    </w:lvl>
    <w:lvl w:ilvl="8">
      <w:start w:val="1"/>
      <w:numFmt w:val="decimal"/>
      <w:lvlText w:val="%1.%2.%3.%4.%5.%6.%7.%8.%9."/>
      <w:lvlJc w:val="left"/>
      <w:pPr>
        <w:tabs>
          <w:tab w:val="num" w:pos="7370"/>
        </w:tabs>
        <w:ind w:left="7370" w:hanging="1134"/>
      </w:pPr>
      <w:rPr>
        <w:rFonts w:cs="Times New Roman" w:hint="default"/>
      </w:rPr>
    </w:lvl>
  </w:abstractNum>
  <w:abstractNum w:abstractNumId="13" w15:restartNumberingAfterBreak="0">
    <w:nsid w:val="74B76FC9"/>
    <w:multiLevelType w:val="hybridMultilevel"/>
    <w:tmpl w:val="81FE6D14"/>
    <w:lvl w:ilvl="0" w:tplc="0C090003">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6336616"/>
    <w:multiLevelType w:val="hybridMultilevel"/>
    <w:tmpl w:val="3544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1"/>
  </w:num>
  <w:num w:numId="6">
    <w:abstractNumId w:val="5"/>
  </w:num>
  <w:num w:numId="7">
    <w:abstractNumId w:val="9"/>
  </w:num>
  <w:num w:numId="8">
    <w:abstractNumId w:val="13"/>
  </w:num>
  <w:num w:numId="9">
    <w:abstractNumId w:val="3"/>
  </w:num>
  <w:num w:numId="10">
    <w:abstractNumId w:val="11"/>
  </w:num>
  <w:num w:numId="11">
    <w:abstractNumId w:val="0"/>
  </w:num>
  <w:num w:numId="12">
    <w:abstractNumId w:val="10"/>
  </w:num>
  <w:num w:numId="13">
    <w:abstractNumId w:val="2"/>
  </w:num>
  <w:num w:numId="14">
    <w:abstractNumId w:val="14"/>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E9"/>
    <w:rsid w:val="00013739"/>
    <w:rsid w:val="0002096B"/>
    <w:rsid w:val="000236B4"/>
    <w:rsid w:val="00024CCA"/>
    <w:rsid w:val="0003385F"/>
    <w:rsid w:val="00035F56"/>
    <w:rsid w:val="00052939"/>
    <w:rsid w:val="000647DA"/>
    <w:rsid w:val="00070D2E"/>
    <w:rsid w:val="00074539"/>
    <w:rsid w:val="000811AE"/>
    <w:rsid w:val="00097496"/>
    <w:rsid w:val="0009764E"/>
    <w:rsid w:val="000A2280"/>
    <w:rsid w:val="000A4E16"/>
    <w:rsid w:val="000B1F11"/>
    <w:rsid w:val="000B28B4"/>
    <w:rsid w:val="000B5F3C"/>
    <w:rsid w:val="000C3725"/>
    <w:rsid w:val="000C4761"/>
    <w:rsid w:val="000D2735"/>
    <w:rsid w:val="000E5822"/>
    <w:rsid w:val="0010405A"/>
    <w:rsid w:val="00121DC8"/>
    <w:rsid w:val="00127661"/>
    <w:rsid w:val="0013415A"/>
    <w:rsid w:val="00150C5D"/>
    <w:rsid w:val="00152FDD"/>
    <w:rsid w:val="0016132F"/>
    <w:rsid w:val="001834BD"/>
    <w:rsid w:val="001976D6"/>
    <w:rsid w:val="001A07AC"/>
    <w:rsid w:val="001A1196"/>
    <w:rsid w:val="001A3EB5"/>
    <w:rsid w:val="001A5593"/>
    <w:rsid w:val="001A5EBA"/>
    <w:rsid w:val="001C551B"/>
    <w:rsid w:val="001D522E"/>
    <w:rsid w:val="001E5C4A"/>
    <w:rsid w:val="001F5941"/>
    <w:rsid w:val="0021377B"/>
    <w:rsid w:val="002201AA"/>
    <w:rsid w:val="00230E5D"/>
    <w:rsid w:val="00234B85"/>
    <w:rsid w:val="00240209"/>
    <w:rsid w:val="002417D5"/>
    <w:rsid w:val="00246CB5"/>
    <w:rsid w:val="00246EC9"/>
    <w:rsid w:val="00292A7B"/>
    <w:rsid w:val="002A4870"/>
    <w:rsid w:val="002A790A"/>
    <w:rsid w:val="002B09B0"/>
    <w:rsid w:val="002B0EF2"/>
    <w:rsid w:val="002D6021"/>
    <w:rsid w:val="002E7F66"/>
    <w:rsid w:val="0030712C"/>
    <w:rsid w:val="00344A64"/>
    <w:rsid w:val="00344FD2"/>
    <w:rsid w:val="00345222"/>
    <w:rsid w:val="003652D8"/>
    <w:rsid w:val="00376BF8"/>
    <w:rsid w:val="00383E45"/>
    <w:rsid w:val="003A1454"/>
    <w:rsid w:val="003A6796"/>
    <w:rsid w:val="003D61B0"/>
    <w:rsid w:val="003E4E98"/>
    <w:rsid w:val="003F2CA2"/>
    <w:rsid w:val="00422E0B"/>
    <w:rsid w:val="00426D15"/>
    <w:rsid w:val="00436AF7"/>
    <w:rsid w:val="00437AB9"/>
    <w:rsid w:val="00446841"/>
    <w:rsid w:val="00460448"/>
    <w:rsid w:val="0046747F"/>
    <w:rsid w:val="00467686"/>
    <w:rsid w:val="00473E93"/>
    <w:rsid w:val="004A7E72"/>
    <w:rsid w:val="004D03A6"/>
    <w:rsid w:val="004E3CCF"/>
    <w:rsid w:val="004E5ADA"/>
    <w:rsid w:val="00506AC2"/>
    <w:rsid w:val="005121CA"/>
    <w:rsid w:val="00514067"/>
    <w:rsid w:val="00526C97"/>
    <w:rsid w:val="005274D9"/>
    <w:rsid w:val="005276EF"/>
    <w:rsid w:val="00532E19"/>
    <w:rsid w:val="00547248"/>
    <w:rsid w:val="0055140C"/>
    <w:rsid w:val="005841DB"/>
    <w:rsid w:val="005D1CE9"/>
    <w:rsid w:val="005D5C42"/>
    <w:rsid w:val="005E1E76"/>
    <w:rsid w:val="005E30DF"/>
    <w:rsid w:val="005F04AA"/>
    <w:rsid w:val="0060025B"/>
    <w:rsid w:val="00611A93"/>
    <w:rsid w:val="00611CA7"/>
    <w:rsid w:val="00614DF1"/>
    <w:rsid w:val="00636CE2"/>
    <w:rsid w:val="00656788"/>
    <w:rsid w:val="0066407E"/>
    <w:rsid w:val="00667E5C"/>
    <w:rsid w:val="006A32A3"/>
    <w:rsid w:val="006B7B6F"/>
    <w:rsid w:val="006C5062"/>
    <w:rsid w:val="006D368B"/>
    <w:rsid w:val="006D6BFE"/>
    <w:rsid w:val="006F5747"/>
    <w:rsid w:val="00704830"/>
    <w:rsid w:val="00705D73"/>
    <w:rsid w:val="00713FC3"/>
    <w:rsid w:val="007242AD"/>
    <w:rsid w:val="007327C6"/>
    <w:rsid w:val="007375A8"/>
    <w:rsid w:val="0075317B"/>
    <w:rsid w:val="00757EA5"/>
    <w:rsid w:val="0076277D"/>
    <w:rsid w:val="00762A9E"/>
    <w:rsid w:val="007836E9"/>
    <w:rsid w:val="0078556E"/>
    <w:rsid w:val="00785B1D"/>
    <w:rsid w:val="007A0928"/>
    <w:rsid w:val="007C1441"/>
    <w:rsid w:val="007D198D"/>
    <w:rsid w:val="007D53C0"/>
    <w:rsid w:val="007E32C9"/>
    <w:rsid w:val="00806FE8"/>
    <w:rsid w:val="008128F5"/>
    <w:rsid w:val="008172F8"/>
    <w:rsid w:val="00840B22"/>
    <w:rsid w:val="008601CF"/>
    <w:rsid w:val="008623C5"/>
    <w:rsid w:val="00875E46"/>
    <w:rsid w:val="00882E5B"/>
    <w:rsid w:val="008D700E"/>
    <w:rsid w:val="008E26CC"/>
    <w:rsid w:val="008F7BD7"/>
    <w:rsid w:val="00910A7B"/>
    <w:rsid w:val="00925505"/>
    <w:rsid w:val="00936C1B"/>
    <w:rsid w:val="00946ED3"/>
    <w:rsid w:val="0096092D"/>
    <w:rsid w:val="0098263C"/>
    <w:rsid w:val="00991649"/>
    <w:rsid w:val="00997A14"/>
    <w:rsid w:val="009B700F"/>
    <w:rsid w:val="009B7920"/>
    <w:rsid w:val="009C3082"/>
    <w:rsid w:val="009C33B0"/>
    <w:rsid w:val="009D15DE"/>
    <w:rsid w:val="009F043B"/>
    <w:rsid w:val="009F16F0"/>
    <w:rsid w:val="009F341E"/>
    <w:rsid w:val="00A25396"/>
    <w:rsid w:val="00A2622B"/>
    <w:rsid w:val="00A4147F"/>
    <w:rsid w:val="00A42146"/>
    <w:rsid w:val="00A43CAA"/>
    <w:rsid w:val="00A51F97"/>
    <w:rsid w:val="00A570E2"/>
    <w:rsid w:val="00A620B3"/>
    <w:rsid w:val="00A873B9"/>
    <w:rsid w:val="00AC7CDD"/>
    <w:rsid w:val="00AD04E1"/>
    <w:rsid w:val="00AE4992"/>
    <w:rsid w:val="00AF06D8"/>
    <w:rsid w:val="00B01CCA"/>
    <w:rsid w:val="00B04A6B"/>
    <w:rsid w:val="00B20131"/>
    <w:rsid w:val="00B30516"/>
    <w:rsid w:val="00B31BC7"/>
    <w:rsid w:val="00B521A9"/>
    <w:rsid w:val="00B52ACA"/>
    <w:rsid w:val="00B5434A"/>
    <w:rsid w:val="00B54436"/>
    <w:rsid w:val="00B73269"/>
    <w:rsid w:val="00BC279C"/>
    <w:rsid w:val="00BD3C23"/>
    <w:rsid w:val="00BE128F"/>
    <w:rsid w:val="00BE5965"/>
    <w:rsid w:val="00BE702A"/>
    <w:rsid w:val="00BF224E"/>
    <w:rsid w:val="00BF4CF9"/>
    <w:rsid w:val="00C06039"/>
    <w:rsid w:val="00C20F52"/>
    <w:rsid w:val="00C52668"/>
    <w:rsid w:val="00C90309"/>
    <w:rsid w:val="00CA18A8"/>
    <w:rsid w:val="00CA3CDD"/>
    <w:rsid w:val="00CB5CD6"/>
    <w:rsid w:val="00CD0BC8"/>
    <w:rsid w:val="00CD0BE4"/>
    <w:rsid w:val="00CD4EFC"/>
    <w:rsid w:val="00CF3D65"/>
    <w:rsid w:val="00D053AC"/>
    <w:rsid w:val="00D0764C"/>
    <w:rsid w:val="00D159F4"/>
    <w:rsid w:val="00D4185F"/>
    <w:rsid w:val="00D432C9"/>
    <w:rsid w:val="00D45F1B"/>
    <w:rsid w:val="00D46ABF"/>
    <w:rsid w:val="00D55F4B"/>
    <w:rsid w:val="00D91E68"/>
    <w:rsid w:val="00D93525"/>
    <w:rsid w:val="00D95179"/>
    <w:rsid w:val="00D96B81"/>
    <w:rsid w:val="00DC37D8"/>
    <w:rsid w:val="00DC433C"/>
    <w:rsid w:val="00DE656B"/>
    <w:rsid w:val="00DE79B1"/>
    <w:rsid w:val="00DF012E"/>
    <w:rsid w:val="00DF39AA"/>
    <w:rsid w:val="00E02290"/>
    <w:rsid w:val="00E03745"/>
    <w:rsid w:val="00E06DFE"/>
    <w:rsid w:val="00E237D5"/>
    <w:rsid w:val="00E241D0"/>
    <w:rsid w:val="00E37DD4"/>
    <w:rsid w:val="00E4010C"/>
    <w:rsid w:val="00E40225"/>
    <w:rsid w:val="00E45FD9"/>
    <w:rsid w:val="00E54283"/>
    <w:rsid w:val="00E61CAF"/>
    <w:rsid w:val="00E62E31"/>
    <w:rsid w:val="00E9190F"/>
    <w:rsid w:val="00E95106"/>
    <w:rsid w:val="00E95B6C"/>
    <w:rsid w:val="00EC535E"/>
    <w:rsid w:val="00ED2302"/>
    <w:rsid w:val="00ED5D33"/>
    <w:rsid w:val="00EE0A30"/>
    <w:rsid w:val="00EF1C9E"/>
    <w:rsid w:val="00F03308"/>
    <w:rsid w:val="00F0378F"/>
    <w:rsid w:val="00F204BD"/>
    <w:rsid w:val="00F71036"/>
    <w:rsid w:val="00F87EC5"/>
    <w:rsid w:val="00F90A8C"/>
    <w:rsid w:val="00F9589E"/>
    <w:rsid w:val="00F960D6"/>
    <w:rsid w:val="00FA0A06"/>
    <w:rsid w:val="00FA3570"/>
    <w:rsid w:val="00FB1BA5"/>
    <w:rsid w:val="00FF0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399D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both"/>
      <w:outlineLvl w:val="1"/>
    </w:pPr>
    <w:rPr>
      <w:b/>
      <w:sz w:val="28"/>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both"/>
      <w:outlineLvl w:val="5"/>
    </w:pPr>
    <w:rPr>
      <w:b/>
      <w:sz w:val="24"/>
      <w:u w:val="single"/>
    </w:rPr>
  </w:style>
  <w:style w:type="paragraph" w:styleId="Heading7">
    <w:name w:val="heading 7"/>
    <w:basedOn w:val="Normal"/>
    <w:next w:val="Normal"/>
    <w:qFormat/>
    <w:pPr>
      <w:keepNext/>
      <w:ind w:left="851"/>
      <w:jc w:val="both"/>
      <w:outlineLvl w:val="6"/>
    </w:pPr>
    <w:rPr>
      <w:b/>
      <w:i/>
      <w:sz w:val="24"/>
    </w:rPr>
  </w:style>
  <w:style w:type="paragraph" w:styleId="Heading8">
    <w:name w:val="heading 8"/>
    <w:basedOn w:val="Normal"/>
    <w:next w:val="Normal"/>
    <w:qFormat/>
    <w:pPr>
      <w:keepNext/>
      <w:ind w:firstLine="720"/>
      <w:jc w:val="both"/>
      <w:outlineLvl w:val="7"/>
    </w:pPr>
    <w:rPr>
      <w:sz w:val="24"/>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jc w:val="both"/>
    </w:pPr>
    <w:rPr>
      <w:sz w:val="24"/>
    </w:rPr>
  </w:style>
  <w:style w:type="paragraph" w:styleId="BodyText2">
    <w:name w:val="Body Text 2"/>
    <w:basedOn w:val="Normal"/>
    <w:pPr>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jc w:val="both"/>
    </w:pPr>
    <w:rPr>
      <w:sz w:val="24"/>
    </w:rPr>
  </w:style>
  <w:style w:type="paragraph" w:styleId="BodyText3">
    <w:name w:val="Body Text 3"/>
    <w:basedOn w:val="Normal"/>
    <w:rPr>
      <w:strike/>
      <w:sz w:val="24"/>
    </w:rPr>
  </w:style>
  <w:style w:type="paragraph" w:styleId="BodyTextIndent2">
    <w:name w:val="Body Text Indent 2"/>
    <w:basedOn w:val="Normal"/>
    <w:pPr>
      <w:ind w:left="1440" w:hanging="1440"/>
      <w:jc w:val="both"/>
    </w:pPr>
    <w:rPr>
      <w:sz w:val="24"/>
    </w:rPr>
  </w:style>
  <w:style w:type="paragraph" w:styleId="Header">
    <w:name w:val="header"/>
    <w:basedOn w:val="Normal"/>
    <w:pPr>
      <w:tabs>
        <w:tab w:val="center" w:pos="4153"/>
        <w:tab w:val="right" w:pos="8306"/>
      </w:tabs>
    </w:pPr>
    <w:rPr>
      <w:sz w:val="24"/>
    </w:rPr>
  </w:style>
  <w:style w:type="paragraph" w:styleId="Footer">
    <w:name w:val="footer"/>
    <w:basedOn w:val="Normal"/>
    <w:link w:val="FooterChar"/>
    <w:pPr>
      <w:tabs>
        <w:tab w:val="center" w:pos="4153"/>
        <w:tab w:val="right" w:pos="8306"/>
      </w:tabs>
    </w:pPr>
    <w:rPr>
      <w:sz w:val="24"/>
      <w:lang w:val="en-GB"/>
    </w:rPr>
  </w:style>
  <w:style w:type="paragraph" w:styleId="BodyTextIndent3">
    <w:name w:val="Body Text Indent 3"/>
    <w:basedOn w:val="Normal"/>
    <w:pPr>
      <w:ind w:left="1418"/>
    </w:pPr>
    <w:rPr>
      <w:snapToGrid w:val="0"/>
      <w:sz w:val="24"/>
      <w:lang w:eastAsia="en-US"/>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lockquote">
    <w:name w:val="Blockquote"/>
    <w:basedOn w:val="Normal"/>
    <w:pPr>
      <w:spacing w:before="100" w:after="100"/>
      <w:ind w:left="360" w:right="360"/>
    </w:pPr>
    <w:rPr>
      <w:snapToGrid w:val="0"/>
      <w:sz w:val="24"/>
      <w:lang w:eastAsia="en-US"/>
    </w:rPr>
  </w:style>
  <w:style w:type="paragraph" w:styleId="BlockText">
    <w:name w:val="Block Text"/>
    <w:basedOn w:val="Normal"/>
    <w:pPr>
      <w:ind w:left="567" w:right="766"/>
      <w:jc w:val="both"/>
    </w:pPr>
    <w:rPr>
      <w:i/>
      <w:sz w:val="23"/>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NormalIndent">
    <w:name w:val="Normal Indent"/>
    <w:basedOn w:val="Normal"/>
    <w:pPr>
      <w:spacing w:line="240" w:lineRule="atLeast"/>
      <w:ind w:left="720"/>
      <w:jc w:val="both"/>
    </w:pPr>
    <w:rPr>
      <w:sz w:val="26"/>
      <w:lang w:val="en-GB" w:eastAsia="en-US"/>
    </w:rPr>
  </w:style>
  <w:style w:type="paragraph" w:styleId="FootnoteText">
    <w:name w:val="footnote text"/>
    <w:basedOn w:val="Normal"/>
    <w:link w:val="FootnoteTextChar"/>
    <w:semiHidden/>
    <w:rPr>
      <w:rFonts w:ascii="Arial" w:hAnsi="Arial"/>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6B7B6F"/>
    <w:pPr>
      <w:ind w:left="720"/>
      <w:contextualSpacing/>
    </w:pPr>
  </w:style>
  <w:style w:type="character" w:styleId="Strong">
    <w:name w:val="Strong"/>
    <w:basedOn w:val="DefaultParagraphFont"/>
    <w:qFormat/>
    <w:rsid w:val="006B7B6F"/>
    <w:rPr>
      <w:b/>
      <w:bCs/>
    </w:rPr>
  </w:style>
  <w:style w:type="paragraph" w:customStyle="1" w:styleId="Default">
    <w:name w:val="Default"/>
    <w:rsid w:val="009C33B0"/>
    <w:pPr>
      <w:autoSpaceDE w:val="0"/>
      <w:autoSpaceDN w:val="0"/>
      <w:adjustRightInd w:val="0"/>
    </w:pPr>
    <w:rPr>
      <w:color w:val="000000"/>
      <w:sz w:val="24"/>
      <w:szCs w:val="24"/>
    </w:rPr>
  </w:style>
  <w:style w:type="paragraph" w:styleId="TOC3">
    <w:name w:val="toc 3"/>
    <w:basedOn w:val="TOC2"/>
    <w:next w:val="Normal"/>
    <w:autoRedefine/>
    <w:uiPriority w:val="39"/>
    <w:rsid w:val="00C52668"/>
    <w:pPr>
      <w:keepNext/>
      <w:widowControl w:val="0"/>
      <w:tabs>
        <w:tab w:val="left" w:pos="1430"/>
        <w:tab w:val="right" w:leader="dot" w:pos="9072"/>
      </w:tabs>
      <w:spacing w:before="120" w:after="0" w:line="240" w:lineRule="atLeast"/>
      <w:ind w:left="425"/>
      <w:jc w:val="center"/>
    </w:pPr>
    <w:rPr>
      <w:rFonts w:ascii="Arial" w:hAnsi="Arial" w:cs="Arial"/>
      <w:noProof/>
      <w:sz w:val="22"/>
      <w:szCs w:val="22"/>
    </w:rPr>
  </w:style>
  <w:style w:type="paragraph" w:customStyle="1" w:styleId="FormTitle">
    <w:name w:val="Form Title"/>
    <w:rsid w:val="00437AB9"/>
    <w:pPr>
      <w:spacing w:before="420" w:after="140" w:line="280" w:lineRule="atLeast"/>
      <w:jc w:val="center"/>
    </w:pPr>
    <w:rPr>
      <w:rFonts w:ascii="Arial" w:hAnsi="Arial" w:cs="Arial"/>
      <w:b/>
      <w:caps/>
      <w:szCs w:val="22"/>
    </w:rPr>
  </w:style>
  <w:style w:type="paragraph" w:styleId="TOC2">
    <w:name w:val="toc 2"/>
    <w:basedOn w:val="Normal"/>
    <w:next w:val="Normal"/>
    <w:autoRedefine/>
    <w:uiPriority w:val="39"/>
    <w:unhideWhenUsed/>
    <w:rsid w:val="00437AB9"/>
    <w:pPr>
      <w:spacing w:after="100"/>
      <w:ind w:left="200"/>
    </w:pPr>
  </w:style>
  <w:style w:type="paragraph" w:styleId="TOC4">
    <w:name w:val="toc 4"/>
    <w:basedOn w:val="Normal"/>
    <w:next w:val="Normal"/>
    <w:autoRedefine/>
    <w:uiPriority w:val="39"/>
    <w:unhideWhenUsed/>
    <w:rsid w:val="00437AB9"/>
    <w:pPr>
      <w:spacing w:after="100"/>
      <w:ind w:left="600"/>
    </w:pPr>
  </w:style>
  <w:style w:type="paragraph" w:styleId="TOC5">
    <w:name w:val="toc 5"/>
    <w:basedOn w:val="Normal"/>
    <w:next w:val="Normal"/>
    <w:autoRedefine/>
    <w:uiPriority w:val="39"/>
    <w:unhideWhenUsed/>
    <w:rsid w:val="00437AB9"/>
    <w:pPr>
      <w:spacing w:after="100"/>
      <w:ind w:left="800"/>
    </w:pPr>
  </w:style>
  <w:style w:type="paragraph" w:styleId="TOC1">
    <w:name w:val="toc 1"/>
    <w:basedOn w:val="Normal"/>
    <w:next w:val="Normal"/>
    <w:autoRedefine/>
    <w:uiPriority w:val="39"/>
    <w:unhideWhenUsed/>
    <w:rsid w:val="00437AB9"/>
    <w:pPr>
      <w:spacing w:after="100"/>
    </w:pPr>
  </w:style>
  <w:style w:type="character" w:customStyle="1" w:styleId="FootnoteTextChar">
    <w:name w:val="Footnote Text Char"/>
    <w:basedOn w:val="DefaultParagraphFont"/>
    <w:link w:val="FootnoteText"/>
    <w:semiHidden/>
    <w:rsid w:val="00D55F4B"/>
    <w:rPr>
      <w:rFonts w:ascii="Arial" w:hAnsi="Arial"/>
    </w:rPr>
  </w:style>
  <w:style w:type="paragraph" w:styleId="Revision">
    <w:name w:val="Revision"/>
    <w:hidden/>
    <w:uiPriority w:val="99"/>
    <w:semiHidden/>
    <w:rsid w:val="003A6796"/>
  </w:style>
  <w:style w:type="character" w:customStyle="1" w:styleId="FooterChar">
    <w:name w:val="Footer Char"/>
    <w:basedOn w:val="DefaultParagraphFont"/>
    <w:link w:val="Footer"/>
    <w:locked/>
    <w:rsid w:val="00C52668"/>
    <w:rPr>
      <w:sz w:val="24"/>
      <w:lang w:val="en-GB"/>
    </w:rPr>
  </w:style>
  <w:style w:type="paragraph" w:customStyle="1" w:styleId="PartHeading">
    <w:name w:val="Part Heading"/>
    <w:next w:val="NumberLevel1"/>
    <w:rsid w:val="00C52668"/>
    <w:pPr>
      <w:keepNext/>
      <w:keepLines/>
      <w:numPr>
        <w:numId w:val="3"/>
      </w:numPr>
      <w:pBdr>
        <w:bottom w:val="single" w:sz="2" w:space="0" w:color="auto"/>
      </w:pBdr>
      <w:spacing w:before="420" w:after="140" w:line="280" w:lineRule="atLeast"/>
      <w:outlineLvl w:val="0"/>
    </w:pPr>
    <w:rPr>
      <w:rFonts w:ascii="Arial" w:hAnsi="Arial" w:cs="Arial"/>
      <w:b/>
      <w:caps/>
      <w:szCs w:val="22"/>
    </w:rPr>
  </w:style>
  <w:style w:type="paragraph" w:customStyle="1" w:styleId="NumberLevel1">
    <w:name w:val="Number Level 1"/>
    <w:basedOn w:val="Normal"/>
    <w:rsid w:val="00C52668"/>
    <w:pPr>
      <w:tabs>
        <w:tab w:val="num" w:pos="360"/>
      </w:tabs>
      <w:spacing w:before="140" w:after="140" w:line="280" w:lineRule="atLeast"/>
      <w:ind w:left="360" w:hanging="360"/>
      <w:outlineLvl w:val="0"/>
    </w:pPr>
    <w:rPr>
      <w:rFonts w:ascii="Arial" w:hAnsi="Arial" w:cs="Arial"/>
      <w:sz w:val="22"/>
      <w:szCs w:val="22"/>
    </w:rPr>
  </w:style>
  <w:style w:type="character" w:customStyle="1" w:styleId="BodyTextChar">
    <w:name w:val="Body Text Char"/>
    <w:basedOn w:val="DefaultParagraphFont"/>
    <w:link w:val="BodyText"/>
    <w:rsid w:val="00614DF1"/>
    <w:rPr>
      <w:sz w:val="24"/>
    </w:rPr>
  </w:style>
  <w:style w:type="paragraph" w:styleId="PlainText">
    <w:name w:val="Plain Text"/>
    <w:basedOn w:val="Normal"/>
    <w:link w:val="PlainTextChar"/>
    <w:uiPriority w:val="99"/>
    <w:unhideWhenUsed/>
    <w:rsid w:val="00614DF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14DF1"/>
    <w:rPr>
      <w:rFonts w:ascii="Calibri" w:eastAsiaTheme="minorHAnsi" w:hAnsi="Calibri" w:cstheme="minorBidi"/>
      <w:sz w:val="22"/>
      <w:szCs w:val="21"/>
      <w:lang w:eastAsia="en-US"/>
    </w:rPr>
  </w:style>
  <w:style w:type="paragraph" w:styleId="Quote">
    <w:name w:val="Quote"/>
    <w:basedOn w:val="Normal"/>
    <w:next w:val="Normal"/>
    <w:link w:val="QuoteChar"/>
    <w:uiPriority w:val="29"/>
    <w:qFormat/>
    <w:rsid w:val="00713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3FC3"/>
    <w:rPr>
      <w:i/>
      <w:iCs/>
      <w:color w:val="404040" w:themeColor="text1" w:themeTint="BF"/>
    </w:rPr>
  </w:style>
  <w:style w:type="paragraph" w:customStyle="1" w:styleId="paragraph">
    <w:name w:val="paragraph"/>
    <w:basedOn w:val="Normal"/>
    <w:rsid w:val="0055140C"/>
    <w:pPr>
      <w:spacing w:before="100" w:beforeAutospacing="1" w:after="100" w:afterAutospacing="1"/>
    </w:pPr>
    <w:rPr>
      <w:sz w:val="24"/>
      <w:szCs w:val="24"/>
    </w:rPr>
  </w:style>
  <w:style w:type="character" w:customStyle="1" w:styleId="normaltextrun">
    <w:name w:val="normaltextrun"/>
    <w:basedOn w:val="DefaultParagraphFont"/>
    <w:rsid w:val="0055140C"/>
  </w:style>
  <w:style w:type="character" w:customStyle="1" w:styleId="eop">
    <w:name w:val="eop"/>
    <w:basedOn w:val="DefaultParagraphFont"/>
    <w:rsid w:val="0055140C"/>
  </w:style>
  <w:style w:type="character" w:customStyle="1" w:styleId="superscript">
    <w:name w:val="superscript"/>
    <w:basedOn w:val="DefaultParagraphFont"/>
    <w:rsid w:val="002E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7280">
      <w:bodyDiv w:val="1"/>
      <w:marLeft w:val="0"/>
      <w:marRight w:val="0"/>
      <w:marTop w:val="0"/>
      <w:marBottom w:val="0"/>
      <w:divBdr>
        <w:top w:val="none" w:sz="0" w:space="0" w:color="auto"/>
        <w:left w:val="none" w:sz="0" w:space="0" w:color="auto"/>
        <w:bottom w:val="none" w:sz="0" w:space="0" w:color="auto"/>
        <w:right w:val="none" w:sz="0" w:space="0" w:color="auto"/>
      </w:divBdr>
    </w:div>
    <w:div w:id="757094342">
      <w:bodyDiv w:val="1"/>
      <w:marLeft w:val="0"/>
      <w:marRight w:val="0"/>
      <w:marTop w:val="0"/>
      <w:marBottom w:val="0"/>
      <w:divBdr>
        <w:top w:val="none" w:sz="0" w:space="0" w:color="auto"/>
        <w:left w:val="none" w:sz="0" w:space="0" w:color="auto"/>
        <w:bottom w:val="none" w:sz="0" w:space="0" w:color="auto"/>
        <w:right w:val="none" w:sz="0" w:space="0" w:color="auto"/>
      </w:divBdr>
      <w:divsChild>
        <w:div w:id="1781607679">
          <w:marLeft w:val="0"/>
          <w:marRight w:val="0"/>
          <w:marTop w:val="0"/>
          <w:marBottom w:val="0"/>
          <w:divBdr>
            <w:top w:val="none" w:sz="0" w:space="0" w:color="auto"/>
            <w:left w:val="none" w:sz="0" w:space="0" w:color="auto"/>
            <w:bottom w:val="none" w:sz="0" w:space="0" w:color="auto"/>
            <w:right w:val="none" w:sz="0" w:space="0" w:color="auto"/>
          </w:divBdr>
        </w:div>
        <w:div w:id="1258320420">
          <w:marLeft w:val="0"/>
          <w:marRight w:val="0"/>
          <w:marTop w:val="0"/>
          <w:marBottom w:val="0"/>
          <w:divBdr>
            <w:top w:val="none" w:sz="0" w:space="0" w:color="auto"/>
            <w:left w:val="none" w:sz="0" w:space="0" w:color="auto"/>
            <w:bottom w:val="none" w:sz="0" w:space="0" w:color="auto"/>
            <w:right w:val="none" w:sz="0" w:space="0" w:color="auto"/>
          </w:divBdr>
        </w:div>
        <w:div w:id="124587307">
          <w:marLeft w:val="0"/>
          <w:marRight w:val="0"/>
          <w:marTop w:val="0"/>
          <w:marBottom w:val="0"/>
          <w:divBdr>
            <w:top w:val="none" w:sz="0" w:space="0" w:color="auto"/>
            <w:left w:val="none" w:sz="0" w:space="0" w:color="auto"/>
            <w:bottom w:val="none" w:sz="0" w:space="0" w:color="auto"/>
            <w:right w:val="none" w:sz="0" w:space="0" w:color="auto"/>
          </w:divBdr>
        </w:div>
      </w:divsChild>
    </w:div>
    <w:div w:id="1658269494">
      <w:bodyDiv w:val="1"/>
      <w:marLeft w:val="0"/>
      <w:marRight w:val="0"/>
      <w:marTop w:val="0"/>
      <w:marBottom w:val="0"/>
      <w:divBdr>
        <w:top w:val="none" w:sz="0" w:space="0" w:color="auto"/>
        <w:left w:val="none" w:sz="0" w:space="0" w:color="auto"/>
        <w:bottom w:val="none" w:sz="0" w:space="0" w:color="auto"/>
        <w:right w:val="none" w:sz="0" w:space="0" w:color="auto"/>
      </w:divBdr>
      <w:divsChild>
        <w:div w:id="832723686">
          <w:marLeft w:val="0"/>
          <w:marRight w:val="0"/>
          <w:marTop w:val="0"/>
          <w:marBottom w:val="0"/>
          <w:divBdr>
            <w:top w:val="none" w:sz="0" w:space="0" w:color="auto"/>
            <w:left w:val="none" w:sz="0" w:space="0" w:color="auto"/>
            <w:bottom w:val="none" w:sz="0" w:space="0" w:color="auto"/>
            <w:right w:val="none" w:sz="0" w:space="0" w:color="auto"/>
          </w:divBdr>
        </w:div>
        <w:div w:id="1462308959">
          <w:marLeft w:val="0"/>
          <w:marRight w:val="0"/>
          <w:marTop w:val="0"/>
          <w:marBottom w:val="0"/>
          <w:divBdr>
            <w:top w:val="none" w:sz="0" w:space="0" w:color="auto"/>
            <w:left w:val="none" w:sz="0" w:space="0" w:color="auto"/>
            <w:bottom w:val="none" w:sz="0" w:space="0" w:color="auto"/>
            <w:right w:val="none" w:sz="0" w:space="0" w:color="auto"/>
          </w:divBdr>
        </w:div>
        <w:div w:id="571353073">
          <w:marLeft w:val="0"/>
          <w:marRight w:val="0"/>
          <w:marTop w:val="0"/>
          <w:marBottom w:val="0"/>
          <w:divBdr>
            <w:top w:val="none" w:sz="0" w:space="0" w:color="auto"/>
            <w:left w:val="none" w:sz="0" w:space="0" w:color="auto"/>
            <w:bottom w:val="none" w:sz="0" w:space="0" w:color="auto"/>
            <w:right w:val="none" w:sz="0" w:space="0" w:color="auto"/>
          </w:divBdr>
        </w:div>
      </w:divsChild>
    </w:div>
    <w:div w:id="1805537171">
      <w:bodyDiv w:val="1"/>
      <w:marLeft w:val="0"/>
      <w:marRight w:val="0"/>
      <w:marTop w:val="0"/>
      <w:marBottom w:val="0"/>
      <w:divBdr>
        <w:top w:val="none" w:sz="0" w:space="0" w:color="auto"/>
        <w:left w:val="none" w:sz="0" w:space="0" w:color="auto"/>
        <w:bottom w:val="none" w:sz="0" w:space="0" w:color="auto"/>
        <w:right w:val="none" w:sz="0" w:space="0" w:color="auto"/>
      </w:divBdr>
      <w:divsChild>
        <w:div w:id="250939494">
          <w:marLeft w:val="0"/>
          <w:marRight w:val="0"/>
          <w:marTop w:val="0"/>
          <w:marBottom w:val="0"/>
          <w:divBdr>
            <w:top w:val="none" w:sz="0" w:space="0" w:color="auto"/>
            <w:left w:val="none" w:sz="0" w:space="0" w:color="auto"/>
            <w:bottom w:val="none" w:sz="0" w:space="0" w:color="auto"/>
            <w:right w:val="none" w:sz="0" w:space="0" w:color="auto"/>
          </w:divBdr>
        </w:div>
        <w:div w:id="771096709">
          <w:marLeft w:val="0"/>
          <w:marRight w:val="0"/>
          <w:marTop w:val="0"/>
          <w:marBottom w:val="0"/>
          <w:divBdr>
            <w:top w:val="none" w:sz="0" w:space="0" w:color="auto"/>
            <w:left w:val="none" w:sz="0" w:space="0" w:color="auto"/>
            <w:bottom w:val="none" w:sz="0" w:space="0" w:color="auto"/>
            <w:right w:val="none" w:sz="0" w:space="0" w:color="auto"/>
          </w:divBdr>
        </w:div>
        <w:div w:id="1741248457">
          <w:marLeft w:val="0"/>
          <w:marRight w:val="0"/>
          <w:marTop w:val="0"/>
          <w:marBottom w:val="0"/>
          <w:divBdr>
            <w:top w:val="none" w:sz="0" w:space="0" w:color="auto"/>
            <w:left w:val="none" w:sz="0" w:space="0" w:color="auto"/>
            <w:bottom w:val="none" w:sz="0" w:space="0" w:color="auto"/>
            <w:right w:val="none" w:sz="0" w:space="0" w:color="auto"/>
          </w:divBdr>
        </w:div>
      </w:divsChild>
    </w:div>
    <w:div w:id="1816754808">
      <w:bodyDiv w:val="1"/>
      <w:marLeft w:val="0"/>
      <w:marRight w:val="0"/>
      <w:marTop w:val="0"/>
      <w:marBottom w:val="0"/>
      <w:divBdr>
        <w:top w:val="none" w:sz="0" w:space="0" w:color="auto"/>
        <w:left w:val="none" w:sz="0" w:space="0" w:color="auto"/>
        <w:bottom w:val="none" w:sz="0" w:space="0" w:color="auto"/>
        <w:right w:val="none" w:sz="0" w:space="0" w:color="auto"/>
      </w:divBdr>
      <w:divsChild>
        <w:div w:id="1878811196">
          <w:marLeft w:val="0"/>
          <w:marRight w:val="0"/>
          <w:marTop w:val="0"/>
          <w:marBottom w:val="0"/>
          <w:divBdr>
            <w:top w:val="none" w:sz="0" w:space="0" w:color="auto"/>
            <w:left w:val="none" w:sz="0" w:space="0" w:color="auto"/>
            <w:bottom w:val="none" w:sz="0" w:space="0" w:color="auto"/>
            <w:right w:val="none" w:sz="0" w:space="0" w:color="auto"/>
          </w:divBdr>
        </w:div>
        <w:div w:id="1055857450">
          <w:marLeft w:val="0"/>
          <w:marRight w:val="0"/>
          <w:marTop w:val="0"/>
          <w:marBottom w:val="0"/>
          <w:divBdr>
            <w:top w:val="none" w:sz="0" w:space="0" w:color="auto"/>
            <w:left w:val="none" w:sz="0" w:space="0" w:color="auto"/>
            <w:bottom w:val="none" w:sz="0" w:space="0" w:color="auto"/>
            <w:right w:val="none" w:sz="0" w:space="0" w:color="auto"/>
          </w:divBdr>
        </w:div>
        <w:div w:id="910891445">
          <w:marLeft w:val="0"/>
          <w:marRight w:val="0"/>
          <w:marTop w:val="0"/>
          <w:marBottom w:val="0"/>
          <w:divBdr>
            <w:top w:val="none" w:sz="0" w:space="0" w:color="auto"/>
            <w:left w:val="none" w:sz="0" w:space="0" w:color="auto"/>
            <w:bottom w:val="none" w:sz="0" w:space="0" w:color="auto"/>
            <w:right w:val="none" w:sz="0" w:space="0" w:color="auto"/>
          </w:divBdr>
        </w:div>
        <w:div w:id="900596492">
          <w:marLeft w:val="0"/>
          <w:marRight w:val="0"/>
          <w:marTop w:val="0"/>
          <w:marBottom w:val="0"/>
          <w:divBdr>
            <w:top w:val="none" w:sz="0" w:space="0" w:color="auto"/>
            <w:left w:val="none" w:sz="0" w:space="0" w:color="auto"/>
            <w:bottom w:val="none" w:sz="0" w:space="0" w:color="auto"/>
            <w:right w:val="none" w:sz="0" w:space="0" w:color="auto"/>
          </w:divBdr>
        </w:div>
        <w:div w:id="1592665238">
          <w:marLeft w:val="0"/>
          <w:marRight w:val="0"/>
          <w:marTop w:val="0"/>
          <w:marBottom w:val="0"/>
          <w:divBdr>
            <w:top w:val="none" w:sz="0" w:space="0" w:color="auto"/>
            <w:left w:val="none" w:sz="0" w:space="0" w:color="auto"/>
            <w:bottom w:val="none" w:sz="0" w:space="0" w:color="auto"/>
            <w:right w:val="none" w:sz="0" w:space="0" w:color="auto"/>
          </w:divBdr>
        </w:div>
        <w:div w:id="434011873">
          <w:marLeft w:val="0"/>
          <w:marRight w:val="0"/>
          <w:marTop w:val="0"/>
          <w:marBottom w:val="0"/>
          <w:divBdr>
            <w:top w:val="none" w:sz="0" w:space="0" w:color="auto"/>
            <w:left w:val="none" w:sz="0" w:space="0" w:color="auto"/>
            <w:bottom w:val="none" w:sz="0" w:space="0" w:color="auto"/>
            <w:right w:val="none" w:sz="0" w:space="0" w:color="auto"/>
          </w:divBdr>
        </w:div>
        <w:div w:id="86575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reproductivehealth/contraception/mmwr/mec/appendix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iarc.fr/1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31B3-E9A5-4542-8A18-3FDADB44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2669</Words>
  <Characters>15253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2021-05-06T05:12:00Z</dcterms:created>
  <dcterms:modified xsi:type="dcterms:W3CDTF">2021-05-06T05:12:00Z</dcterms:modified>
</cp:coreProperties>
</file>