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D10B9DD" wp14:editId="05B757EA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0" w:rsidRDefault="00571A90" w:rsidP="00517C00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DECLARATION</w:t>
      </w:r>
    </w:p>
    <w:p w:rsidR="00517C00" w:rsidRDefault="00571A9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Subsection </w:t>
      </w:r>
      <w:proofErr w:type="gramStart"/>
      <w:r>
        <w:rPr>
          <w:rFonts w:ascii="Times New Roman" w:hAnsi="Times New Roman"/>
          <w:b/>
        </w:rPr>
        <w:t>196B(</w:t>
      </w:r>
      <w:proofErr w:type="gramEnd"/>
      <w:r>
        <w:rPr>
          <w:rFonts w:ascii="Times New Roman" w:hAnsi="Times New Roman"/>
          <w:b/>
        </w:rPr>
        <w:t>9)</w:t>
      </w:r>
      <w:r w:rsidR="00517C00">
        <w:rPr>
          <w:rFonts w:ascii="Times New Roman" w:hAnsi="Times New Roman"/>
          <w:b/>
        </w:rPr>
        <w:t xml:space="preserve"> of the</w:t>
      </w:r>
    </w:p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Repatriation Medical Authority (the Authority), under subsection 196B(9) of the </w:t>
      </w:r>
      <w:r w:rsidRPr="00571A90">
        <w:rPr>
          <w:rFonts w:ascii="Times New Roman" w:hAnsi="Times New Roman"/>
          <w:i/>
        </w:rPr>
        <w:t>Veterans’ Entitlements Act 1986</w:t>
      </w:r>
      <w:r w:rsidRPr="00571A90">
        <w:rPr>
          <w:rFonts w:ascii="Times New Roman" w:hAnsi="Times New Roman"/>
        </w:rPr>
        <w:t xml:space="preserve"> (the Act), makes the following declaration in respect of the </w:t>
      </w:r>
      <w:r w:rsidR="00374331">
        <w:rPr>
          <w:rFonts w:ascii="Times New Roman" w:hAnsi="Times New Roman"/>
        </w:rPr>
        <w:t xml:space="preserve">focussed </w:t>
      </w:r>
      <w:r w:rsidRPr="00571A90">
        <w:rPr>
          <w:rFonts w:ascii="Times New Roman" w:hAnsi="Times New Roman"/>
        </w:rPr>
        <w:t xml:space="preserve">review of the contents of the Statements of Principles in force under the Act concerning </w:t>
      </w:r>
      <w:r w:rsidR="00903396">
        <w:rPr>
          <w:rFonts w:ascii="Times New Roman" w:hAnsi="Times New Roman"/>
        </w:rPr>
        <w:t>malignant neoplasm of the breast</w:t>
      </w:r>
      <w:r w:rsidRPr="00571A90">
        <w:rPr>
          <w:rFonts w:ascii="Times New Roman" w:hAnsi="Times New Roman"/>
        </w:rPr>
        <w:t xml:space="preserve">, Instrument Nos. </w:t>
      </w:r>
      <w:r w:rsidR="00903396">
        <w:rPr>
          <w:rFonts w:ascii="Times New Roman" w:hAnsi="Times New Roman"/>
        </w:rPr>
        <w:t>96</w:t>
      </w:r>
      <w:r w:rsidRPr="00571A90">
        <w:rPr>
          <w:rFonts w:ascii="Times New Roman" w:hAnsi="Times New Roman"/>
        </w:rPr>
        <w:t xml:space="preserve"> and </w:t>
      </w:r>
      <w:r w:rsidR="00903396">
        <w:rPr>
          <w:rFonts w:ascii="Times New Roman" w:hAnsi="Times New Roman"/>
        </w:rPr>
        <w:t>97</w:t>
      </w:r>
      <w:r w:rsidRPr="00571A90">
        <w:rPr>
          <w:rFonts w:ascii="Times New Roman" w:hAnsi="Times New Roman"/>
        </w:rPr>
        <w:t xml:space="preserve"> of </w:t>
      </w:r>
      <w:r w:rsidR="00903396">
        <w:rPr>
          <w:rFonts w:ascii="Times New Roman" w:hAnsi="Times New Roman"/>
        </w:rPr>
        <w:t>2014, as amended</w:t>
      </w:r>
      <w:r w:rsidRPr="00571A90">
        <w:rPr>
          <w:rFonts w:ascii="Times New Roman" w:hAnsi="Times New Roman"/>
        </w:rPr>
        <w:t xml:space="preserve">.  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investigation related to </w:t>
      </w:r>
      <w:r w:rsidR="00903396">
        <w:rPr>
          <w:rFonts w:ascii="Times New Roman" w:hAnsi="Times New Roman"/>
          <w:b/>
        </w:rPr>
        <w:t>taking combined hormonal contraceptives</w:t>
      </w:r>
      <w:r w:rsidRPr="00571A90">
        <w:rPr>
          <w:rFonts w:ascii="Times New Roman" w:hAnsi="Times New Roman"/>
        </w:rPr>
        <w:t xml:space="preserve">. The Notice of Investigation was published in the Commonwealth of Australia Gazette of </w:t>
      </w:r>
      <w:r w:rsidR="00903396">
        <w:rPr>
          <w:rFonts w:ascii="Times New Roman" w:hAnsi="Times New Roman"/>
        </w:rPr>
        <w:t>9 March 2021</w:t>
      </w:r>
      <w:r w:rsidRPr="00571A90">
        <w:rPr>
          <w:rFonts w:ascii="Times New Roman" w:hAnsi="Times New Roman"/>
        </w:rPr>
        <w:t>.</w:t>
      </w:r>
    </w:p>
    <w:p w:rsidR="00BA1064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>Following the investigation, the Authority declares that it does not propose to amend Statement</w:t>
      </w:r>
      <w:r w:rsidR="00903396">
        <w:rPr>
          <w:rFonts w:ascii="Times New Roman" w:hAnsi="Times New Roman"/>
        </w:rPr>
        <w:t>s</w:t>
      </w:r>
      <w:r w:rsidRPr="00571A90">
        <w:rPr>
          <w:rFonts w:ascii="Times New Roman" w:hAnsi="Times New Roman"/>
        </w:rPr>
        <w:t xml:space="preserve"> of Principles, Instrument No</w:t>
      </w:r>
      <w:r w:rsidR="00903396">
        <w:rPr>
          <w:rFonts w:ascii="Times New Roman" w:hAnsi="Times New Roman"/>
        </w:rPr>
        <w:t>s</w:t>
      </w:r>
      <w:r w:rsidRPr="00571A90">
        <w:rPr>
          <w:rFonts w:ascii="Times New Roman" w:hAnsi="Times New Roman"/>
        </w:rPr>
        <w:t xml:space="preserve">. </w:t>
      </w:r>
      <w:r w:rsidR="00903396">
        <w:rPr>
          <w:rFonts w:ascii="Times New Roman" w:hAnsi="Times New Roman"/>
        </w:rPr>
        <w:t>96 and 97 of 2014, as amended</w:t>
      </w:r>
      <w:r w:rsidRPr="00571A90">
        <w:rPr>
          <w:rFonts w:ascii="Times New Roman" w:hAnsi="Times New Roman"/>
        </w:rPr>
        <w:t xml:space="preserve">, to </w:t>
      </w:r>
      <w:r w:rsidR="005150C4">
        <w:rPr>
          <w:rFonts w:ascii="Times New Roman" w:hAnsi="Times New Roman"/>
        </w:rPr>
        <w:t>replace the current</w:t>
      </w:r>
      <w:r w:rsidRPr="00571A90">
        <w:rPr>
          <w:rFonts w:ascii="Times New Roman" w:hAnsi="Times New Roman"/>
        </w:rPr>
        <w:t xml:space="preserve"> factors </w:t>
      </w:r>
      <w:r w:rsidR="005150C4">
        <w:rPr>
          <w:rFonts w:ascii="Times New Roman" w:hAnsi="Times New Roman"/>
        </w:rPr>
        <w:t xml:space="preserve">relating to using a combined oral contraceptive pill, with factors relating to </w:t>
      </w:r>
      <w:r w:rsidR="00903396">
        <w:rPr>
          <w:rFonts w:ascii="Times New Roman" w:hAnsi="Times New Roman"/>
        </w:rPr>
        <w:t>taking combined hormonal contraceptives</w:t>
      </w:r>
      <w:r w:rsidRPr="00571A90">
        <w:rPr>
          <w:rFonts w:ascii="Times New Roman" w:hAnsi="Times New Roman"/>
        </w:rPr>
        <w:t xml:space="preserve">.  The sound medical-scientific evidence available to the Authority, including the new sound medical-scientific evidence, </w:t>
      </w:r>
      <w:r w:rsidR="00BA1064">
        <w:rPr>
          <w:rFonts w:ascii="Times New Roman" w:hAnsi="Times New Roman"/>
        </w:rPr>
        <w:t>does not establish that there is at least a reasonable hypothesis that taking combined hormonal contraceptives (other than a combined oral contraceptive pill) is a factor for malignant neoplasm of the breast</w:t>
      </w:r>
      <w:r w:rsidRPr="00571A90">
        <w:rPr>
          <w:rFonts w:ascii="Times New Roman" w:hAnsi="Times New Roman"/>
        </w:rPr>
        <w:t xml:space="preserve">. </w:t>
      </w:r>
    </w:p>
    <w:p w:rsidR="00517C00" w:rsidRDefault="00BA1064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Consequently, the</w:t>
      </w:r>
      <w:r w:rsidR="00571A90" w:rsidRPr="00571A90">
        <w:rPr>
          <w:rFonts w:ascii="Times New Roman" w:hAnsi="Times New Roman"/>
        </w:rPr>
        <w:t xml:space="preserve"> sound medical-scientific evidence is not sufficient to justify an amendment to the Statement</w:t>
      </w:r>
      <w:r w:rsidR="005150C4">
        <w:rPr>
          <w:rFonts w:ascii="Times New Roman" w:hAnsi="Times New Roman"/>
        </w:rPr>
        <w:t>s</w:t>
      </w:r>
      <w:r w:rsidR="00571A90" w:rsidRPr="00571A90">
        <w:rPr>
          <w:rFonts w:ascii="Times New Roman" w:hAnsi="Times New Roman"/>
        </w:rPr>
        <w:t xml:space="preserve"> of Principles, No</w:t>
      </w:r>
      <w:r w:rsidR="005150C4">
        <w:rPr>
          <w:rFonts w:ascii="Times New Roman" w:hAnsi="Times New Roman"/>
        </w:rPr>
        <w:t>s</w:t>
      </w:r>
      <w:r w:rsidR="00571A90" w:rsidRPr="00571A90">
        <w:rPr>
          <w:rFonts w:ascii="Times New Roman" w:hAnsi="Times New Roman"/>
        </w:rPr>
        <w:t xml:space="preserve">. </w:t>
      </w:r>
      <w:r w:rsidR="005150C4">
        <w:rPr>
          <w:rFonts w:ascii="Times New Roman" w:hAnsi="Times New Roman"/>
        </w:rPr>
        <w:t>96</w:t>
      </w:r>
      <w:r w:rsidR="005150C4" w:rsidRPr="00571A90">
        <w:rPr>
          <w:rFonts w:ascii="Times New Roman" w:hAnsi="Times New Roman"/>
        </w:rPr>
        <w:t xml:space="preserve"> and </w:t>
      </w:r>
      <w:r w:rsidR="005150C4">
        <w:rPr>
          <w:rFonts w:ascii="Times New Roman" w:hAnsi="Times New Roman"/>
        </w:rPr>
        <w:t>97</w:t>
      </w:r>
      <w:r w:rsidR="005150C4" w:rsidRPr="00571A90">
        <w:rPr>
          <w:rFonts w:ascii="Times New Roman" w:hAnsi="Times New Roman"/>
        </w:rPr>
        <w:t xml:space="preserve"> of </w:t>
      </w:r>
      <w:r w:rsidR="005150C4">
        <w:rPr>
          <w:rFonts w:ascii="Times New Roman" w:hAnsi="Times New Roman"/>
        </w:rPr>
        <w:t>2014, as amended</w:t>
      </w:r>
      <w:r w:rsidR="00571A90" w:rsidRPr="00571A90">
        <w:rPr>
          <w:rFonts w:ascii="Times New Roman" w:hAnsi="Times New Roman"/>
        </w:rPr>
        <w:t xml:space="preserve">, already determined in respect of </w:t>
      </w:r>
      <w:r w:rsidR="005150C4">
        <w:rPr>
          <w:rFonts w:ascii="Times New Roman" w:hAnsi="Times New Roman"/>
        </w:rPr>
        <w:t>malignant neoplasm of the breast</w:t>
      </w:r>
      <w:r w:rsidR="00571A90" w:rsidRPr="00571A90">
        <w:rPr>
          <w:rFonts w:ascii="Times New Roman" w:hAnsi="Times New Roman"/>
        </w:rPr>
        <w:t xml:space="preserve">, to include factors relating to </w:t>
      </w:r>
      <w:r w:rsidR="005150C4">
        <w:rPr>
          <w:rFonts w:ascii="Times New Roman" w:hAnsi="Times New Roman"/>
        </w:rPr>
        <w:t>taking combined hormonal contraceptives</w:t>
      </w:r>
      <w:r w:rsidR="00571A90" w:rsidRPr="00571A90">
        <w:rPr>
          <w:rFonts w:ascii="Times New Roman" w:hAnsi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17C00" w:rsidTr="00FF02AC">
        <w:tc>
          <w:tcPr>
            <w:tcW w:w="4106" w:type="dxa"/>
            <w:shd w:val="clear" w:color="auto" w:fill="auto"/>
          </w:tcPr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5E4978" w:rsidRDefault="00517C00" w:rsidP="00FF02AC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17C00" w:rsidRPr="005E4978" w:rsidRDefault="00517C00" w:rsidP="00FF02AC">
            <w:pPr>
              <w:rPr>
                <w:rFonts w:eastAsia="Calibri"/>
              </w:rPr>
            </w:pPr>
          </w:p>
        </w:tc>
      </w:tr>
      <w:tr w:rsidR="00517C00" w:rsidRPr="005D464B" w:rsidTr="00FF02AC">
        <w:tc>
          <w:tcPr>
            <w:tcW w:w="4106" w:type="dxa"/>
            <w:shd w:val="clear" w:color="auto" w:fill="auto"/>
          </w:tcPr>
          <w:p w:rsidR="00517C00" w:rsidRPr="005D464B" w:rsidRDefault="00517C00" w:rsidP="00FF02A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17C00" w:rsidRPr="00361BE8" w:rsidRDefault="00517C00" w:rsidP="001F6097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374331">
              <w:rPr>
                <w:rFonts w:ascii="Times New Roman" w:hAnsi="Times New Roman"/>
              </w:rPr>
              <w:t>23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0</w:t>
            </w:r>
            <w:r w:rsidR="001F6097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6512" w:rsidRPr="00CE796A" w:rsidTr="0031684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DC776C" wp14:editId="3CDE6B0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Start w:id="2" w:name="OLE_LINK2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512"/>
    <w:rsid w:val="000E1F2B"/>
    <w:rsid w:val="001C2AAD"/>
    <w:rsid w:val="001F2D97"/>
    <w:rsid w:val="001F6097"/>
    <w:rsid w:val="001F6E54"/>
    <w:rsid w:val="00280BCD"/>
    <w:rsid w:val="00374331"/>
    <w:rsid w:val="003A707F"/>
    <w:rsid w:val="003B0EC1"/>
    <w:rsid w:val="003B573B"/>
    <w:rsid w:val="003F2CBD"/>
    <w:rsid w:val="00424B97"/>
    <w:rsid w:val="004B2753"/>
    <w:rsid w:val="004E4CA3"/>
    <w:rsid w:val="005150C4"/>
    <w:rsid w:val="00517C00"/>
    <w:rsid w:val="00520873"/>
    <w:rsid w:val="00571A90"/>
    <w:rsid w:val="00573D44"/>
    <w:rsid w:val="00611BFC"/>
    <w:rsid w:val="00840A06"/>
    <w:rsid w:val="008439B7"/>
    <w:rsid w:val="0087253F"/>
    <w:rsid w:val="008B4A00"/>
    <w:rsid w:val="008E4F6C"/>
    <w:rsid w:val="00903396"/>
    <w:rsid w:val="009539C7"/>
    <w:rsid w:val="00A00F21"/>
    <w:rsid w:val="00B25735"/>
    <w:rsid w:val="00B627A5"/>
    <w:rsid w:val="00B84226"/>
    <w:rsid w:val="00BA1064"/>
    <w:rsid w:val="00BE7780"/>
    <w:rsid w:val="00C63C4E"/>
    <w:rsid w:val="00C72C30"/>
    <w:rsid w:val="00D229E5"/>
    <w:rsid w:val="00D77A88"/>
    <w:rsid w:val="00F03910"/>
    <w:rsid w:val="00F22B1C"/>
    <w:rsid w:val="00F40885"/>
    <w:rsid w:val="00FA256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27F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51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C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2021-03-04T01:24:00Z</dcterms:created>
  <dcterms:modified xsi:type="dcterms:W3CDTF">2021-04-22T05:01:00Z</dcterms:modified>
  <cp:category/>
  <cp:contentStatus/>
  <dc:language/>
  <cp:version/>
</cp:coreProperties>
</file>