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53900" w14:textId="77777777" w:rsidR="00614DF1" w:rsidRDefault="00614DF1" w:rsidP="000B1F11">
      <w:pPr>
        <w:pStyle w:val="FormTitle"/>
      </w:pPr>
      <w:r>
        <w:rPr>
          <w:noProof/>
        </w:rPr>
        <w:drawing>
          <wp:inline distT="0" distB="0" distL="0" distR="0" wp14:anchorId="1BAFB9C9" wp14:editId="3F770C84">
            <wp:extent cx="3063875" cy="934720"/>
            <wp:effectExtent l="0" t="0" r="3175" b="0"/>
            <wp:docPr id="1" name="Picture 1"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me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875" cy="934720"/>
                    </a:xfrm>
                    <a:prstGeom prst="rect">
                      <a:avLst/>
                    </a:prstGeom>
                    <a:noFill/>
                    <a:ln>
                      <a:noFill/>
                    </a:ln>
                  </pic:spPr>
                </pic:pic>
              </a:graphicData>
            </a:graphic>
          </wp:inline>
        </w:drawing>
      </w:r>
    </w:p>
    <w:p w14:paraId="69E899ED" w14:textId="77777777" w:rsidR="00614DF1" w:rsidRDefault="00614DF1" w:rsidP="00614DF1">
      <w:pPr>
        <w:pStyle w:val="FormTitle"/>
        <w:rPr>
          <w:rFonts w:ascii="Times New Roman" w:hAnsi="Times New Roman" w:cs="Times New Roman"/>
          <w:sz w:val="24"/>
          <w:szCs w:val="24"/>
        </w:rPr>
      </w:pPr>
    </w:p>
    <w:p w14:paraId="1B660CA4" w14:textId="77777777" w:rsidR="00614DF1" w:rsidRDefault="00614DF1" w:rsidP="00614DF1">
      <w:pPr>
        <w:pStyle w:val="FormTitle"/>
        <w:rPr>
          <w:rFonts w:ascii="Times New Roman" w:hAnsi="Times New Roman" w:cs="Times New Roman"/>
          <w:sz w:val="24"/>
          <w:szCs w:val="24"/>
        </w:rPr>
      </w:pPr>
    </w:p>
    <w:p w14:paraId="34FFA680" w14:textId="77777777" w:rsidR="00614DF1" w:rsidRDefault="00614DF1" w:rsidP="00614DF1">
      <w:pPr>
        <w:pStyle w:val="FormTitle"/>
        <w:rPr>
          <w:rFonts w:ascii="Times New Roman" w:hAnsi="Times New Roman" w:cs="Times New Roman"/>
          <w:sz w:val="24"/>
          <w:szCs w:val="24"/>
        </w:rPr>
      </w:pPr>
    </w:p>
    <w:p w14:paraId="4EA35BCF" w14:textId="77777777" w:rsidR="00614DF1" w:rsidRDefault="00614DF1" w:rsidP="00614DF1">
      <w:pPr>
        <w:pStyle w:val="FormTitle"/>
        <w:rPr>
          <w:sz w:val="24"/>
          <w:szCs w:val="24"/>
        </w:rPr>
      </w:pPr>
      <w:r>
        <w:rPr>
          <w:sz w:val="24"/>
          <w:szCs w:val="24"/>
        </w:rPr>
        <w:t xml:space="preserve">REPATRIATION MEDICAL AUTHORITY </w:t>
      </w:r>
    </w:p>
    <w:p w14:paraId="6C05EFD6" w14:textId="77777777" w:rsidR="00614DF1" w:rsidRDefault="00614DF1" w:rsidP="00614DF1">
      <w:pPr>
        <w:pStyle w:val="FormTitle"/>
        <w:rPr>
          <w:sz w:val="24"/>
          <w:szCs w:val="24"/>
        </w:rPr>
      </w:pPr>
      <w:r>
        <w:rPr>
          <w:sz w:val="24"/>
          <w:szCs w:val="24"/>
        </w:rPr>
        <w:t>STATEMENT of REASONS</w:t>
      </w:r>
    </w:p>
    <w:p w14:paraId="3ACEC434" w14:textId="067691D7" w:rsidR="00614DF1" w:rsidRPr="003F7DD3" w:rsidRDefault="00614DF1" w:rsidP="00614DF1">
      <w:pPr>
        <w:pStyle w:val="FormTitle"/>
        <w:rPr>
          <w:i/>
          <w:sz w:val="24"/>
          <w:szCs w:val="24"/>
        </w:rPr>
      </w:pPr>
      <w:r w:rsidRPr="00C661F4">
        <w:rPr>
          <w:sz w:val="24"/>
          <w:szCs w:val="24"/>
        </w:rPr>
        <w:t>s</w:t>
      </w:r>
      <w:r w:rsidR="00A873B9">
        <w:rPr>
          <w:sz w:val="24"/>
          <w:szCs w:val="24"/>
        </w:rPr>
        <w:t xml:space="preserve">ubsection </w:t>
      </w:r>
      <w:proofErr w:type="gramStart"/>
      <w:r w:rsidR="00A873B9">
        <w:rPr>
          <w:sz w:val="24"/>
          <w:szCs w:val="24"/>
        </w:rPr>
        <w:t>196b(</w:t>
      </w:r>
      <w:proofErr w:type="gramEnd"/>
      <w:r w:rsidR="00A873B9">
        <w:rPr>
          <w:sz w:val="24"/>
          <w:szCs w:val="24"/>
        </w:rPr>
        <w:t>9),</w:t>
      </w:r>
      <w:r w:rsidRPr="00C661F4">
        <w:rPr>
          <w:sz w:val="24"/>
          <w:szCs w:val="24"/>
        </w:rPr>
        <w:t xml:space="preserve"> </w:t>
      </w:r>
      <w:r>
        <w:rPr>
          <w:i/>
          <w:sz w:val="24"/>
          <w:szCs w:val="24"/>
        </w:rPr>
        <w:t>Veterans' Entitlements Act 1986</w:t>
      </w:r>
    </w:p>
    <w:p w14:paraId="2949C241" w14:textId="00578ADB" w:rsidR="00614DF1" w:rsidRDefault="00614DF1" w:rsidP="00614DF1">
      <w:pPr>
        <w:pStyle w:val="FormTitle"/>
        <w:spacing w:after="0"/>
        <w:rPr>
          <w:rFonts w:ascii="Times New Roman" w:hAnsi="Times New Roman" w:cs="Times New Roman"/>
        </w:rPr>
      </w:pPr>
      <w:r>
        <w:rPr>
          <w:sz w:val="24"/>
          <w:szCs w:val="24"/>
        </w:rPr>
        <w:t xml:space="preserve">Decision </w:t>
      </w:r>
      <w:r w:rsidRPr="00437AB9">
        <w:rPr>
          <w:sz w:val="24"/>
          <w:szCs w:val="24"/>
        </w:rPr>
        <w:t xml:space="preserve">not to </w:t>
      </w:r>
      <w:r w:rsidR="00A873B9">
        <w:rPr>
          <w:sz w:val="24"/>
          <w:szCs w:val="24"/>
        </w:rPr>
        <w:t>amend the</w:t>
      </w:r>
      <w:r w:rsidRPr="00437AB9">
        <w:rPr>
          <w:sz w:val="24"/>
          <w:szCs w:val="24"/>
        </w:rPr>
        <w:t xml:space="preserve"> Statement</w:t>
      </w:r>
      <w:r w:rsidR="00127661">
        <w:rPr>
          <w:sz w:val="24"/>
          <w:szCs w:val="24"/>
        </w:rPr>
        <w:t>s</w:t>
      </w:r>
      <w:r w:rsidRPr="00437AB9">
        <w:rPr>
          <w:sz w:val="24"/>
          <w:szCs w:val="24"/>
        </w:rPr>
        <w:t xml:space="preserve"> of Principles concerning </w:t>
      </w:r>
      <w:r w:rsidR="00A873B9">
        <w:rPr>
          <w:sz w:val="24"/>
          <w:szCs w:val="24"/>
        </w:rPr>
        <w:t xml:space="preserve">malignant neoplasm of the </w:t>
      </w:r>
      <w:r w:rsidR="00833C55">
        <w:rPr>
          <w:sz w:val="24"/>
          <w:szCs w:val="24"/>
        </w:rPr>
        <w:t>PROSTATE</w:t>
      </w:r>
    </w:p>
    <w:p w14:paraId="0DADF668" w14:textId="14C8A718" w:rsidR="00614DF1" w:rsidRPr="00C52668" w:rsidRDefault="00614DF1" w:rsidP="00614DF1">
      <w:pPr>
        <w:pStyle w:val="TOC3"/>
      </w:pPr>
      <w:r w:rsidRPr="00C52668">
        <w:t xml:space="preserve">Instrument </w:t>
      </w:r>
      <w:r>
        <w:t>No</w:t>
      </w:r>
      <w:r w:rsidR="00127661">
        <w:t>s</w:t>
      </w:r>
      <w:r>
        <w:t xml:space="preserve">. </w:t>
      </w:r>
      <w:r w:rsidR="00833C55">
        <w:t>53</w:t>
      </w:r>
      <w:r w:rsidR="00C90309">
        <w:t xml:space="preserve"> and </w:t>
      </w:r>
      <w:r w:rsidR="00833C55">
        <w:t>54</w:t>
      </w:r>
      <w:r w:rsidR="005121CA">
        <w:t xml:space="preserve"> of 201</w:t>
      </w:r>
      <w:r w:rsidR="00833C55">
        <w:t>4</w:t>
      </w:r>
    </w:p>
    <w:p w14:paraId="65D2AF7F" w14:textId="77777777" w:rsidR="00614DF1" w:rsidRDefault="00614DF1" w:rsidP="00614DF1">
      <w:pPr>
        <w:pStyle w:val="TOC3"/>
      </w:pPr>
    </w:p>
    <w:p w14:paraId="5EA3926C" w14:textId="77777777" w:rsidR="00614DF1" w:rsidRDefault="00614DF1" w:rsidP="00614DF1"/>
    <w:p w14:paraId="64566919" w14:textId="77777777" w:rsidR="006436D8" w:rsidRDefault="00614DF1" w:rsidP="00614DF1">
      <w:pPr>
        <w:pStyle w:val="TOC3"/>
      </w:pPr>
      <w:r>
        <w:br w:type="page"/>
      </w:r>
      <w:r>
        <w:rPr>
          <w:sz w:val="24"/>
          <w:szCs w:val="24"/>
        </w:rPr>
        <w:fldChar w:fldCharType="begin"/>
      </w:r>
      <w:r>
        <w:instrText xml:space="preserve"> TOC \h \z \t "Heading 2,4,Heading 3,5,Part Heading,3,Contents Heading,2,Alpha Heading,1" </w:instrText>
      </w:r>
      <w:r>
        <w:rPr>
          <w:sz w:val="24"/>
          <w:szCs w:val="24"/>
        </w:rPr>
        <w:fldChar w:fldCharType="separate"/>
      </w:r>
    </w:p>
    <w:p w14:paraId="620AE256" w14:textId="6C74F47F" w:rsidR="006436D8" w:rsidRDefault="0097315A">
      <w:pPr>
        <w:pStyle w:val="TOC3"/>
        <w:rPr>
          <w:rFonts w:asciiTheme="minorHAnsi" w:eastAsiaTheme="minorEastAsia" w:hAnsiTheme="minorHAnsi" w:cstheme="minorBidi"/>
        </w:rPr>
      </w:pPr>
      <w:hyperlink w:anchor="_Toc79670308" w:history="1">
        <w:r w:rsidR="006436D8" w:rsidRPr="001369BE">
          <w:rPr>
            <w:rStyle w:val="Hyperlink"/>
            <w:rFonts w:cs="Times New Roman"/>
          </w:rPr>
          <w:t>Part  I</w:t>
        </w:r>
        <w:r w:rsidR="006436D8">
          <w:rPr>
            <w:rFonts w:asciiTheme="minorHAnsi" w:eastAsiaTheme="minorEastAsia" w:hAnsiTheme="minorHAnsi" w:cstheme="minorBidi"/>
          </w:rPr>
          <w:tab/>
        </w:r>
        <w:r w:rsidR="006436D8" w:rsidRPr="001369BE">
          <w:rPr>
            <w:rStyle w:val="Hyperlink"/>
          </w:rPr>
          <w:t>Introduction</w:t>
        </w:r>
        <w:r w:rsidR="006436D8">
          <w:rPr>
            <w:webHidden/>
          </w:rPr>
          <w:tab/>
        </w:r>
        <w:r w:rsidR="006436D8">
          <w:rPr>
            <w:webHidden/>
          </w:rPr>
          <w:fldChar w:fldCharType="begin"/>
        </w:r>
        <w:r w:rsidR="006436D8">
          <w:rPr>
            <w:webHidden/>
          </w:rPr>
          <w:instrText xml:space="preserve"> PAGEREF _Toc79670308 \h </w:instrText>
        </w:r>
        <w:r w:rsidR="006436D8">
          <w:rPr>
            <w:webHidden/>
          </w:rPr>
        </w:r>
        <w:r w:rsidR="006436D8">
          <w:rPr>
            <w:webHidden/>
          </w:rPr>
          <w:fldChar w:fldCharType="separate"/>
        </w:r>
        <w:r w:rsidR="006436D8">
          <w:rPr>
            <w:webHidden/>
          </w:rPr>
          <w:t>3</w:t>
        </w:r>
        <w:r w:rsidR="006436D8">
          <w:rPr>
            <w:webHidden/>
          </w:rPr>
          <w:fldChar w:fldCharType="end"/>
        </w:r>
      </w:hyperlink>
    </w:p>
    <w:p w14:paraId="5699D98E" w14:textId="35DDAD7A" w:rsidR="006436D8" w:rsidRDefault="0097315A">
      <w:pPr>
        <w:pStyle w:val="TOC3"/>
        <w:rPr>
          <w:rFonts w:asciiTheme="minorHAnsi" w:eastAsiaTheme="minorEastAsia" w:hAnsiTheme="minorHAnsi" w:cstheme="minorBidi"/>
        </w:rPr>
      </w:pPr>
      <w:hyperlink w:anchor="_Toc79670309" w:history="1">
        <w:r w:rsidR="006436D8" w:rsidRPr="001369BE">
          <w:rPr>
            <w:rStyle w:val="Hyperlink"/>
            <w:rFonts w:cs="Times New Roman"/>
          </w:rPr>
          <w:t>Part  II</w:t>
        </w:r>
        <w:r w:rsidR="006436D8">
          <w:rPr>
            <w:rFonts w:asciiTheme="minorHAnsi" w:eastAsiaTheme="minorEastAsia" w:hAnsiTheme="minorHAnsi" w:cstheme="minorBidi"/>
          </w:rPr>
          <w:tab/>
        </w:r>
        <w:r w:rsidR="006436D8" w:rsidRPr="001369BE">
          <w:rPr>
            <w:rStyle w:val="Hyperlink"/>
          </w:rPr>
          <w:t>Background to the Request</w:t>
        </w:r>
        <w:r w:rsidR="006436D8">
          <w:rPr>
            <w:webHidden/>
          </w:rPr>
          <w:tab/>
        </w:r>
        <w:r w:rsidR="006436D8">
          <w:rPr>
            <w:webHidden/>
          </w:rPr>
          <w:fldChar w:fldCharType="begin"/>
        </w:r>
        <w:r w:rsidR="006436D8">
          <w:rPr>
            <w:webHidden/>
          </w:rPr>
          <w:instrText xml:space="preserve"> PAGEREF _Toc79670309 \h </w:instrText>
        </w:r>
        <w:r w:rsidR="006436D8">
          <w:rPr>
            <w:webHidden/>
          </w:rPr>
        </w:r>
        <w:r w:rsidR="006436D8">
          <w:rPr>
            <w:webHidden/>
          </w:rPr>
          <w:fldChar w:fldCharType="separate"/>
        </w:r>
        <w:r w:rsidR="006436D8">
          <w:rPr>
            <w:webHidden/>
          </w:rPr>
          <w:t>3</w:t>
        </w:r>
        <w:r w:rsidR="006436D8">
          <w:rPr>
            <w:webHidden/>
          </w:rPr>
          <w:fldChar w:fldCharType="end"/>
        </w:r>
      </w:hyperlink>
    </w:p>
    <w:p w14:paraId="673BEE08" w14:textId="3E4EE924" w:rsidR="006436D8" w:rsidRDefault="0097315A">
      <w:pPr>
        <w:pStyle w:val="TOC3"/>
        <w:rPr>
          <w:rFonts w:asciiTheme="minorHAnsi" w:eastAsiaTheme="minorEastAsia" w:hAnsiTheme="minorHAnsi" w:cstheme="minorBidi"/>
        </w:rPr>
      </w:pPr>
      <w:hyperlink w:anchor="_Toc79670310" w:history="1">
        <w:r w:rsidR="006436D8" w:rsidRPr="001369BE">
          <w:rPr>
            <w:rStyle w:val="Hyperlink"/>
            <w:rFonts w:cs="Times New Roman"/>
          </w:rPr>
          <w:t>Part  III</w:t>
        </w:r>
        <w:r w:rsidR="006436D8">
          <w:rPr>
            <w:rFonts w:asciiTheme="minorHAnsi" w:eastAsiaTheme="minorEastAsia" w:hAnsiTheme="minorHAnsi" w:cstheme="minorBidi"/>
          </w:rPr>
          <w:tab/>
        </w:r>
        <w:r w:rsidR="006436D8" w:rsidRPr="001369BE">
          <w:rPr>
            <w:rStyle w:val="Hyperlink"/>
          </w:rPr>
          <w:t>Evidence Previously Considered by the Authority</w:t>
        </w:r>
        <w:r w:rsidR="006436D8">
          <w:rPr>
            <w:webHidden/>
          </w:rPr>
          <w:tab/>
        </w:r>
        <w:r w:rsidR="006436D8">
          <w:rPr>
            <w:webHidden/>
          </w:rPr>
          <w:fldChar w:fldCharType="begin"/>
        </w:r>
        <w:r w:rsidR="006436D8">
          <w:rPr>
            <w:webHidden/>
          </w:rPr>
          <w:instrText xml:space="preserve"> PAGEREF _Toc79670310 \h </w:instrText>
        </w:r>
        <w:r w:rsidR="006436D8">
          <w:rPr>
            <w:webHidden/>
          </w:rPr>
        </w:r>
        <w:r w:rsidR="006436D8">
          <w:rPr>
            <w:webHidden/>
          </w:rPr>
          <w:fldChar w:fldCharType="separate"/>
        </w:r>
        <w:r w:rsidR="006436D8">
          <w:rPr>
            <w:webHidden/>
          </w:rPr>
          <w:t>4</w:t>
        </w:r>
        <w:r w:rsidR="006436D8">
          <w:rPr>
            <w:webHidden/>
          </w:rPr>
          <w:fldChar w:fldCharType="end"/>
        </w:r>
      </w:hyperlink>
    </w:p>
    <w:p w14:paraId="012793C2" w14:textId="57E8BDA6" w:rsidR="006436D8" w:rsidRDefault="0097315A">
      <w:pPr>
        <w:pStyle w:val="TOC3"/>
        <w:rPr>
          <w:rFonts w:asciiTheme="minorHAnsi" w:eastAsiaTheme="minorEastAsia" w:hAnsiTheme="minorHAnsi" w:cstheme="minorBidi"/>
        </w:rPr>
      </w:pPr>
      <w:hyperlink w:anchor="_Toc79670311" w:history="1">
        <w:r w:rsidR="006436D8" w:rsidRPr="001369BE">
          <w:rPr>
            <w:rStyle w:val="Hyperlink"/>
            <w:rFonts w:cs="Times New Roman"/>
          </w:rPr>
          <w:t>Part  IV</w:t>
        </w:r>
        <w:r w:rsidR="006436D8">
          <w:rPr>
            <w:rFonts w:asciiTheme="minorHAnsi" w:eastAsiaTheme="minorEastAsia" w:hAnsiTheme="minorHAnsi" w:cstheme="minorBidi"/>
          </w:rPr>
          <w:tab/>
        </w:r>
        <w:r w:rsidR="006436D8" w:rsidRPr="001369BE">
          <w:rPr>
            <w:rStyle w:val="Hyperlink"/>
          </w:rPr>
          <w:t>New Information Considered by the Authority</w:t>
        </w:r>
        <w:r w:rsidR="006436D8">
          <w:rPr>
            <w:webHidden/>
          </w:rPr>
          <w:tab/>
        </w:r>
        <w:r w:rsidR="006436D8">
          <w:rPr>
            <w:webHidden/>
          </w:rPr>
          <w:fldChar w:fldCharType="begin"/>
        </w:r>
        <w:r w:rsidR="006436D8">
          <w:rPr>
            <w:webHidden/>
          </w:rPr>
          <w:instrText xml:space="preserve"> PAGEREF _Toc79670311 \h </w:instrText>
        </w:r>
        <w:r w:rsidR="006436D8">
          <w:rPr>
            <w:webHidden/>
          </w:rPr>
        </w:r>
        <w:r w:rsidR="006436D8">
          <w:rPr>
            <w:webHidden/>
          </w:rPr>
          <w:fldChar w:fldCharType="separate"/>
        </w:r>
        <w:r w:rsidR="006436D8">
          <w:rPr>
            <w:webHidden/>
          </w:rPr>
          <w:t>4</w:t>
        </w:r>
        <w:r w:rsidR="006436D8">
          <w:rPr>
            <w:webHidden/>
          </w:rPr>
          <w:fldChar w:fldCharType="end"/>
        </w:r>
      </w:hyperlink>
    </w:p>
    <w:p w14:paraId="665C2DB3" w14:textId="7BAF1077" w:rsidR="006436D8" w:rsidRDefault="0097315A">
      <w:pPr>
        <w:pStyle w:val="TOC3"/>
        <w:rPr>
          <w:rFonts w:asciiTheme="minorHAnsi" w:eastAsiaTheme="minorEastAsia" w:hAnsiTheme="minorHAnsi" w:cstheme="minorBidi"/>
        </w:rPr>
      </w:pPr>
      <w:hyperlink w:anchor="_Toc79670312" w:history="1">
        <w:r w:rsidR="006436D8" w:rsidRPr="001369BE">
          <w:rPr>
            <w:rStyle w:val="Hyperlink"/>
            <w:rFonts w:cs="Times New Roman"/>
          </w:rPr>
          <w:t>Part  V</w:t>
        </w:r>
        <w:r w:rsidR="006436D8">
          <w:rPr>
            <w:rFonts w:asciiTheme="minorHAnsi" w:eastAsiaTheme="minorEastAsia" w:hAnsiTheme="minorHAnsi" w:cstheme="minorBidi"/>
          </w:rPr>
          <w:tab/>
        </w:r>
        <w:r w:rsidR="006436D8" w:rsidRPr="001369BE">
          <w:rPr>
            <w:rStyle w:val="Hyperlink"/>
          </w:rPr>
          <w:t>Summary of New and Existing Evidence</w:t>
        </w:r>
        <w:r w:rsidR="006436D8">
          <w:rPr>
            <w:webHidden/>
          </w:rPr>
          <w:tab/>
        </w:r>
        <w:r w:rsidR="006436D8">
          <w:rPr>
            <w:webHidden/>
          </w:rPr>
          <w:fldChar w:fldCharType="begin"/>
        </w:r>
        <w:r w:rsidR="006436D8">
          <w:rPr>
            <w:webHidden/>
          </w:rPr>
          <w:instrText xml:space="preserve"> PAGEREF _Toc79670312 \h </w:instrText>
        </w:r>
        <w:r w:rsidR="006436D8">
          <w:rPr>
            <w:webHidden/>
          </w:rPr>
        </w:r>
        <w:r w:rsidR="006436D8">
          <w:rPr>
            <w:webHidden/>
          </w:rPr>
          <w:fldChar w:fldCharType="separate"/>
        </w:r>
        <w:r w:rsidR="006436D8">
          <w:rPr>
            <w:webHidden/>
          </w:rPr>
          <w:t>5</w:t>
        </w:r>
        <w:r w:rsidR="006436D8">
          <w:rPr>
            <w:webHidden/>
          </w:rPr>
          <w:fldChar w:fldCharType="end"/>
        </w:r>
      </w:hyperlink>
    </w:p>
    <w:p w14:paraId="79521D04" w14:textId="28577CA9" w:rsidR="006436D8" w:rsidRDefault="0097315A">
      <w:pPr>
        <w:pStyle w:val="TOC3"/>
        <w:rPr>
          <w:rFonts w:asciiTheme="minorHAnsi" w:eastAsiaTheme="minorEastAsia" w:hAnsiTheme="minorHAnsi" w:cstheme="minorBidi"/>
        </w:rPr>
      </w:pPr>
      <w:hyperlink w:anchor="_Toc79670313" w:history="1">
        <w:r w:rsidR="006436D8" w:rsidRPr="001369BE">
          <w:rPr>
            <w:rStyle w:val="Hyperlink"/>
            <w:rFonts w:cs="Times New Roman"/>
          </w:rPr>
          <w:t>Part  VI</w:t>
        </w:r>
        <w:r w:rsidR="006436D8">
          <w:rPr>
            <w:rFonts w:asciiTheme="minorHAnsi" w:eastAsiaTheme="minorEastAsia" w:hAnsiTheme="minorHAnsi" w:cstheme="minorBidi"/>
          </w:rPr>
          <w:tab/>
        </w:r>
        <w:r w:rsidR="006436D8" w:rsidRPr="001369BE">
          <w:rPr>
            <w:rStyle w:val="Hyperlink"/>
          </w:rPr>
          <w:t>Findings of Fact</w:t>
        </w:r>
        <w:r w:rsidR="006436D8">
          <w:rPr>
            <w:webHidden/>
          </w:rPr>
          <w:tab/>
        </w:r>
        <w:r w:rsidR="006436D8">
          <w:rPr>
            <w:webHidden/>
          </w:rPr>
          <w:fldChar w:fldCharType="begin"/>
        </w:r>
        <w:r w:rsidR="006436D8">
          <w:rPr>
            <w:webHidden/>
          </w:rPr>
          <w:instrText xml:space="preserve"> PAGEREF _Toc79670313 \h </w:instrText>
        </w:r>
        <w:r w:rsidR="006436D8">
          <w:rPr>
            <w:webHidden/>
          </w:rPr>
        </w:r>
        <w:r w:rsidR="006436D8">
          <w:rPr>
            <w:webHidden/>
          </w:rPr>
          <w:fldChar w:fldCharType="separate"/>
        </w:r>
        <w:r w:rsidR="006436D8">
          <w:rPr>
            <w:webHidden/>
          </w:rPr>
          <w:t>7</w:t>
        </w:r>
        <w:r w:rsidR="006436D8">
          <w:rPr>
            <w:webHidden/>
          </w:rPr>
          <w:fldChar w:fldCharType="end"/>
        </w:r>
      </w:hyperlink>
    </w:p>
    <w:p w14:paraId="5E302AD2" w14:textId="5BE8EE21" w:rsidR="006436D8" w:rsidRDefault="0097315A">
      <w:pPr>
        <w:pStyle w:val="TOC3"/>
        <w:rPr>
          <w:rFonts w:asciiTheme="minorHAnsi" w:eastAsiaTheme="minorEastAsia" w:hAnsiTheme="minorHAnsi" w:cstheme="minorBidi"/>
        </w:rPr>
      </w:pPr>
      <w:hyperlink w:anchor="_Toc79670314" w:history="1">
        <w:r w:rsidR="006436D8" w:rsidRPr="001369BE">
          <w:rPr>
            <w:rStyle w:val="Hyperlink"/>
            <w:rFonts w:cs="Times New Roman"/>
          </w:rPr>
          <w:t>Part  VII</w:t>
        </w:r>
        <w:r w:rsidR="006436D8">
          <w:rPr>
            <w:rFonts w:asciiTheme="minorHAnsi" w:eastAsiaTheme="minorEastAsia" w:hAnsiTheme="minorHAnsi" w:cstheme="minorBidi"/>
          </w:rPr>
          <w:tab/>
        </w:r>
        <w:r w:rsidR="006436D8" w:rsidRPr="001369BE">
          <w:rPr>
            <w:rStyle w:val="Hyperlink"/>
          </w:rPr>
          <w:t>Reasons for the Decision</w:t>
        </w:r>
        <w:r w:rsidR="006436D8">
          <w:rPr>
            <w:webHidden/>
          </w:rPr>
          <w:tab/>
        </w:r>
        <w:r w:rsidR="006436D8">
          <w:rPr>
            <w:webHidden/>
          </w:rPr>
          <w:fldChar w:fldCharType="begin"/>
        </w:r>
        <w:r w:rsidR="006436D8">
          <w:rPr>
            <w:webHidden/>
          </w:rPr>
          <w:instrText xml:space="preserve"> PAGEREF _Toc79670314 \h </w:instrText>
        </w:r>
        <w:r w:rsidR="006436D8">
          <w:rPr>
            <w:webHidden/>
          </w:rPr>
        </w:r>
        <w:r w:rsidR="006436D8">
          <w:rPr>
            <w:webHidden/>
          </w:rPr>
          <w:fldChar w:fldCharType="separate"/>
        </w:r>
        <w:r w:rsidR="006436D8">
          <w:rPr>
            <w:webHidden/>
          </w:rPr>
          <w:t>7</w:t>
        </w:r>
        <w:r w:rsidR="006436D8">
          <w:rPr>
            <w:webHidden/>
          </w:rPr>
          <w:fldChar w:fldCharType="end"/>
        </w:r>
      </w:hyperlink>
    </w:p>
    <w:p w14:paraId="78E7AA9A" w14:textId="657A0501" w:rsidR="006436D8" w:rsidRDefault="0097315A">
      <w:pPr>
        <w:pStyle w:val="TOC3"/>
        <w:rPr>
          <w:rFonts w:asciiTheme="minorHAnsi" w:eastAsiaTheme="minorEastAsia" w:hAnsiTheme="minorHAnsi" w:cstheme="minorBidi"/>
        </w:rPr>
      </w:pPr>
      <w:hyperlink w:anchor="_Toc79670315" w:history="1">
        <w:r w:rsidR="006436D8" w:rsidRPr="001369BE">
          <w:rPr>
            <w:rStyle w:val="Hyperlink"/>
            <w:rFonts w:cs="Times New Roman"/>
          </w:rPr>
          <w:t>Part  VIII</w:t>
        </w:r>
        <w:r w:rsidR="006436D8">
          <w:rPr>
            <w:rFonts w:asciiTheme="minorHAnsi" w:eastAsiaTheme="minorEastAsia" w:hAnsiTheme="minorHAnsi" w:cstheme="minorBidi"/>
          </w:rPr>
          <w:tab/>
        </w:r>
        <w:r w:rsidR="006436D8" w:rsidRPr="001369BE">
          <w:rPr>
            <w:rStyle w:val="Hyperlink"/>
          </w:rPr>
          <w:t>Conclusions</w:t>
        </w:r>
        <w:r w:rsidR="006436D8">
          <w:rPr>
            <w:webHidden/>
          </w:rPr>
          <w:tab/>
        </w:r>
        <w:r w:rsidR="006436D8">
          <w:rPr>
            <w:webHidden/>
          </w:rPr>
          <w:fldChar w:fldCharType="begin"/>
        </w:r>
        <w:r w:rsidR="006436D8">
          <w:rPr>
            <w:webHidden/>
          </w:rPr>
          <w:instrText xml:space="preserve"> PAGEREF _Toc79670315 \h </w:instrText>
        </w:r>
        <w:r w:rsidR="006436D8">
          <w:rPr>
            <w:webHidden/>
          </w:rPr>
        </w:r>
        <w:r w:rsidR="006436D8">
          <w:rPr>
            <w:webHidden/>
          </w:rPr>
          <w:fldChar w:fldCharType="separate"/>
        </w:r>
        <w:r w:rsidR="006436D8">
          <w:rPr>
            <w:webHidden/>
          </w:rPr>
          <w:t>9</w:t>
        </w:r>
        <w:r w:rsidR="006436D8">
          <w:rPr>
            <w:webHidden/>
          </w:rPr>
          <w:fldChar w:fldCharType="end"/>
        </w:r>
      </w:hyperlink>
    </w:p>
    <w:p w14:paraId="6A88E0DC" w14:textId="4BF80AE2" w:rsidR="006436D8" w:rsidRDefault="0097315A">
      <w:pPr>
        <w:pStyle w:val="TOC3"/>
        <w:rPr>
          <w:rFonts w:asciiTheme="minorHAnsi" w:eastAsiaTheme="minorEastAsia" w:hAnsiTheme="minorHAnsi" w:cstheme="minorBidi"/>
        </w:rPr>
      </w:pPr>
      <w:hyperlink w:anchor="_Toc79670316" w:history="1">
        <w:r w:rsidR="006436D8" w:rsidRPr="001369BE">
          <w:rPr>
            <w:rStyle w:val="Hyperlink"/>
            <w:rFonts w:cs="Times New Roman"/>
          </w:rPr>
          <w:t>Part  IX</w:t>
        </w:r>
        <w:r w:rsidR="006436D8">
          <w:rPr>
            <w:rFonts w:asciiTheme="minorHAnsi" w:eastAsiaTheme="minorEastAsia" w:hAnsiTheme="minorHAnsi" w:cstheme="minorBidi"/>
          </w:rPr>
          <w:tab/>
        </w:r>
        <w:r w:rsidR="006436D8" w:rsidRPr="001369BE">
          <w:rPr>
            <w:rStyle w:val="Hyperlink"/>
          </w:rPr>
          <w:t>Decision</w:t>
        </w:r>
        <w:r w:rsidR="006436D8">
          <w:rPr>
            <w:webHidden/>
          </w:rPr>
          <w:tab/>
        </w:r>
        <w:r w:rsidR="006436D8">
          <w:rPr>
            <w:webHidden/>
          </w:rPr>
          <w:fldChar w:fldCharType="begin"/>
        </w:r>
        <w:r w:rsidR="006436D8">
          <w:rPr>
            <w:webHidden/>
          </w:rPr>
          <w:instrText xml:space="preserve"> PAGEREF _Toc79670316 \h </w:instrText>
        </w:r>
        <w:r w:rsidR="006436D8">
          <w:rPr>
            <w:webHidden/>
          </w:rPr>
        </w:r>
        <w:r w:rsidR="006436D8">
          <w:rPr>
            <w:webHidden/>
          </w:rPr>
          <w:fldChar w:fldCharType="separate"/>
        </w:r>
        <w:r w:rsidR="006436D8">
          <w:rPr>
            <w:webHidden/>
          </w:rPr>
          <w:t>10</w:t>
        </w:r>
        <w:r w:rsidR="006436D8">
          <w:rPr>
            <w:webHidden/>
          </w:rPr>
          <w:fldChar w:fldCharType="end"/>
        </w:r>
      </w:hyperlink>
    </w:p>
    <w:p w14:paraId="1971BF2C" w14:textId="77777777" w:rsidR="00614DF1" w:rsidRDefault="00614DF1" w:rsidP="00614DF1">
      <w:r>
        <w:fldChar w:fldCharType="end"/>
      </w:r>
    </w:p>
    <w:p w14:paraId="3BBFC204" w14:textId="77777777" w:rsidR="00614DF1" w:rsidRDefault="00614DF1" w:rsidP="00614DF1">
      <w:pPr>
        <w:tabs>
          <w:tab w:val="left" w:pos="1635"/>
        </w:tabs>
      </w:pPr>
      <w:r>
        <w:tab/>
      </w:r>
    </w:p>
    <w:p w14:paraId="4682F4C9" w14:textId="77777777" w:rsidR="00614DF1" w:rsidRDefault="00614DF1" w:rsidP="00614DF1"/>
    <w:p w14:paraId="28F59AFD" w14:textId="77777777" w:rsidR="00614DF1" w:rsidRDefault="00614DF1" w:rsidP="00614DF1">
      <w:pPr>
        <w:sectPr w:rsidR="00614DF1">
          <w:footerReference w:type="even" r:id="rId9"/>
          <w:footerReference w:type="default" r:id="rId10"/>
          <w:footerReference w:type="first" r:id="rId11"/>
          <w:pgSz w:w="11900" w:h="16840" w:code="9"/>
          <w:pgMar w:top="1418" w:right="1361" w:bottom="1418" w:left="1361" w:header="561" w:footer="561" w:gutter="0"/>
          <w:pgNumType w:start="1"/>
          <w:cols w:space="720"/>
          <w:titlePg/>
          <w:docGrid w:linePitch="299"/>
        </w:sectPr>
      </w:pPr>
    </w:p>
    <w:p w14:paraId="714798D3" w14:textId="77777777" w:rsidR="00614DF1" w:rsidRDefault="00614DF1" w:rsidP="00614DF1">
      <w:pPr>
        <w:pStyle w:val="PartHeading"/>
      </w:pPr>
      <w:bookmarkStart w:id="0" w:name="InsertFileHere"/>
      <w:bookmarkStart w:id="1" w:name="TOC"/>
      <w:bookmarkStart w:id="2" w:name="_Toc79670308"/>
      <w:bookmarkEnd w:id="0"/>
      <w:bookmarkEnd w:id="1"/>
      <w:r>
        <w:lastRenderedPageBreak/>
        <w:t>Introduction</w:t>
      </w:r>
      <w:bookmarkEnd w:id="2"/>
    </w:p>
    <w:p w14:paraId="79F8BB7F" w14:textId="01705E94" w:rsidR="00867A23" w:rsidRPr="00EE2F35" w:rsidRDefault="00867A23" w:rsidP="00833C55">
      <w:pPr>
        <w:pStyle w:val="NumberLevel1"/>
        <w:numPr>
          <w:ilvl w:val="0"/>
          <w:numId w:val="4"/>
        </w:numPr>
        <w:tabs>
          <w:tab w:val="clear" w:pos="567"/>
        </w:tabs>
        <w:outlineLvl w:val="9"/>
      </w:pPr>
      <w:r>
        <w:t xml:space="preserve">On </w:t>
      </w:r>
      <w:r w:rsidR="00833C55">
        <w:t>24</w:t>
      </w:r>
      <w:r>
        <w:t xml:space="preserve"> March 2021, the Repatriation Medical Authority (the Authority) received a request from </w:t>
      </w:r>
      <w:r w:rsidR="0097315A">
        <w:t>the applicant</w:t>
      </w:r>
      <w:bookmarkStart w:id="3" w:name="_GoBack"/>
      <w:bookmarkEnd w:id="3"/>
      <w:r>
        <w:t xml:space="preserve">, </w:t>
      </w:r>
      <w:r w:rsidR="00833C55">
        <w:t>seeking</w:t>
      </w:r>
      <w:r>
        <w:t xml:space="preserve"> a review, by way of an investigation, of</w:t>
      </w:r>
      <w:r w:rsidRPr="006A1B9A">
        <w:t xml:space="preserve"> </w:t>
      </w:r>
      <w:r>
        <w:t xml:space="preserve">the contents of the Statements of Principles (SOPs) concerning malignant neoplasm of the </w:t>
      </w:r>
      <w:r w:rsidR="00833C55">
        <w:t>prostate</w:t>
      </w:r>
      <w:r>
        <w:t xml:space="preserve"> (Instrument Nos. 85 and 86 of 2016). The applicant requested that the Authority review the</w:t>
      </w:r>
      <w:r w:rsidR="00833C55">
        <w:t>se SOPs and include a factor in relation to asbestos exposure</w:t>
      </w:r>
      <w:r>
        <w:t>.</w:t>
      </w:r>
    </w:p>
    <w:p w14:paraId="563DF551" w14:textId="480DC172" w:rsidR="00867A23" w:rsidRDefault="00867A23" w:rsidP="00833C55">
      <w:pPr>
        <w:pStyle w:val="NumberLevel1"/>
        <w:numPr>
          <w:ilvl w:val="0"/>
          <w:numId w:val="4"/>
        </w:numPr>
        <w:outlineLvl w:val="9"/>
      </w:pPr>
      <w:r w:rsidRPr="00E504A1">
        <w:t xml:space="preserve">The request for review was made under s 196E of the </w:t>
      </w:r>
      <w:r w:rsidRPr="00E504A1">
        <w:rPr>
          <w:i/>
        </w:rPr>
        <w:t>Veterans' Entitlements Act 1986</w:t>
      </w:r>
      <w:r>
        <w:rPr>
          <w:i/>
        </w:rPr>
        <w:t xml:space="preserve"> </w:t>
      </w:r>
      <w:r w:rsidRPr="009A5DAE">
        <w:t>(the</w:t>
      </w:r>
      <w:r w:rsidRPr="00E504A1">
        <w:t xml:space="preserve"> VEA) by </w:t>
      </w:r>
      <w:r w:rsidR="00833C55" w:rsidRPr="00833C55">
        <w:t xml:space="preserve">a person eligible to make a claim for a pension under Part II or IV of </w:t>
      </w:r>
      <w:r w:rsidR="00833C55">
        <w:t>the VEA</w:t>
      </w:r>
      <w:r w:rsidRPr="00E504A1">
        <w:t>.</w:t>
      </w:r>
    </w:p>
    <w:p w14:paraId="13A39C62" w14:textId="37DF4F54" w:rsidR="006E7E1C" w:rsidRDefault="00867A23" w:rsidP="00515F51">
      <w:pPr>
        <w:pStyle w:val="NumberLevel1"/>
        <w:numPr>
          <w:ilvl w:val="0"/>
          <w:numId w:val="4"/>
        </w:numPr>
        <w:tabs>
          <w:tab w:val="clear" w:pos="567"/>
        </w:tabs>
        <w:outlineLvl w:val="9"/>
      </w:pPr>
      <w:r>
        <w:t>At its meeting on 5 May 2021, after an initial review of the available sound medical-scientific evidence (SMSE)</w:t>
      </w:r>
      <w:r w:rsidR="006E7E1C">
        <w:t>,</w:t>
      </w:r>
      <w:r>
        <w:t xml:space="preserve"> the Authority decided to conduct a focussed review </w:t>
      </w:r>
      <w:r w:rsidRPr="000F5307">
        <w:t xml:space="preserve">in relation to </w:t>
      </w:r>
      <w:r w:rsidR="000F2335">
        <w:t>asbestos exposure</w:t>
      </w:r>
      <w:r w:rsidRPr="000F5307">
        <w:t xml:space="preserve"> as a factor for malignant neoplasm of the </w:t>
      </w:r>
      <w:r w:rsidR="000F2335">
        <w:t>prostate</w:t>
      </w:r>
      <w:r>
        <w:t xml:space="preserve">. </w:t>
      </w:r>
      <w:r w:rsidR="006E7E1C">
        <w:t xml:space="preserve">A notice of investigation advertising this focussed review was published in the Government Notices Gazette on 1 June 2021. </w:t>
      </w:r>
    </w:p>
    <w:p w14:paraId="44A47619" w14:textId="5528A736" w:rsidR="00DF012E" w:rsidRDefault="00867A23" w:rsidP="00515F51">
      <w:pPr>
        <w:pStyle w:val="NumberLevel1"/>
        <w:numPr>
          <w:ilvl w:val="0"/>
          <w:numId w:val="4"/>
        </w:numPr>
        <w:tabs>
          <w:tab w:val="clear" w:pos="567"/>
        </w:tabs>
        <w:outlineLvl w:val="9"/>
      </w:pPr>
      <w:r>
        <w:t xml:space="preserve">Having completed the review, the Authority decided at its meeting on 4 August 2021 not to amend the SOPs concerning malignant neoplasm of the </w:t>
      </w:r>
      <w:r w:rsidR="000F2335">
        <w:t>prostate</w:t>
      </w:r>
      <w:r>
        <w:t xml:space="preserve"> to include a factor in relation to </w:t>
      </w:r>
      <w:r w:rsidR="000F2335">
        <w:t>asbestos exposure</w:t>
      </w:r>
      <w:r>
        <w:t xml:space="preserve">. This Statement of Reasons provides the Authority's reasons for deciding not to amend the SOPs </w:t>
      </w:r>
      <w:r w:rsidR="00BE2CC2">
        <w:t>to include such a factor.</w:t>
      </w:r>
    </w:p>
    <w:p w14:paraId="66C0DA15" w14:textId="77777777" w:rsidR="00614DF1" w:rsidRDefault="00614DF1" w:rsidP="00614DF1">
      <w:pPr>
        <w:pStyle w:val="PartHeading"/>
      </w:pPr>
      <w:bookmarkStart w:id="4" w:name="_Toc79670309"/>
      <w:r>
        <w:t>Background to the Request</w:t>
      </w:r>
      <w:bookmarkEnd w:id="4"/>
      <w:r>
        <w:t xml:space="preserve"> </w:t>
      </w:r>
    </w:p>
    <w:p w14:paraId="04E2C0A4" w14:textId="00CF1019" w:rsidR="00BE2CC2" w:rsidRDefault="009F7970" w:rsidP="00BE2CC2">
      <w:pPr>
        <w:pStyle w:val="NumberLevel1"/>
        <w:numPr>
          <w:ilvl w:val="0"/>
          <w:numId w:val="4"/>
        </w:numPr>
      </w:pPr>
      <w:r>
        <w:t xml:space="preserve">Although not specifically stated, a fair reading of the applicant's request indicates that he wished </w:t>
      </w:r>
      <w:r w:rsidR="00BE2CC2">
        <w:t xml:space="preserve">the Authority </w:t>
      </w:r>
      <w:r>
        <w:t xml:space="preserve">to </w:t>
      </w:r>
      <w:r w:rsidR="00BE2CC2">
        <w:t>consider adding</w:t>
      </w:r>
      <w:r w:rsidR="000F2335">
        <w:t xml:space="preserve"> one or both of</w:t>
      </w:r>
      <w:r w:rsidR="00BE2CC2">
        <w:t xml:space="preserve"> the following factors to the SOPs concerning malignant neoplasm of the </w:t>
      </w:r>
      <w:r w:rsidR="000F2335">
        <w:t>prostate</w:t>
      </w:r>
      <w:r w:rsidR="00BE2CC2">
        <w:t xml:space="preserve"> (Instrument Nos. </w:t>
      </w:r>
      <w:r w:rsidR="000F2335">
        <w:t>53</w:t>
      </w:r>
      <w:r w:rsidR="00BE2CC2">
        <w:t xml:space="preserve"> and </w:t>
      </w:r>
      <w:r w:rsidR="000F2335">
        <w:t>54</w:t>
      </w:r>
      <w:r w:rsidR="00BE2CC2">
        <w:t xml:space="preserve"> of 201</w:t>
      </w:r>
      <w:r w:rsidR="000F2335">
        <w:t>4</w:t>
      </w:r>
      <w:r w:rsidR="00BE2CC2">
        <w:t>):</w:t>
      </w:r>
    </w:p>
    <w:p w14:paraId="0A04FAFE" w14:textId="618BE8FE" w:rsidR="00BE2CC2" w:rsidRPr="00092C58" w:rsidRDefault="00BE2CC2" w:rsidP="00092C58">
      <w:pPr>
        <w:pStyle w:val="ListParagraph"/>
        <w:keepNext/>
        <w:keepLines/>
        <w:numPr>
          <w:ilvl w:val="0"/>
          <w:numId w:val="11"/>
        </w:numPr>
        <w:spacing w:before="120"/>
        <w:ind w:left="993" w:hanging="426"/>
        <w:rPr>
          <w:rFonts w:ascii="Arial" w:hAnsi="Arial" w:cs="Arial"/>
          <w:sz w:val="22"/>
          <w:szCs w:val="22"/>
        </w:rPr>
      </w:pPr>
      <w:r w:rsidRPr="00092C58">
        <w:rPr>
          <w:rFonts w:ascii="Arial" w:hAnsi="Arial" w:cs="Arial"/>
          <w:sz w:val="22"/>
          <w:szCs w:val="22"/>
        </w:rPr>
        <w:t xml:space="preserve">exposure to </w:t>
      </w:r>
      <w:r w:rsidR="000F2335" w:rsidRPr="00092C58">
        <w:rPr>
          <w:rFonts w:ascii="Arial" w:hAnsi="Arial" w:cs="Arial"/>
          <w:sz w:val="22"/>
          <w:szCs w:val="22"/>
        </w:rPr>
        <w:t>asbestos</w:t>
      </w:r>
      <w:r w:rsidR="009F7970" w:rsidRPr="00092C58">
        <w:rPr>
          <w:rFonts w:ascii="Arial" w:hAnsi="Arial" w:cs="Arial"/>
          <w:sz w:val="22"/>
          <w:szCs w:val="22"/>
        </w:rPr>
        <w:t xml:space="preserve"> generally</w:t>
      </w:r>
      <w:r w:rsidRPr="00092C58">
        <w:rPr>
          <w:rFonts w:ascii="Arial" w:hAnsi="Arial" w:cs="Arial"/>
          <w:sz w:val="22"/>
          <w:szCs w:val="22"/>
        </w:rPr>
        <w:t xml:space="preserve">; </w:t>
      </w:r>
      <w:r w:rsidR="000F2335" w:rsidRPr="00092C58">
        <w:rPr>
          <w:rFonts w:ascii="Arial" w:hAnsi="Arial" w:cs="Arial"/>
          <w:sz w:val="22"/>
          <w:szCs w:val="22"/>
        </w:rPr>
        <w:t>or</w:t>
      </w:r>
    </w:p>
    <w:p w14:paraId="7C1DAA93" w14:textId="34EAC917" w:rsidR="00BE2CC2" w:rsidRPr="00092C58" w:rsidRDefault="009F7970" w:rsidP="00092C58">
      <w:pPr>
        <w:pStyle w:val="ListParagraph"/>
        <w:keepNext/>
        <w:keepLines/>
        <w:numPr>
          <w:ilvl w:val="0"/>
          <w:numId w:val="11"/>
        </w:numPr>
        <w:spacing w:before="120"/>
        <w:ind w:left="993" w:hanging="426"/>
        <w:rPr>
          <w:rFonts w:ascii="Arial" w:hAnsi="Arial" w:cs="Arial"/>
          <w:sz w:val="22"/>
          <w:szCs w:val="22"/>
        </w:rPr>
      </w:pPr>
      <w:proofErr w:type="gramStart"/>
      <w:r w:rsidRPr="00092C58">
        <w:rPr>
          <w:rFonts w:ascii="Arial" w:hAnsi="Arial" w:cs="Arial"/>
          <w:sz w:val="22"/>
          <w:szCs w:val="22"/>
        </w:rPr>
        <w:t>consuming</w:t>
      </w:r>
      <w:proofErr w:type="gramEnd"/>
      <w:r w:rsidRPr="00092C58">
        <w:rPr>
          <w:rFonts w:ascii="Arial" w:hAnsi="Arial" w:cs="Arial"/>
          <w:sz w:val="22"/>
          <w:szCs w:val="22"/>
        </w:rPr>
        <w:t xml:space="preserve"> water contaminated with asbestos</w:t>
      </w:r>
      <w:r w:rsidR="00BE2CC2" w:rsidRPr="00092C58">
        <w:rPr>
          <w:rFonts w:ascii="Arial" w:hAnsi="Arial" w:cs="Arial"/>
          <w:sz w:val="22"/>
          <w:szCs w:val="22"/>
        </w:rPr>
        <w:t>.</w:t>
      </w:r>
    </w:p>
    <w:p w14:paraId="1925D479" w14:textId="4789D578" w:rsidR="00BE2CC2" w:rsidRDefault="009F7970" w:rsidP="009F7970">
      <w:pPr>
        <w:pStyle w:val="NumberLevel1"/>
        <w:numPr>
          <w:ilvl w:val="0"/>
          <w:numId w:val="4"/>
        </w:numPr>
      </w:pPr>
      <w:r>
        <w:t>This request</w:t>
      </w:r>
      <w:r w:rsidR="00BE2CC2">
        <w:t xml:space="preserve"> was supported by </w:t>
      </w:r>
      <w:r>
        <w:t xml:space="preserve">the ground that the applicant had </w:t>
      </w:r>
      <w:r w:rsidR="002A471A">
        <w:t>located</w:t>
      </w:r>
      <w:r>
        <w:t xml:space="preserve"> information identifying a positive link between asbestos exposure and malignant neoplasm of the prostate</w:t>
      </w:r>
      <w:r w:rsidR="00BE2CC2">
        <w:t>.</w:t>
      </w:r>
      <w:r>
        <w:t xml:space="preserve"> The applicant also relied on his own personal experience of possible exposure to asbestos while serving as a member of the United Nations Peacekeeping Force in Cyprus in the 1960s.</w:t>
      </w:r>
      <w:r w:rsidR="00BE2CC2">
        <w:t xml:space="preserve"> </w:t>
      </w:r>
    </w:p>
    <w:p w14:paraId="61DE40B8" w14:textId="00DE2D5B" w:rsidR="00BE2CC2" w:rsidRDefault="00BE2CC2" w:rsidP="00BE2CC2">
      <w:pPr>
        <w:pStyle w:val="NumberLevel1"/>
        <w:numPr>
          <w:ilvl w:val="0"/>
          <w:numId w:val="4"/>
        </w:numPr>
      </w:pPr>
      <w:r>
        <w:t xml:space="preserve">In support of this ground, the applicant provided </w:t>
      </w:r>
      <w:r w:rsidR="009F7970">
        <w:t>the following information</w:t>
      </w:r>
      <w:r>
        <w:t>:</w:t>
      </w:r>
    </w:p>
    <w:p w14:paraId="5B317BE4" w14:textId="31897EA3" w:rsidR="009F7970" w:rsidRDefault="009F7970" w:rsidP="009F7970">
      <w:pPr>
        <w:pStyle w:val="NumberLevel1"/>
        <w:numPr>
          <w:ilvl w:val="1"/>
          <w:numId w:val="15"/>
        </w:numPr>
        <w:tabs>
          <w:tab w:val="clear" w:pos="927"/>
          <w:tab w:val="num" w:pos="1134"/>
        </w:tabs>
        <w:ind w:left="1134" w:hanging="567"/>
        <w:outlineLvl w:val="9"/>
      </w:pPr>
      <w:r>
        <w:t xml:space="preserve">Information on </w:t>
      </w:r>
      <w:r w:rsidR="001573C5">
        <w:t>'</w:t>
      </w:r>
      <w:r>
        <w:t>prostate cancer</w:t>
      </w:r>
      <w:r w:rsidR="001573C5">
        <w:t>'</w:t>
      </w:r>
      <w:r>
        <w:t xml:space="preserve"> which the applicant</w:t>
      </w:r>
      <w:r w:rsidR="002A471A">
        <w:t xml:space="preserve"> stated</w:t>
      </w:r>
      <w:r>
        <w:t xml:space="preserve"> was downloaded from the mesothelioma resource online. This article has no cited author or date, although it did make reference to two </w:t>
      </w:r>
      <w:r w:rsidR="002A471A">
        <w:t xml:space="preserve">other </w:t>
      </w:r>
      <w:r>
        <w:t xml:space="preserve">unidentified articles: </w:t>
      </w:r>
    </w:p>
    <w:p w14:paraId="66FF8C7C" w14:textId="77777777" w:rsidR="009F7970" w:rsidRDefault="009F7970" w:rsidP="009F7970">
      <w:pPr>
        <w:pStyle w:val="NumberLevel1"/>
        <w:numPr>
          <w:ilvl w:val="2"/>
          <w:numId w:val="15"/>
        </w:numPr>
        <w:outlineLvl w:val="9"/>
      </w:pPr>
      <w:r>
        <w:t xml:space="preserve">an autopsy study of 14 cases of pulmonary disease due to asbestos exposure of whom 43% had asbestos bodies in their prostate tissue; and </w:t>
      </w:r>
    </w:p>
    <w:p w14:paraId="26E76D61" w14:textId="2DF05735" w:rsidR="009F7970" w:rsidRDefault="009F7970" w:rsidP="009F7970">
      <w:pPr>
        <w:pStyle w:val="NumberLevel1"/>
        <w:numPr>
          <w:ilvl w:val="2"/>
          <w:numId w:val="15"/>
        </w:numPr>
        <w:outlineLvl w:val="9"/>
      </w:pPr>
      <w:proofErr w:type="gramStart"/>
      <w:r>
        <w:t>a</w:t>
      </w:r>
      <w:proofErr w:type="gramEnd"/>
      <w:r>
        <w:t xml:space="preserve"> Danish study published in 1993 reporting an association between asbestos and prostate cancer cases. </w:t>
      </w:r>
    </w:p>
    <w:p w14:paraId="3AE5EAD9" w14:textId="671927FE" w:rsidR="009F7970" w:rsidRDefault="009F7970" w:rsidP="00923A58">
      <w:pPr>
        <w:pStyle w:val="NumberLevel1"/>
        <w:numPr>
          <w:ilvl w:val="1"/>
          <w:numId w:val="15"/>
        </w:numPr>
      </w:pPr>
      <w:r>
        <w:t xml:space="preserve">Information on </w:t>
      </w:r>
      <w:r w:rsidR="001573C5">
        <w:t>'</w:t>
      </w:r>
      <w:r>
        <w:t>Asbest</w:t>
      </w:r>
      <w:r w:rsidR="001573C5">
        <w:t>os exposure and prostate cancer'</w:t>
      </w:r>
      <w:r>
        <w:t xml:space="preserve"> which the </w:t>
      </w:r>
      <w:r w:rsidR="002A471A">
        <w:t>applicant stated</w:t>
      </w:r>
      <w:r>
        <w:t xml:space="preserve"> was downloaded from the as</w:t>
      </w:r>
      <w:r w:rsidR="002A471A">
        <w:t>bestos.</w:t>
      </w:r>
      <w:r>
        <w:t>com. This article mentioned three studies</w:t>
      </w:r>
      <w:r w:rsidR="002A471A">
        <w:t>,</w:t>
      </w:r>
      <w:r>
        <w:t xml:space="preserve"> two of which were the studies mentioned above. The additional study was a Fin</w:t>
      </w:r>
      <w:r w:rsidR="002A471A">
        <w:t>n</w:t>
      </w:r>
      <w:r>
        <w:t>ish 2003 prospective study of 23,285 men and 930 women who were exposed to asbestos and followed for eight years.</w:t>
      </w:r>
      <w:r w:rsidR="00923A58" w:rsidRPr="00923A58">
        <w:t xml:space="preserve"> </w:t>
      </w:r>
      <w:r w:rsidR="00923A58">
        <w:t xml:space="preserve">This is likely the study by Koskinen et al (2003), referred to </w:t>
      </w:r>
      <w:r w:rsidR="00923A58">
        <w:lastRenderedPageBreak/>
        <w:t>below.</w:t>
      </w:r>
      <w:r>
        <w:t xml:space="preserve"> The study reported a higher incidence of prostate cancer than the background Fin</w:t>
      </w:r>
      <w:r w:rsidR="002A471A">
        <w:t>n</w:t>
      </w:r>
      <w:r>
        <w:t xml:space="preserve">ish population. </w:t>
      </w:r>
    </w:p>
    <w:p w14:paraId="26453FBF" w14:textId="72E22B44" w:rsidR="00BE2CC2" w:rsidRDefault="001573C5" w:rsidP="009F7970">
      <w:pPr>
        <w:pStyle w:val="NumberLevel1"/>
        <w:numPr>
          <w:ilvl w:val="1"/>
          <w:numId w:val="15"/>
        </w:numPr>
        <w:outlineLvl w:val="9"/>
      </w:pPr>
      <w:r>
        <w:t>'</w:t>
      </w:r>
      <w:r w:rsidR="009F7970">
        <w:t>A</w:t>
      </w:r>
      <w:r>
        <w:t>rsenic mine tailings and health'</w:t>
      </w:r>
      <w:r w:rsidR="009F7970">
        <w:t xml:space="preserve"> internet article from </w:t>
      </w:r>
      <w:proofErr w:type="spellStart"/>
      <w:r w:rsidR="009F7970">
        <w:t>BetterHealth</w:t>
      </w:r>
      <w:proofErr w:type="spellEnd"/>
      <w:r w:rsidR="009F7970">
        <w:t xml:space="preserve"> channel 2018 by the Department of Health and Human Services for the Victorian state government. This article d</w:t>
      </w:r>
      <w:r>
        <w:t>oes not mention prostate cancer, although the applicant queried whether there might be a link between exposure to copper tailings and prostate cancer. However, because the applicant specifically requested that the Authority consider asbestos exposure, the Authority did not consider further the topic of copper tailings.</w:t>
      </w:r>
    </w:p>
    <w:p w14:paraId="7325E237" w14:textId="7F304353" w:rsidR="00614DF1" w:rsidRDefault="008128F5" w:rsidP="00614DF1">
      <w:pPr>
        <w:pStyle w:val="PartHeading"/>
      </w:pPr>
      <w:bookmarkStart w:id="5" w:name="_Toc79670310"/>
      <w:r>
        <w:t>Evidence</w:t>
      </w:r>
      <w:r w:rsidR="00614DF1">
        <w:t xml:space="preserve"> Previously Considered by the Authority</w:t>
      </w:r>
      <w:bookmarkEnd w:id="5"/>
    </w:p>
    <w:p w14:paraId="2FB2E41D" w14:textId="5DDAA526" w:rsidR="00BE2CC2" w:rsidRPr="00C52668" w:rsidRDefault="00BE2CC2" w:rsidP="00BE2CC2">
      <w:pPr>
        <w:pStyle w:val="NumberLevel1"/>
        <w:keepNext/>
        <w:keepLines/>
        <w:numPr>
          <w:ilvl w:val="0"/>
          <w:numId w:val="4"/>
        </w:numPr>
        <w:outlineLvl w:val="9"/>
      </w:pPr>
      <w:r w:rsidRPr="00C52668">
        <w:t xml:space="preserve">At the time that the </w:t>
      </w:r>
      <w:r>
        <w:t>SOPs</w:t>
      </w:r>
      <w:r w:rsidRPr="00F97A62">
        <w:t xml:space="preserve"> concerning </w:t>
      </w:r>
      <w:r>
        <w:t xml:space="preserve">malignant neoplasm of the </w:t>
      </w:r>
      <w:r w:rsidR="002B2EB6">
        <w:t>prostate</w:t>
      </w:r>
      <w:r>
        <w:rPr>
          <w:i/>
        </w:rPr>
        <w:t xml:space="preserve"> </w:t>
      </w:r>
      <w:r w:rsidRPr="00F97A62">
        <w:t>(No</w:t>
      </w:r>
      <w:r>
        <w:t>s</w:t>
      </w:r>
      <w:r w:rsidRPr="00F97A62">
        <w:t xml:space="preserve">. </w:t>
      </w:r>
      <w:r w:rsidR="002B2EB6">
        <w:t>53</w:t>
      </w:r>
      <w:r>
        <w:t xml:space="preserve"> and </w:t>
      </w:r>
      <w:r w:rsidR="002B2EB6">
        <w:t>54</w:t>
      </w:r>
      <w:r>
        <w:t xml:space="preserve"> </w:t>
      </w:r>
      <w:r w:rsidRPr="00F97A62">
        <w:t>of</w:t>
      </w:r>
      <w:r>
        <w:t xml:space="preserve"> 201</w:t>
      </w:r>
      <w:r w:rsidR="002B2EB6">
        <w:t>4</w:t>
      </w:r>
      <w:r w:rsidRPr="00F97A62">
        <w:t>)</w:t>
      </w:r>
      <w:r>
        <w:t xml:space="preserve"> were </w:t>
      </w:r>
      <w:r w:rsidRPr="00C52668">
        <w:t>determined, the Authority had before it information including:</w:t>
      </w:r>
    </w:p>
    <w:p w14:paraId="7CE5F4C3" w14:textId="1C4AF594" w:rsidR="00BE2CC2" w:rsidRPr="00C52668" w:rsidRDefault="00BE2CC2" w:rsidP="00BE2CC2">
      <w:pPr>
        <w:pStyle w:val="ListParagraph"/>
        <w:keepNext/>
        <w:keepLines/>
        <w:numPr>
          <w:ilvl w:val="0"/>
          <w:numId w:val="11"/>
        </w:numPr>
        <w:spacing w:before="120"/>
        <w:ind w:left="993" w:hanging="426"/>
        <w:rPr>
          <w:rFonts w:ascii="Arial" w:hAnsi="Arial" w:cs="Arial"/>
          <w:sz w:val="22"/>
          <w:szCs w:val="22"/>
        </w:rPr>
      </w:pPr>
      <w:r w:rsidRPr="00C52668">
        <w:rPr>
          <w:rFonts w:ascii="Arial" w:hAnsi="Arial" w:cs="Arial"/>
          <w:sz w:val="22"/>
          <w:szCs w:val="22"/>
        </w:rPr>
        <w:t xml:space="preserve">briefing papers prepared in </w:t>
      </w:r>
      <w:r w:rsidR="002B2EB6">
        <w:rPr>
          <w:rFonts w:ascii="Arial" w:hAnsi="Arial" w:cs="Arial"/>
          <w:sz w:val="22"/>
          <w:szCs w:val="22"/>
        </w:rPr>
        <w:t>December 2013</w:t>
      </w:r>
      <w:r w:rsidRPr="00C52668">
        <w:rPr>
          <w:rFonts w:ascii="Arial" w:hAnsi="Arial" w:cs="Arial"/>
          <w:sz w:val="22"/>
          <w:szCs w:val="22"/>
        </w:rPr>
        <w:t xml:space="preserve"> by a Repatriation Medical Authority medical researcher; and</w:t>
      </w:r>
      <w:r>
        <w:rPr>
          <w:rFonts w:ascii="Arial" w:hAnsi="Arial" w:cs="Arial"/>
          <w:sz w:val="22"/>
          <w:szCs w:val="22"/>
        </w:rPr>
        <w:t xml:space="preserve"> </w:t>
      </w:r>
    </w:p>
    <w:p w14:paraId="1803A42D" w14:textId="51DBCC93" w:rsidR="00614DF1" w:rsidRDefault="00BE2CC2" w:rsidP="00BE2CC2">
      <w:pPr>
        <w:pStyle w:val="NumberLevel1"/>
        <w:numPr>
          <w:ilvl w:val="0"/>
          <w:numId w:val="11"/>
        </w:numPr>
        <w:spacing w:before="0"/>
        <w:ind w:left="993" w:hanging="426"/>
        <w:outlineLvl w:val="9"/>
      </w:pPr>
      <w:proofErr w:type="gramStart"/>
      <w:r w:rsidRPr="00C52668">
        <w:t>an</w:t>
      </w:r>
      <w:proofErr w:type="gramEnd"/>
      <w:r w:rsidRPr="00C52668">
        <w:t xml:space="preserve"> extensive number of articles published in the peer-reviewed literature.</w:t>
      </w:r>
    </w:p>
    <w:p w14:paraId="7843FDC3" w14:textId="673082CE" w:rsidR="002B2EB6" w:rsidRPr="00C52668" w:rsidRDefault="002B2EB6" w:rsidP="00367BF2">
      <w:pPr>
        <w:pStyle w:val="NumberLevel1"/>
        <w:keepNext/>
        <w:keepLines/>
        <w:numPr>
          <w:ilvl w:val="0"/>
          <w:numId w:val="4"/>
        </w:numPr>
        <w:outlineLvl w:val="9"/>
      </w:pPr>
      <w:r>
        <w:t xml:space="preserve">In addition to the full review which it finalised in 2014, the Authority considered a discussion paper at its October 2016 meeting on the topic of asbestos exposure and prostate cancer. Under paragraph </w:t>
      </w:r>
      <w:proofErr w:type="gramStart"/>
      <w:r>
        <w:t>196CA(</w:t>
      </w:r>
      <w:proofErr w:type="gramEnd"/>
      <w:r>
        <w:t>1)(b) of the VEA, the Authority decided not to conduct a focussed review, as the request did not identify sufficient relevant information to justify a review.</w:t>
      </w:r>
      <w:r w:rsidR="00367BF2">
        <w:t xml:space="preserve"> In making this decision, the Authority had regard to </w:t>
      </w:r>
      <w:r w:rsidR="00367BF2" w:rsidRPr="00367BF2">
        <w:t xml:space="preserve">four retrospective cohort studies </w:t>
      </w:r>
      <w:r w:rsidR="00367BF2">
        <w:t xml:space="preserve">concerning an association between asbestos exposure and prostate cancer. </w:t>
      </w:r>
    </w:p>
    <w:p w14:paraId="5EBE230B" w14:textId="77777777" w:rsidR="00614DF1" w:rsidRDefault="00614DF1" w:rsidP="00614DF1">
      <w:pPr>
        <w:pStyle w:val="PartHeading"/>
      </w:pPr>
      <w:bookmarkStart w:id="6" w:name="_Toc79670311"/>
      <w:r>
        <w:t>New Information Considered by the Authority</w:t>
      </w:r>
      <w:bookmarkEnd w:id="6"/>
    </w:p>
    <w:p w14:paraId="7A0637E6" w14:textId="75BD219A" w:rsidR="00614DF1" w:rsidRDefault="00BE2CC2" w:rsidP="00097496">
      <w:pPr>
        <w:pStyle w:val="NumberLevel1"/>
        <w:numPr>
          <w:ilvl w:val="0"/>
          <w:numId w:val="4"/>
        </w:numPr>
        <w:outlineLvl w:val="9"/>
        <w:rPr>
          <w:szCs w:val="24"/>
        </w:rPr>
      </w:pPr>
      <w:r w:rsidRPr="001E082D">
        <w:rPr>
          <w:szCs w:val="24"/>
        </w:rPr>
        <w:t>The information provided by the applicant, identified above, was considered.</w:t>
      </w:r>
      <w:r>
        <w:rPr>
          <w:szCs w:val="24"/>
        </w:rPr>
        <w:t xml:space="preserve"> </w:t>
      </w:r>
      <w:r w:rsidRPr="00097496">
        <w:rPr>
          <w:szCs w:val="24"/>
        </w:rPr>
        <w:t>A discussion paper that considered the information supplied by the applicant and other available relevant SMSE was prepared by a Repatriation Medic</w:t>
      </w:r>
      <w:r>
        <w:rPr>
          <w:szCs w:val="24"/>
        </w:rPr>
        <w:t>al Authority medical researcher for</w:t>
      </w:r>
      <w:r w:rsidR="00D96B81">
        <w:rPr>
          <w:szCs w:val="24"/>
        </w:rPr>
        <w:t xml:space="preserve"> the Authority's meeting held on </w:t>
      </w:r>
      <w:r>
        <w:rPr>
          <w:szCs w:val="24"/>
        </w:rPr>
        <w:t>5 May</w:t>
      </w:r>
      <w:r w:rsidR="00D96B81">
        <w:rPr>
          <w:szCs w:val="24"/>
        </w:rPr>
        <w:t xml:space="preserve"> 2021.</w:t>
      </w:r>
    </w:p>
    <w:p w14:paraId="2ACFFCEE" w14:textId="7AD2D5ED" w:rsidR="00367BF2" w:rsidRDefault="00D96B81" w:rsidP="00097496">
      <w:pPr>
        <w:pStyle w:val="NumberLevel1"/>
        <w:numPr>
          <w:ilvl w:val="0"/>
          <w:numId w:val="4"/>
        </w:numPr>
        <w:outlineLvl w:val="9"/>
        <w:rPr>
          <w:szCs w:val="24"/>
        </w:rPr>
      </w:pPr>
      <w:r>
        <w:rPr>
          <w:szCs w:val="24"/>
        </w:rPr>
        <w:t xml:space="preserve">A briefing paper </w:t>
      </w:r>
      <w:r w:rsidR="008E26CC">
        <w:rPr>
          <w:szCs w:val="24"/>
        </w:rPr>
        <w:t xml:space="preserve">providing a more detailed analysis of the current SMSE </w:t>
      </w:r>
      <w:r>
        <w:rPr>
          <w:szCs w:val="24"/>
        </w:rPr>
        <w:t xml:space="preserve">was prepared by a medical researcher for the Authority's </w:t>
      </w:r>
      <w:r w:rsidR="008E26CC">
        <w:rPr>
          <w:szCs w:val="24"/>
        </w:rPr>
        <w:t xml:space="preserve">meeting held on </w:t>
      </w:r>
      <w:r w:rsidR="00BE2CC2">
        <w:rPr>
          <w:szCs w:val="24"/>
        </w:rPr>
        <w:t>4 August</w:t>
      </w:r>
      <w:r w:rsidR="008E26CC">
        <w:rPr>
          <w:szCs w:val="24"/>
        </w:rPr>
        <w:t xml:space="preserve"> 2021, as part of the focussed review into '</w:t>
      </w:r>
      <w:r w:rsidR="002B2EB6">
        <w:rPr>
          <w:szCs w:val="24"/>
        </w:rPr>
        <w:t>asbestos exposure</w:t>
      </w:r>
      <w:r w:rsidR="008E26CC">
        <w:rPr>
          <w:szCs w:val="24"/>
        </w:rPr>
        <w:t xml:space="preserve">' as a factor in malignant neoplasm of the </w:t>
      </w:r>
      <w:r w:rsidR="00367BF2">
        <w:rPr>
          <w:szCs w:val="24"/>
        </w:rPr>
        <w:t>prostate</w:t>
      </w:r>
      <w:r w:rsidR="008E26CC">
        <w:rPr>
          <w:szCs w:val="24"/>
        </w:rPr>
        <w:t>.</w:t>
      </w:r>
    </w:p>
    <w:p w14:paraId="36555742" w14:textId="66082701" w:rsidR="00D96B81" w:rsidRDefault="00422B86" w:rsidP="00097496">
      <w:pPr>
        <w:pStyle w:val="NumberLevel1"/>
        <w:numPr>
          <w:ilvl w:val="0"/>
          <w:numId w:val="4"/>
        </w:numPr>
        <w:outlineLvl w:val="9"/>
        <w:rPr>
          <w:szCs w:val="24"/>
        </w:rPr>
      </w:pPr>
      <w:r>
        <w:rPr>
          <w:szCs w:val="24"/>
        </w:rPr>
        <w:t>T</w:t>
      </w:r>
      <w:r w:rsidR="00367BF2">
        <w:rPr>
          <w:szCs w:val="24"/>
        </w:rPr>
        <w:t>he Authority also received a submission to the investigation from a veteran dated 8 June 2021. The veteran had a 20 year career in the Royal Australian Navy from the 1960s to the 1980s, and his submission indicates that the ships and other defence establishments on which he served had large amounts of asbestos-containing material. The veteran was diagnosed with prostate cancer in 2012 and although not specifically stated, it is implied that he considers there to be a link between his asbestos exposure during service and the onset of the prostate cancer.</w:t>
      </w:r>
      <w:r w:rsidR="007A14C3">
        <w:rPr>
          <w:szCs w:val="24"/>
        </w:rPr>
        <w:t xml:space="preserve"> However, there was no SMSE or other supporting information provided with this submission.</w:t>
      </w:r>
    </w:p>
    <w:p w14:paraId="61CD3B29" w14:textId="759AB8E2" w:rsidR="00422B86" w:rsidRPr="00097496" w:rsidRDefault="00A21883" w:rsidP="00A21883">
      <w:pPr>
        <w:pStyle w:val="NumberLevel1"/>
        <w:keepLines/>
        <w:numPr>
          <w:ilvl w:val="0"/>
          <w:numId w:val="4"/>
        </w:numPr>
        <w:outlineLvl w:val="9"/>
        <w:rPr>
          <w:szCs w:val="24"/>
        </w:rPr>
      </w:pPr>
      <w:r>
        <w:rPr>
          <w:szCs w:val="24"/>
        </w:rPr>
        <w:t>The Authority greatly appreciates the time and effort which both the applicant and submitter have taken in preparing their submissions. I</w:t>
      </w:r>
      <w:r w:rsidR="00422B86">
        <w:rPr>
          <w:szCs w:val="24"/>
        </w:rPr>
        <w:t xml:space="preserve">t is important to note that in forming any view during an investigation, the Authority </w:t>
      </w:r>
      <w:r>
        <w:rPr>
          <w:szCs w:val="24"/>
        </w:rPr>
        <w:t xml:space="preserve">may rely only on SMSE: subsection </w:t>
      </w:r>
      <w:proofErr w:type="gramStart"/>
      <w:r>
        <w:rPr>
          <w:szCs w:val="24"/>
        </w:rPr>
        <w:t>196C(</w:t>
      </w:r>
      <w:proofErr w:type="gramEnd"/>
      <w:r>
        <w:rPr>
          <w:szCs w:val="24"/>
        </w:rPr>
        <w:t>3), VEA. Consequently, the Authority was unable to take into account every aspect of the submissions provided.</w:t>
      </w:r>
    </w:p>
    <w:p w14:paraId="5B9B5FCC" w14:textId="7275CCE7" w:rsidR="00614DF1" w:rsidRDefault="00614DF1" w:rsidP="00BE2CC2">
      <w:pPr>
        <w:pStyle w:val="PartHeading"/>
      </w:pPr>
      <w:bookmarkStart w:id="7" w:name="_Toc79670312"/>
      <w:r>
        <w:lastRenderedPageBreak/>
        <w:t xml:space="preserve">Summary of New and Existing </w:t>
      </w:r>
      <w:r w:rsidR="008128F5">
        <w:t>Evidence</w:t>
      </w:r>
      <w:bookmarkEnd w:id="7"/>
    </w:p>
    <w:p w14:paraId="71AF5829" w14:textId="15704BFE" w:rsidR="007A14C3" w:rsidRPr="007A14C3" w:rsidRDefault="007A14C3" w:rsidP="007A14C3">
      <w:pPr>
        <w:pStyle w:val="NumberLevel1"/>
        <w:keepNext/>
        <w:keepLines/>
        <w:tabs>
          <w:tab w:val="clear" w:pos="360"/>
        </w:tabs>
        <w:rPr>
          <w:b/>
          <w:szCs w:val="24"/>
        </w:rPr>
      </w:pPr>
      <w:r>
        <w:rPr>
          <w:b/>
          <w:szCs w:val="24"/>
        </w:rPr>
        <w:t>Asbestos exposure generally</w:t>
      </w:r>
    </w:p>
    <w:p w14:paraId="23E42C38" w14:textId="1E16007F" w:rsidR="007A14C3" w:rsidRPr="007A14C3" w:rsidRDefault="007A14C3" w:rsidP="00B73D44">
      <w:pPr>
        <w:pStyle w:val="NumberLevel1"/>
        <w:numPr>
          <w:ilvl w:val="0"/>
          <w:numId w:val="4"/>
        </w:numPr>
        <w:rPr>
          <w:szCs w:val="24"/>
        </w:rPr>
      </w:pPr>
      <w:r w:rsidRPr="007A14C3">
        <w:rPr>
          <w:szCs w:val="24"/>
        </w:rPr>
        <w:t xml:space="preserve">Two recent meta-analyses found small but significant overall associations between asbestos exposure and risk of prostate cancer. </w:t>
      </w:r>
      <w:proofErr w:type="spellStart"/>
      <w:r w:rsidRPr="007A14C3">
        <w:rPr>
          <w:szCs w:val="24"/>
        </w:rPr>
        <w:t>Dutheil</w:t>
      </w:r>
      <w:proofErr w:type="spellEnd"/>
      <w:r w:rsidRPr="007A14C3">
        <w:rPr>
          <w:szCs w:val="24"/>
        </w:rPr>
        <w:t xml:space="preserve"> et al (2020)</w:t>
      </w:r>
      <w:r>
        <w:rPr>
          <w:rStyle w:val="FootnoteReference"/>
          <w:szCs w:val="24"/>
        </w:rPr>
        <w:footnoteReference w:id="1"/>
      </w:r>
      <w:r w:rsidRPr="007A14C3">
        <w:rPr>
          <w:szCs w:val="24"/>
        </w:rPr>
        <w:t xml:space="preserve"> found a relative risk of 1.10 (95% CI 1.05 -1.15, based on 30 studies), while Peng et al (2019)</w:t>
      </w:r>
      <w:r w:rsidR="00092C58">
        <w:rPr>
          <w:rStyle w:val="FootnoteReference"/>
          <w:szCs w:val="24"/>
        </w:rPr>
        <w:footnoteReference w:id="2"/>
      </w:r>
      <w:r w:rsidRPr="007A14C3">
        <w:rPr>
          <w:szCs w:val="24"/>
        </w:rPr>
        <w:t xml:space="preserve"> found a summary risk of 1.22 (95% CI 1.13 - 1.32, based on 17 studies). There was a lack of consistency in the results of studies: only 8 out of 33 studies in the </w:t>
      </w:r>
      <w:proofErr w:type="spellStart"/>
      <w:r w:rsidRPr="007A14C3">
        <w:rPr>
          <w:szCs w:val="24"/>
        </w:rPr>
        <w:t>Dutheil</w:t>
      </w:r>
      <w:proofErr w:type="spellEnd"/>
      <w:r w:rsidRPr="007A14C3">
        <w:rPr>
          <w:szCs w:val="24"/>
        </w:rPr>
        <w:t xml:space="preserve"> et al</w:t>
      </w:r>
      <w:r w:rsidR="00092C58">
        <w:rPr>
          <w:szCs w:val="24"/>
        </w:rPr>
        <w:t xml:space="preserve"> (2020)</w:t>
      </w:r>
      <w:r w:rsidRPr="007A14C3">
        <w:rPr>
          <w:szCs w:val="24"/>
        </w:rPr>
        <w:t xml:space="preserve"> meta-analysis found significant positive associations, with all other studies having null or non-significant findings and wide confidence intervals. Stratified results by type of risk demonstrated a small increased risk of prostate cancer incidence (SIR 1.16, 95% CI 1.04-1.27), but no evidence of increased prostate cancer mortality (SMR 1.09, 95% CI 0.98-1.19).</w:t>
      </w:r>
    </w:p>
    <w:p w14:paraId="3D1CA443" w14:textId="77777777" w:rsidR="00C601BE" w:rsidRDefault="007A14C3" w:rsidP="00B73D44">
      <w:pPr>
        <w:pStyle w:val="NumberLevel1"/>
        <w:numPr>
          <w:ilvl w:val="0"/>
          <w:numId w:val="4"/>
        </w:numPr>
        <w:rPr>
          <w:szCs w:val="24"/>
        </w:rPr>
      </w:pPr>
      <w:r w:rsidRPr="007A14C3">
        <w:rPr>
          <w:szCs w:val="24"/>
        </w:rPr>
        <w:t xml:space="preserve">Both meta-analyses had significant methodological issues which limit the interpretation of these findings. The article by Peng et al (2019) was retracted by the journal due to concerns about the quality and thoroughness of the literature review, including concerns regarding double-counted observations, the inclusion of some cohorts of oil refinery workers, and the potential for bias in the combination of prostate cancer incidence and mortality. </w:t>
      </w:r>
    </w:p>
    <w:p w14:paraId="0D2F4AF1" w14:textId="50EA0708" w:rsidR="007A14C3" w:rsidRPr="007A14C3" w:rsidRDefault="007A14C3" w:rsidP="00B73D44">
      <w:pPr>
        <w:pStyle w:val="NumberLevel1"/>
        <w:numPr>
          <w:ilvl w:val="0"/>
          <w:numId w:val="4"/>
        </w:numPr>
        <w:rPr>
          <w:szCs w:val="24"/>
        </w:rPr>
      </w:pPr>
      <w:proofErr w:type="spellStart"/>
      <w:r w:rsidRPr="007A14C3">
        <w:rPr>
          <w:szCs w:val="24"/>
        </w:rPr>
        <w:t>Boffeta</w:t>
      </w:r>
      <w:proofErr w:type="spellEnd"/>
      <w:r w:rsidRPr="007A14C3">
        <w:rPr>
          <w:szCs w:val="24"/>
        </w:rPr>
        <w:t xml:space="preserve"> et al (2021)</w:t>
      </w:r>
      <w:r w:rsidR="00A30070">
        <w:rPr>
          <w:rStyle w:val="FootnoteReference"/>
          <w:szCs w:val="24"/>
        </w:rPr>
        <w:footnoteReference w:id="3"/>
      </w:r>
      <w:r w:rsidRPr="007A14C3">
        <w:rPr>
          <w:szCs w:val="24"/>
        </w:rPr>
        <w:t xml:space="preserve"> made similar observations about the analysis by </w:t>
      </w:r>
      <w:proofErr w:type="spellStart"/>
      <w:r w:rsidRPr="007A14C3">
        <w:rPr>
          <w:szCs w:val="24"/>
        </w:rPr>
        <w:t>Dutheil</w:t>
      </w:r>
      <w:proofErr w:type="spellEnd"/>
      <w:r w:rsidRPr="007A14C3">
        <w:rPr>
          <w:szCs w:val="24"/>
        </w:rPr>
        <w:t xml:space="preserve"> et al</w:t>
      </w:r>
      <w:r w:rsidR="00A30070">
        <w:rPr>
          <w:szCs w:val="24"/>
        </w:rPr>
        <w:t xml:space="preserve"> (2020)</w:t>
      </w:r>
      <w:r w:rsidRPr="007A14C3">
        <w:rPr>
          <w:szCs w:val="24"/>
        </w:rPr>
        <w:t xml:space="preserve">: studies of incidence and mortality were combined, the most recent updates of findings from four cohort studies were not included, two large studies with null or negative findings were not included, and a study of oil refinery workers with exposure to other potential carcinogens was included. </w:t>
      </w:r>
    </w:p>
    <w:p w14:paraId="6A5AC29C" w14:textId="28494C62" w:rsidR="007A14C3" w:rsidRPr="007A14C3" w:rsidRDefault="007A14C3" w:rsidP="00B73D44">
      <w:pPr>
        <w:pStyle w:val="NumberLevel1"/>
        <w:numPr>
          <w:ilvl w:val="0"/>
          <w:numId w:val="4"/>
        </w:numPr>
        <w:rPr>
          <w:szCs w:val="24"/>
        </w:rPr>
      </w:pPr>
      <w:r w:rsidRPr="007A14C3">
        <w:rPr>
          <w:szCs w:val="24"/>
        </w:rPr>
        <w:t>Some cohort studies (many of which were included in the above meta-analyses) have found small but significant associations for groups exposed or possibly exposed t</w:t>
      </w:r>
      <w:r>
        <w:rPr>
          <w:szCs w:val="24"/>
        </w:rPr>
        <w:t>o asbestos and prostate cancer:</w:t>
      </w:r>
    </w:p>
    <w:p w14:paraId="36E8CA51" w14:textId="227C1BBC" w:rsidR="007A14C3" w:rsidRPr="00092C58" w:rsidRDefault="007A14C3" w:rsidP="00B73D44">
      <w:pPr>
        <w:pStyle w:val="ListParagraph"/>
        <w:numPr>
          <w:ilvl w:val="0"/>
          <w:numId w:val="11"/>
        </w:numPr>
        <w:spacing w:before="120"/>
        <w:ind w:left="992" w:hanging="425"/>
        <w:rPr>
          <w:rFonts w:ascii="Arial" w:hAnsi="Arial" w:cs="Arial"/>
          <w:sz w:val="22"/>
          <w:szCs w:val="22"/>
        </w:rPr>
      </w:pPr>
      <w:proofErr w:type="spellStart"/>
      <w:r w:rsidRPr="00092C58">
        <w:rPr>
          <w:rFonts w:ascii="Arial" w:hAnsi="Arial" w:cs="Arial"/>
          <w:sz w:val="22"/>
          <w:szCs w:val="22"/>
        </w:rPr>
        <w:t>Boice</w:t>
      </w:r>
      <w:proofErr w:type="spellEnd"/>
      <w:r w:rsidRPr="00092C58">
        <w:rPr>
          <w:rFonts w:ascii="Arial" w:hAnsi="Arial" w:cs="Arial"/>
          <w:sz w:val="22"/>
          <w:szCs w:val="22"/>
        </w:rPr>
        <w:t xml:space="preserve"> et al (2020)</w:t>
      </w:r>
      <w:r w:rsidR="00A30070">
        <w:rPr>
          <w:rStyle w:val="FootnoteReference"/>
          <w:rFonts w:ascii="Arial" w:hAnsi="Arial" w:cs="Arial"/>
          <w:sz w:val="22"/>
          <w:szCs w:val="22"/>
        </w:rPr>
        <w:footnoteReference w:id="4"/>
      </w:r>
      <w:r w:rsidRPr="00092C58">
        <w:rPr>
          <w:rFonts w:ascii="Arial" w:hAnsi="Arial" w:cs="Arial"/>
          <w:sz w:val="22"/>
          <w:szCs w:val="22"/>
        </w:rPr>
        <w:t xml:space="preserve"> for prostate cancer mortality in military personnel involved in nuclear testing: SMR 1.13, 95% CI 1.08–1.18.</w:t>
      </w:r>
    </w:p>
    <w:p w14:paraId="1BA651A1" w14:textId="337EA4C3" w:rsidR="007A14C3" w:rsidRPr="00092C58" w:rsidRDefault="007A14C3" w:rsidP="00B73D44">
      <w:pPr>
        <w:pStyle w:val="ListParagraph"/>
        <w:numPr>
          <w:ilvl w:val="0"/>
          <w:numId w:val="11"/>
        </w:numPr>
        <w:spacing w:before="120"/>
        <w:ind w:left="992" w:hanging="425"/>
        <w:rPr>
          <w:rFonts w:ascii="Arial" w:hAnsi="Arial" w:cs="Arial"/>
          <w:sz w:val="22"/>
          <w:szCs w:val="22"/>
        </w:rPr>
      </w:pPr>
      <w:proofErr w:type="spellStart"/>
      <w:r w:rsidRPr="00092C58">
        <w:rPr>
          <w:rFonts w:ascii="Arial" w:hAnsi="Arial" w:cs="Arial"/>
          <w:sz w:val="22"/>
          <w:szCs w:val="22"/>
        </w:rPr>
        <w:t>Sorahan</w:t>
      </w:r>
      <w:proofErr w:type="spellEnd"/>
      <w:r w:rsidRPr="00092C58">
        <w:rPr>
          <w:rFonts w:ascii="Arial" w:hAnsi="Arial" w:cs="Arial"/>
          <w:sz w:val="22"/>
          <w:szCs w:val="22"/>
        </w:rPr>
        <w:t xml:space="preserve"> (2019)</w:t>
      </w:r>
      <w:r w:rsidR="00A30070">
        <w:rPr>
          <w:rStyle w:val="FootnoteReference"/>
          <w:rFonts w:ascii="Arial" w:hAnsi="Arial" w:cs="Arial"/>
          <w:sz w:val="22"/>
          <w:szCs w:val="22"/>
        </w:rPr>
        <w:footnoteReference w:id="5"/>
      </w:r>
      <w:r w:rsidRPr="00092C58">
        <w:rPr>
          <w:rFonts w:ascii="Arial" w:hAnsi="Arial" w:cs="Arial"/>
          <w:sz w:val="22"/>
          <w:szCs w:val="22"/>
        </w:rPr>
        <w:t xml:space="preserve"> in electrical workers who may have been exposed to asbestos in previous occupations, SIR 1.06, 95% CI 1.02–1.09.</w:t>
      </w:r>
    </w:p>
    <w:p w14:paraId="56965CE9" w14:textId="11482406" w:rsidR="007A14C3" w:rsidRPr="00092C58" w:rsidRDefault="007A14C3" w:rsidP="00B73D44">
      <w:pPr>
        <w:pStyle w:val="ListParagraph"/>
        <w:numPr>
          <w:ilvl w:val="0"/>
          <w:numId w:val="11"/>
        </w:numPr>
        <w:spacing w:before="120"/>
        <w:ind w:left="992" w:hanging="425"/>
        <w:rPr>
          <w:rFonts w:ascii="Arial" w:hAnsi="Arial" w:cs="Arial"/>
          <w:sz w:val="22"/>
          <w:szCs w:val="22"/>
        </w:rPr>
      </w:pPr>
      <w:proofErr w:type="spellStart"/>
      <w:r w:rsidRPr="00092C58">
        <w:rPr>
          <w:rFonts w:ascii="Arial" w:hAnsi="Arial" w:cs="Arial"/>
          <w:sz w:val="22"/>
          <w:szCs w:val="22"/>
        </w:rPr>
        <w:t>Korda</w:t>
      </w:r>
      <w:proofErr w:type="spellEnd"/>
      <w:r w:rsidRPr="00092C58">
        <w:rPr>
          <w:rFonts w:ascii="Arial" w:hAnsi="Arial" w:cs="Arial"/>
          <w:sz w:val="22"/>
          <w:szCs w:val="22"/>
        </w:rPr>
        <w:t xml:space="preserve"> et al (2017)</w:t>
      </w:r>
      <w:r w:rsidR="00A30070">
        <w:rPr>
          <w:rStyle w:val="FootnoteReference"/>
          <w:rFonts w:ascii="Arial" w:hAnsi="Arial" w:cs="Arial"/>
          <w:sz w:val="22"/>
          <w:szCs w:val="22"/>
        </w:rPr>
        <w:footnoteReference w:id="6"/>
      </w:r>
      <w:r w:rsidRPr="00092C58">
        <w:rPr>
          <w:rFonts w:ascii="Arial" w:hAnsi="Arial" w:cs="Arial"/>
          <w:sz w:val="22"/>
          <w:szCs w:val="22"/>
        </w:rPr>
        <w:t xml:space="preserve"> for prostate cancer incidence in men exposed to asbestos insulation in the Australian Capital Territory, SIR 1.29, 95% CI 1.07-1.54.</w:t>
      </w:r>
    </w:p>
    <w:p w14:paraId="61774529" w14:textId="789E2971" w:rsidR="007A14C3" w:rsidRPr="00092C58" w:rsidRDefault="007A14C3" w:rsidP="00B73D44">
      <w:pPr>
        <w:pStyle w:val="ListParagraph"/>
        <w:numPr>
          <w:ilvl w:val="0"/>
          <w:numId w:val="11"/>
        </w:numPr>
        <w:spacing w:before="120"/>
        <w:ind w:left="992" w:hanging="425"/>
        <w:rPr>
          <w:rFonts w:ascii="Arial" w:hAnsi="Arial" w:cs="Arial"/>
          <w:sz w:val="22"/>
          <w:szCs w:val="22"/>
        </w:rPr>
      </w:pPr>
      <w:r w:rsidRPr="00092C58">
        <w:rPr>
          <w:rFonts w:ascii="Arial" w:hAnsi="Arial" w:cs="Arial"/>
          <w:sz w:val="22"/>
          <w:szCs w:val="22"/>
        </w:rPr>
        <w:t>Reid et al (2013)</w:t>
      </w:r>
      <w:r w:rsidR="00B73D44">
        <w:rPr>
          <w:rStyle w:val="FootnoteReference"/>
          <w:rFonts w:ascii="Arial" w:hAnsi="Arial" w:cs="Arial"/>
          <w:sz w:val="22"/>
          <w:szCs w:val="22"/>
        </w:rPr>
        <w:footnoteReference w:id="7"/>
      </w:r>
      <w:r w:rsidRPr="00092C58">
        <w:rPr>
          <w:rFonts w:ascii="Arial" w:hAnsi="Arial" w:cs="Arial"/>
          <w:sz w:val="22"/>
          <w:szCs w:val="22"/>
        </w:rPr>
        <w:t xml:space="preserve"> for prostate cancer incidence in men exposed to asbestos as children in Wittenoom, for one method of analysis but not the other (SIR1 1.04, 95% CI 0.54 – 1.82, SIR2 2.48, 95% CI 1.28 -4.33)</w:t>
      </w:r>
      <w:r w:rsidR="00B73D44">
        <w:rPr>
          <w:rFonts w:ascii="Arial" w:hAnsi="Arial" w:cs="Arial"/>
          <w:sz w:val="22"/>
          <w:szCs w:val="22"/>
        </w:rPr>
        <w:t>.</w:t>
      </w:r>
    </w:p>
    <w:p w14:paraId="57A3540E" w14:textId="6EF26C4D" w:rsidR="007A14C3" w:rsidRPr="00092C58" w:rsidRDefault="007A14C3" w:rsidP="00B73D44">
      <w:pPr>
        <w:pStyle w:val="ListParagraph"/>
        <w:numPr>
          <w:ilvl w:val="0"/>
          <w:numId w:val="11"/>
        </w:numPr>
        <w:spacing w:before="120"/>
        <w:ind w:left="992" w:hanging="425"/>
        <w:rPr>
          <w:rFonts w:ascii="Arial" w:hAnsi="Arial" w:cs="Arial"/>
          <w:sz w:val="22"/>
          <w:szCs w:val="22"/>
        </w:rPr>
      </w:pPr>
      <w:r w:rsidRPr="00092C58">
        <w:rPr>
          <w:rFonts w:ascii="Arial" w:hAnsi="Arial" w:cs="Arial"/>
          <w:sz w:val="22"/>
          <w:szCs w:val="22"/>
        </w:rPr>
        <w:lastRenderedPageBreak/>
        <w:t>Koskinen et al (2003)</w:t>
      </w:r>
      <w:r w:rsidR="00B73D44">
        <w:rPr>
          <w:rStyle w:val="FootnoteReference"/>
          <w:rFonts w:ascii="Arial" w:hAnsi="Arial" w:cs="Arial"/>
          <w:sz w:val="22"/>
          <w:szCs w:val="22"/>
        </w:rPr>
        <w:footnoteReference w:id="8"/>
      </w:r>
      <w:r w:rsidRPr="00092C58">
        <w:rPr>
          <w:rFonts w:ascii="Arial" w:hAnsi="Arial" w:cs="Arial"/>
          <w:sz w:val="22"/>
          <w:szCs w:val="22"/>
        </w:rPr>
        <w:t xml:space="preserve"> for prostate cancer incidence in Finnish construction workers: SIR 1.21, 95% CI 1.09-1.34.</w:t>
      </w:r>
    </w:p>
    <w:p w14:paraId="3AA6AEFC" w14:textId="76C132A2" w:rsidR="007A14C3" w:rsidRPr="00F128D5" w:rsidRDefault="007A14C3" w:rsidP="00F128D5">
      <w:pPr>
        <w:pStyle w:val="NumberLevel1"/>
        <w:keepLines/>
        <w:numPr>
          <w:ilvl w:val="0"/>
          <w:numId w:val="4"/>
        </w:numPr>
        <w:rPr>
          <w:szCs w:val="24"/>
        </w:rPr>
      </w:pPr>
      <w:r w:rsidRPr="007A14C3">
        <w:rPr>
          <w:szCs w:val="24"/>
        </w:rPr>
        <w:t>These studies were limited by lack of information about exposure to other possible carcinogens, lack of certainty about actual exposure levels, lack of internal consistency with known asbestos-associated cancers (</w:t>
      </w:r>
      <w:proofErr w:type="spellStart"/>
      <w:r w:rsidRPr="007A14C3">
        <w:rPr>
          <w:szCs w:val="24"/>
        </w:rPr>
        <w:t>Sorahan</w:t>
      </w:r>
      <w:proofErr w:type="spellEnd"/>
      <w:r w:rsidRPr="007A14C3">
        <w:rPr>
          <w:szCs w:val="24"/>
        </w:rPr>
        <w:t xml:space="preserve"> et al 2019), possible greater ascertainment of prostate cancer in groups which volunteered for screening (Koskinen et al 2003, Reid et al 2003) and internally inconsis</w:t>
      </w:r>
      <w:r w:rsidR="00F128D5">
        <w:rPr>
          <w:szCs w:val="24"/>
        </w:rPr>
        <w:t>tent findings (Reid et al 2003).</w:t>
      </w:r>
    </w:p>
    <w:p w14:paraId="6E2CA29B" w14:textId="4702F00B" w:rsidR="007A14C3" w:rsidRPr="007A14C3" w:rsidRDefault="007A14C3" w:rsidP="007A14C3">
      <w:pPr>
        <w:pStyle w:val="NumberLevel1"/>
        <w:keepLines/>
        <w:numPr>
          <w:ilvl w:val="0"/>
          <w:numId w:val="4"/>
        </w:numPr>
        <w:rPr>
          <w:szCs w:val="24"/>
        </w:rPr>
      </w:pPr>
      <w:r w:rsidRPr="007A14C3">
        <w:rPr>
          <w:szCs w:val="24"/>
        </w:rPr>
        <w:t>Asbestos fibres have been noted in the prostate (</w:t>
      </w:r>
      <w:proofErr w:type="spellStart"/>
      <w:r w:rsidRPr="007A14C3">
        <w:rPr>
          <w:szCs w:val="24"/>
        </w:rPr>
        <w:t>Korda</w:t>
      </w:r>
      <w:proofErr w:type="spellEnd"/>
      <w:r w:rsidRPr="007A14C3">
        <w:rPr>
          <w:szCs w:val="24"/>
        </w:rPr>
        <w:t xml:space="preserve"> et al 2017), but the presence of fibres is not necessarily linked to the development of a disease. The key mechanisms of carcinogenesis in the lung include oxidative stress, chronic inflammation, and genetic and epigenetic alterations as well as cellular toxicity and fibrosis (</w:t>
      </w:r>
      <w:proofErr w:type="spellStart"/>
      <w:r w:rsidRPr="007A14C3">
        <w:rPr>
          <w:szCs w:val="24"/>
        </w:rPr>
        <w:t>Dutheil</w:t>
      </w:r>
      <w:proofErr w:type="spellEnd"/>
      <w:r w:rsidRPr="007A14C3">
        <w:rPr>
          <w:szCs w:val="24"/>
        </w:rPr>
        <w:t xml:space="preserve"> et al 2020). </w:t>
      </w:r>
      <w:r w:rsidR="00923A58">
        <w:rPr>
          <w:szCs w:val="24"/>
        </w:rPr>
        <w:t>However, it is unknown whether such mechanisms would be relevant to carcinogenesis in the prostate.</w:t>
      </w:r>
    </w:p>
    <w:p w14:paraId="345211E6" w14:textId="128B19EC" w:rsidR="00E51A46" w:rsidRDefault="007A14C3" w:rsidP="007A14C3">
      <w:pPr>
        <w:pStyle w:val="NumberLevel1"/>
        <w:keepLines/>
        <w:numPr>
          <w:ilvl w:val="0"/>
          <w:numId w:val="4"/>
        </w:numPr>
        <w:outlineLvl w:val="9"/>
        <w:rPr>
          <w:szCs w:val="24"/>
        </w:rPr>
      </w:pPr>
      <w:r w:rsidRPr="007A14C3">
        <w:rPr>
          <w:szCs w:val="24"/>
        </w:rPr>
        <w:t>Overall, it is difficult to determine whether or not there is a causal association between asbestos exposure and malignant neoplasm of the prostate because of inconsistency in the data, small effects, and lack of information about dose, dose-response effects and screening rates in exposed and unexposed groups.</w:t>
      </w:r>
    </w:p>
    <w:p w14:paraId="60A138BE" w14:textId="7E3035A2" w:rsidR="00B73D44" w:rsidRPr="007A14C3" w:rsidRDefault="00B73D44" w:rsidP="00B73D44">
      <w:pPr>
        <w:pStyle w:val="NumberLevel1"/>
        <w:keepNext/>
        <w:keepLines/>
        <w:tabs>
          <w:tab w:val="clear" w:pos="360"/>
        </w:tabs>
        <w:rPr>
          <w:b/>
          <w:szCs w:val="24"/>
        </w:rPr>
      </w:pPr>
      <w:r>
        <w:rPr>
          <w:b/>
          <w:szCs w:val="24"/>
        </w:rPr>
        <w:t xml:space="preserve">Asbestos </w:t>
      </w:r>
      <w:r w:rsidR="00422B86">
        <w:rPr>
          <w:b/>
          <w:szCs w:val="24"/>
        </w:rPr>
        <w:t>in drinking water</w:t>
      </w:r>
    </w:p>
    <w:p w14:paraId="12169076" w14:textId="563D4075" w:rsidR="00A21883" w:rsidRDefault="00A21883" w:rsidP="00A21883">
      <w:pPr>
        <w:pStyle w:val="NumberLevel1"/>
        <w:numPr>
          <w:ilvl w:val="0"/>
          <w:numId w:val="4"/>
        </w:numPr>
        <w:rPr>
          <w:szCs w:val="24"/>
        </w:rPr>
      </w:pPr>
      <w:r w:rsidRPr="00A21883">
        <w:rPr>
          <w:szCs w:val="24"/>
        </w:rPr>
        <w:t>A cohort study of cancer risk for people living in a US town with asbestos-contaminated drinking water (Howe et al 1989)</w:t>
      </w:r>
      <w:r>
        <w:rPr>
          <w:rStyle w:val="FootnoteReference"/>
          <w:szCs w:val="24"/>
        </w:rPr>
        <w:footnoteReference w:id="9"/>
      </w:r>
      <w:r w:rsidRPr="00A21883">
        <w:rPr>
          <w:szCs w:val="24"/>
        </w:rPr>
        <w:t xml:space="preserve"> found a borderline significant increase in risk of prostate cancer (SIR 1.7, 95% CI 1.0 - 2.6). In an update of this cohort, Browne et al (2005)</w:t>
      </w:r>
      <w:r>
        <w:rPr>
          <w:rStyle w:val="FootnoteReference"/>
          <w:szCs w:val="24"/>
        </w:rPr>
        <w:footnoteReference w:id="10"/>
      </w:r>
      <w:r w:rsidRPr="00A21883">
        <w:rPr>
          <w:szCs w:val="24"/>
        </w:rPr>
        <w:t xml:space="preserve"> found no increased risk of gastrointestinal, respiratory and total cancers, but rates for prostate cancer were not reported. </w:t>
      </w:r>
    </w:p>
    <w:p w14:paraId="4FF89078" w14:textId="2C7993B6" w:rsidR="00A21883" w:rsidRDefault="00A21883" w:rsidP="00A21883">
      <w:pPr>
        <w:pStyle w:val="NumberLevel1"/>
        <w:numPr>
          <w:ilvl w:val="0"/>
          <w:numId w:val="4"/>
        </w:numPr>
        <w:rPr>
          <w:szCs w:val="24"/>
        </w:rPr>
      </w:pPr>
      <w:r w:rsidRPr="00A21883">
        <w:rPr>
          <w:szCs w:val="24"/>
        </w:rPr>
        <w:t>In a Norwegian study of lighthouse keepers who drank water contaminated with asbestos (Andersen et al 1993)</w:t>
      </w:r>
      <w:r>
        <w:rPr>
          <w:rStyle w:val="FootnoteReference"/>
          <w:szCs w:val="24"/>
        </w:rPr>
        <w:footnoteReference w:id="11"/>
      </w:r>
      <w:r w:rsidRPr="00A21883">
        <w:rPr>
          <w:szCs w:val="24"/>
        </w:rPr>
        <w:t xml:space="preserve">, no statistically significant excess risk was found for any type of cancer in the group with a latency period of 20 years or more, except for stomach cancer. Prostate cancer was not separately reported. </w:t>
      </w:r>
    </w:p>
    <w:p w14:paraId="16C45CF1" w14:textId="58118010" w:rsidR="00A21883" w:rsidRPr="00A21883" w:rsidRDefault="00A21883" w:rsidP="00A21883">
      <w:pPr>
        <w:pStyle w:val="NumberLevel1"/>
        <w:numPr>
          <w:ilvl w:val="0"/>
          <w:numId w:val="4"/>
        </w:numPr>
        <w:rPr>
          <w:szCs w:val="24"/>
        </w:rPr>
      </w:pPr>
      <w:proofErr w:type="spellStart"/>
      <w:r w:rsidRPr="00A21883">
        <w:rPr>
          <w:szCs w:val="24"/>
        </w:rPr>
        <w:t>Conforti</w:t>
      </w:r>
      <w:proofErr w:type="spellEnd"/>
      <w:r w:rsidRPr="00A21883">
        <w:rPr>
          <w:szCs w:val="24"/>
        </w:rPr>
        <w:t xml:space="preserve"> et al (1981)</w:t>
      </w:r>
      <w:r>
        <w:rPr>
          <w:rStyle w:val="FootnoteReference"/>
          <w:szCs w:val="24"/>
        </w:rPr>
        <w:footnoteReference w:id="12"/>
      </w:r>
      <w:r w:rsidRPr="00A21883">
        <w:rPr>
          <w:szCs w:val="24"/>
        </w:rPr>
        <w:t xml:space="preserve"> found a significant increase in risk of prostate cancer in areas of Oakland, San Francisco, where natural contamination of water was high. However, exact risk estimates were not provided, individual exposure levels were not quantified, and there was no control in this study for alcohol, smoking, obesity or other cancer risk factors. There were some gender differences in risk for a number of other cancers which suggested that alternative risk factors </w:t>
      </w:r>
      <w:r>
        <w:rPr>
          <w:szCs w:val="24"/>
        </w:rPr>
        <w:t>might account for the findings.</w:t>
      </w:r>
    </w:p>
    <w:p w14:paraId="726FD5CC" w14:textId="7D6E3318" w:rsidR="00B73D44" w:rsidRPr="00896B69" w:rsidRDefault="00A21883" w:rsidP="00A21883">
      <w:pPr>
        <w:pStyle w:val="NumberLevel1"/>
        <w:numPr>
          <w:ilvl w:val="0"/>
          <w:numId w:val="4"/>
        </w:numPr>
        <w:rPr>
          <w:szCs w:val="24"/>
        </w:rPr>
      </w:pPr>
      <w:r>
        <w:rPr>
          <w:szCs w:val="24"/>
        </w:rPr>
        <w:t>Overall, t</w:t>
      </w:r>
      <w:r w:rsidRPr="00A21883">
        <w:rPr>
          <w:szCs w:val="24"/>
        </w:rPr>
        <w:t>he evidence concerning the association between asbestos in drinking water and prostate cancer is very limited in quality and quantity, and is too limited to determine whether or not a causal relationship exists.</w:t>
      </w:r>
    </w:p>
    <w:p w14:paraId="73C7FA98" w14:textId="77777777" w:rsidR="00614DF1" w:rsidRDefault="00614DF1" w:rsidP="00614DF1">
      <w:pPr>
        <w:pStyle w:val="PartHeading"/>
        <w:tabs>
          <w:tab w:val="num" w:pos="567"/>
        </w:tabs>
        <w:ind w:left="567" w:hanging="567"/>
      </w:pPr>
      <w:bookmarkStart w:id="8" w:name="_Toc79670313"/>
      <w:r>
        <w:lastRenderedPageBreak/>
        <w:t>Findings of Fact</w:t>
      </w:r>
      <w:bookmarkEnd w:id="8"/>
    </w:p>
    <w:p w14:paraId="59E59A05" w14:textId="7FE21377" w:rsidR="00614DF1" w:rsidRPr="00B45FAB" w:rsidRDefault="00614DF1" w:rsidP="007E32C9">
      <w:pPr>
        <w:pStyle w:val="NumberLevel1"/>
        <w:keepNext/>
        <w:numPr>
          <w:ilvl w:val="0"/>
          <w:numId w:val="4"/>
        </w:numPr>
        <w:tabs>
          <w:tab w:val="left" w:pos="567"/>
        </w:tabs>
        <w:outlineLvl w:val="9"/>
        <w:rPr>
          <w:szCs w:val="24"/>
        </w:rPr>
      </w:pPr>
      <w:r w:rsidRPr="00091898">
        <w:rPr>
          <w:szCs w:val="24"/>
        </w:rPr>
        <w:t>In light of the material discussed above, the Autho</w:t>
      </w:r>
      <w:r w:rsidR="00097496">
        <w:rPr>
          <w:szCs w:val="24"/>
        </w:rPr>
        <w:t>rity made the following finding</w:t>
      </w:r>
      <w:r w:rsidRPr="00091898">
        <w:rPr>
          <w:szCs w:val="24"/>
        </w:rPr>
        <w:t xml:space="preserve"> of fact:</w:t>
      </w:r>
    </w:p>
    <w:p w14:paraId="585294F2" w14:textId="130402DD" w:rsidR="00614DF1" w:rsidRPr="00520938" w:rsidRDefault="006D6BFE" w:rsidP="00B01CCA">
      <w:pPr>
        <w:pStyle w:val="NumberLevel1"/>
        <w:numPr>
          <w:ilvl w:val="1"/>
          <w:numId w:val="15"/>
        </w:numPr>
        <w:tabs>
          <w:tab w:val="clear" w:pos="927"/>
          <w:tab w:val="num" w:pos="1134"/>
        </w:tabs>
        <w:ind w:left="1134" w:hanging="567"/>
        <w:outlineLvl w:val="9"/>
        <w:rPr>
          <w:szCs w:val="24"/>
        </w:rPr>
      </w:pPr>
      <w:r>
        <w:rPr>
          <w:szCs w:val="24"/>
        </w:rPr>
        <w:t>T</w:t>
      </w:r>
      <w:r w:rsidR="00AC7CDD">
        <w:rPr>
          <w:szCs w:val="24"/>
        </w:rPr>
        <w:t xml:space="preserve">he </w:t>
      </w:r>
      <w:r w:rsidR="00B01CCA">
        <w:rPr>
          <w:szCs w:val="24"/>
        </w:rPr>
        <w:t xml:space="preserve">body of available SMSE </w:t>
      </w:r>
      <w:r w:rsidR="00097496">
        <w:rPr>
          <w:szCs w:val="24"/>
        </w:rPr>
        <w:t xml:space="preserve">does not support the existence of a causal association between </w:t>
      </w:r>
      <w:r w:rsidR="00096E9E">
        <w:rPr>
          <w:szCs w:val="24"/>
        </w:rPr>
        <w:t xml:space="preserve">exposure to </w:t>
      </w:r>
      <w:r w:rsidR="006E7E1C">
        <w:rPr>
          <w:szCs w:val="24"/>
        </w:rPr>
        <w:t>asbestos</w:t>
      </w:r>
      <w:r w:rsidR="00097496">
        <w:rPr>
          <w:szCs w:val="24"/>
        </w:rPr>
        <w:t xml:space="preserve"> and the clinical onset </w:t>
      </w:r>
      <w:r w:rsidR="00A4147F">
        <w:rPr>
          <w:szCs w:val="24"/>
        </w:rPr>
        <w:t xml:space="preserve">or clinical worsening </w:t>
      </w:r>
      <w:r w:rsidR="00097496">
        <w:rPr>
          <w:szCs w:val="24"/>
        </w:rPr>
        <w:t xml:space="preserve">of </w:t>
      </w:r>
      <w:r w:rsidR="008E26CC">
        <w:rPr>
          <w:szCs w:val="24"/>
        </w:rPr>
        <w:t xml:space="preserve">malignant neoplasm of the </w:t>
      </w:r>
      <w:r w:rsidR="006E7E1C">
        <w:rPr>
          <w:szCs w:val="24"/>
        </w:rPr>
        <w:t>prostate</w:t>
      </w:r>
      <w:r w:rsidR="00097496">
        <w:rPr>
          <w:szCs w:val="24"/>
        </w:rPr>
        <w:t>.</w:t>
      </w:r>
      <w:r>
        <w:rPr>
          <w:szCs w:val="24"/>
        </w:rPr>
        <w:t xml:space="preserve"> </w:t>
      </w:r>
      <w:r w:rsidRPr="00D7525A">
        <w:rPr>
          <w:szCs w:val="24"/>
        </w:rPr>
        <w:t xml:space="preserve">Consequently, the Authority is not satisfied that there is at least a reasonable hypothesis that </w:t>
      </w:r>
      <w:r w:rsidR="00096E9E">
        <w:rPr>
          <w:szCs w:val="24"/>
        </w:rPr>
        <w:t xml:space="preserve">being exposed to </w:t>
      </w:r>
      <w:r w:rsidR="006E7E1C">
        <w:rPr>
          <w:szCs w:val="24"/>
        </w:rPr>
        <w:t>asbestos, either generally or in drinking water,</w:t>
      </w:r>
      <w:r w:rsidR="00096E9E">
        <w:rPr>
          <w:szCs w:val="24"/>
        </w:rPr>
        <w:t xml:space="preserve"> </w:t>
      </w:r>
      <w:r w:rsidRPr="00D7525A">
        <w:rPr>
          <w:szCs w:val="24"/>
        </w:rPr>
        <w:t>is a factor which caus</w:t>
      </w:r>
      <w:r>
        <w:rPr>
          <w:szCs w:val="24"/>
        </w:rPr>
        <w:t xml:space="preserve">es, or contributes to, the clinical onset </w:t>
      </w:r>
      <w:r w:rsidR="00A4147F">
        <w:rPr>
          <w:szCs w:val="24"/>
        </w:rPr>
        <w:t xml:space="preserve">or clinical worsening </w:t>
      </w:r>
      <w:r>
        <w:rPr>
          <w:szCs w:val="24"/>
        </w:rPr>
        <w:t xml:space="preserve">of </w:t>
      </w:r>
      <w:r w:rsidR="008E26CC">
        <w:rPr>
          <w:szCs w:val="24"/>
        </w:rPr>
        <w:t xml:space="preserve">malignant neoplasm of the </w:t>
      </w:r>
      <w:r w:rsidR="006E7E1C">
        <w:rPr>
          <w:szCs w:val="24"/>
        </w:rPr>
        <w:t>prostate</w:t>
      </w:r>
      <w:r>
        <w:rPr>
          <w:szCs w:val="24"/>
        </w:rPr>
        <w:t>.</w:t>
      </w:r>
    </w:p>
    <w:p w14:paraId="21540F1A" w14:textId="77777777" w:rsidR="00614DF1" w:rsidRDefault="00614DF1" w:rsidP="00614DF1">
      <w:pPr>
        <w:pStyle w:val="PartHeading"/>
      </w:pPr>
      <w:bookmarkStart w:id="9" w:name="_Toc79670314"/>
      <w:r>
        <w:t>Reasons for the Decision</w:t>
      </w:r>
      <w:bookmarkEnd w:id="9"/>
    </w:p>
    <w:p w14:paraId="30D41C7B" w14:textId="66B3BBEE" w:rsidR="00614DF1" w:rsidRPr="007D6C12" w:rsidRDefault="00614DF1" w:rsidP="00614DF1">
      <w:pPr>
        <w:pStyle w:val="NumberLevel1"/>
        <w:numPr>
          <w:ilvl w:val="0"/>
          <w:numId w:val="4"/>
        </w:numPr>
        <w:outlineLvl w:val="9"/>
        <w:rPr>
          <w:szCs w:val="24"/>
        </w:rPr>
      </w:pPr>
      <w:r w:rsidRPr="00091898">
        <w:rPr>
          <w:szCs w:val="24"/>
        </w:rPr>
        <w:t xml:space="preserve">The Authority was cognisant of the provisions of the VEA, and had particular regard to subsection </w:t>
      </w:r>
      <w:proofErr w:type="gramStart"/>
      <w:r w:rsidRPr="00091898">
        <w:rPr>
          <w:szCs w:val="24"/>
        </w:rPr>
        <w:t>5AB(</w:t>
      </w:r>
      <w:proofErr w:type="gramEnd"/>
      <w:r w:rsidRPr="00091898">
        <w:rPr>
          <w:szCs w:val="24"/>
        </w:rPr>
        <w:t xml:space="preserve">2) </w:t>
      </w:r>
      <w:r w:rsidR="000B28B4">
        <w:rPr>
          <w:szCs w:val="24"/>
        </w:rPr>
        <w:t>SMSE</w:t>
      </w:r>
      <w:r w:rsidRPr="00091898">
        <w:rPr>
          <w:szCs w:val="24"/>
        </w:rPr>
        <w:t>, s 5D injury/disease, and Part XI</w:t>
      </w:r>
      <w:r>
        <w:rPr>
          <w:szCs w:val="24"/>
        </w:rPr>
        <w:t>A</w:t>
      </w:r>
      <w:r w:rsidRPr="00091898">
        <w:rPr>
          <w:szCs w:val="24"/>
        </w:rPr>
        <w:t>.</w:t>
      </w:r>
    </w:p>
    <w:p w14:paraId="545571D3" w14:textId="5CADC5A0" w:rsidR="00614DF1" w:rsidRPr="00C52668" w:rsidRDefault="000B28B4" w:rsidP="00614DF1">
      <w:pPr>
        <w:pStyle w:val="BodyText"/>
        <w:spacing w:after="120"/>
        <w:ind w:left="567"/>
        <w:rPr>
          <w:rFonts w:ascii="Arial" w:hAnsi="Arial" w:cs="Arial"/>
          <w:sz w:val="22"/>
          <w:szCs w:val="22"/>
        </w:rPr>
      </w:pPr>
      <w:r>
        <w:rPr>
          <w:rFonts w:ascii="Arial" w:hAnsi="Arial" w:cs="Arial"/>
          <w:sz w:val="22"/>
          <w:szCs w:val="22"/>
        </w:rPr>
        <w:t>SMSE</w:t>
      </w:r>
      <w:r w:rsidR="00614DF1" w:rsidRPr="00C52668">
        <w:rPr>
          <w:rFonts w:ascii="Arial" w:hAnsi="Arial" w:cs="Arial"/>
          <w:sz w:val="22"/>
          <w:szCs w:val="22"/>
        </w:rPr>
        <w:t xml:space="preserve"> is defined as follows:</w:t>
      </w:r>
    </w:p>
    <w:p w14:paraId="6CFC8F01" w14:textId="77777777" w:rsidR="00614DF1" w:rsidRPr="00C52668" w:rsidRDefault="00614DF1" w:rsidP="00614DF1">
      <w:pPr>
        <w:pStyle w:val="ListParagraph"/>
        <w:spacing w:after="120" w:line="280" w:lineRule="atLeast"/>
        <w:ind w:left="567" w:right="567"/>
        <w:contextualSpacing w:val="0"/>
        <w:rPr>
          <w:rFonts w:ascii="Arial" w:hAnsi="Arial" w:cs="Arial"/>
          <w:i/>
          <w:sz w:val="22"/>
          <w:szCs w:val="22"/>
        </w:rPr>
      </w:pPr>
      <w:r w:rsidRPr="00C52668">
        <w:rPr>
          <w:rFonts w:ascii="Arial" w:hAnsi="Arial" w:cs="Arial"/>
          <w:i/>
          <w:sz w:val="22"/>
          <w:szCs w:val="22"/>
        </w:rPr>
        <w:t>"Information about a particular kind of injury, disease or death is taken to be</w:t>
      </w:r>
      <w:r w:rsidRPr="00C52668">
        <w:rPr>
          <w:rFonts w:ascii="Arial" w:hAnsi="Arial" w:cs="Arial"/>
          <w:b/>
          <w:i/>
          <w:sz w:val="22"/>
          <w:szCs w:val="22"/>
        </w:rPr>
        <w:t xml:space="preserve"> sound</w:t>
      </w:r>
      <w:r w:rsidRPr="00C52668">
        <w:rPr>
          <w:rFonts w:ascii="Arial" w:hAnsi="Arial" w:cs="Arial"/>
          <w:i/>
          <w:sz w:val="22"/>
          <w:szCs w:val="22"/>
        </w:rPr>
        <w:t xml:space="preserve"> </w:t>
      </w:r>
      <w:r w:rsidRPr="00C52668">
        <w:rPr>
          <w:rFonts w:ascii="Arial" w:hAnsi="Arial" w:cs="Arial"/>
          <w:b/>
          <w:i/>
          <w:sz w:val="22"/>
          <w:szCs w:val="22"/>
        </w:rPr>
        <w:t>medical-scientific evidence</w:t>
      </w:r>
      <w:r w:rsidRPr="00C52668">
        <w:rPr>
          <w:rFonts w:ascii="Arial" w:hAnsi="Arial" w:cs="Arial"/>
          <w:i/>
          <w:sz w:val="22"/>
          <w:szCs w:val="22"/>
        </w:rPr>
        <w:t xml:space="preserve"> if:</w:t>
      </w:r>
    </w:p>
    <w:p w14:paraId="30071406" w14:textId="77777777" w:rsidR="00614DF1" w:rsidRPr="00C52668" w:rsidRDefault="00614DF1" w:rsidP="00614DF1">
      <w:pPr>
        <w:pStyle w:val="ListParagraph"/>
        <w:spacing w:before="120" w:after="120"/>
        <w:ind w:left="1134" w:right="567" w:hanging="567"/>
        <w:contextualSpacing w:val="0"/>
        <w:rPr>
          <w:rFonts w:ascii="Arial" w:hAnsi="Arial" w:cs="Arial"/>
          <w:i/>
          <w:sz w:val="22"/>
          <w:szCs w:val="22"/>
        </w:rPr>
      </w:pPr>
      <w:r w:rsidRPr="00C52668">
        <w:rPr>
          <w:rFonts w:ascii="Arial" w:hAnsi="Arial" w:cs="Arial"/>
          <w:i/>
          <w:sz w:val="22"/>
          <w:szCs w:val="22"/>
        </w:rPr>
        <w:t>(a)</w:t>
      </w:r>
      <w:r w:rsidRPr="00C52668">
        <w:rPr>
          <w:rFonts w:ascii="Arial" w:hAnsi="Arial" w:cs="Arial"/>
          <w:i/>
          <w:sz w:val="22"/>
          <w:szCs w:val="22"/>
        </w:rPr>
        <w:tab/>
      </w:r>
      <w:proofErr w:type="gramStart"/>
      <w:r w:rsidRPr="00C52668">
        <w:rPr>
          <w:rFonts w:ascii="Arial" w:hAnsi="Arial" w:cs="Arial"/>
          <w:i/>
          <w:sz w:val="22"/>
          <w:szCs w:val="22"/>
        </w:rPr>
        <w:t>the</w:t>
      </w:r>
      <w:proofErr w:type="gramEnd"/>
      <w:r w:rsidRPr="00C52668">
        <w:rPr>
          <w:rFonts w:ascii="Arial" w:hAnsi="Arial" w:cs="Arial"/>
          <w:i/>
          <w:sz w:val="22"/>
          <w:szCs w:val="22"/>
        </w:rPr>
        <w:t xml:space="preserve"> information:</w:t>
      </w:r>
    </w:p>
    <w:p w14:paraId="1A97EAFF" w14:textId="77777777" w:rsidR="00614DF1" w:rsidRPr="00C52668" w:rsidRDefault="00614DF1" w:rsidP="00614DF1">
      <w:pPr>
        <w:pStyle w:val="ListParagraph"/>
        <w:spacing w:line="260" w:lineRule="atLeast"/>
        <w:ind w:left="1701" w:right="567" w:hanging="567"/>
        <w:rPr>
          <w:rFonts w:ascii="Arial" w:hAnsi="Arial" w:cs="Arial"/>
          <w:i/>
          <w:sz w:val="22"/>
          <w:szCs w:val="22"/>
        </w:rPr>
      </w:pPr>
      <w:r w:rsidRPr="00C52668">
        <w:rPr>
          <w:rFonts w:ascii="Arial" w:hAnsi="Arial" w:cs="Arial"/>
          <w:i/>
          <w:sz w:val="22"/>
          <w:szCs w:val="22"/>
        </w:rPr>
        <w:t>(</w:t>
      </w:r>
      <w:proofErr w:type="spellStart"/>
      <w:r w:rsidRPr="00C52668">
        <w:rPr>
          <w:rFonts w:ascii="Arial" w:hAnsi="Arial" w:cs="Arial"/>
          <w:i/>
          <w:sz w:val="22"/>
          <w:szCs w:val="22"/>
        </w:rPr>
        <w:t>i</w:t>
      </w:r>
      <w:proofErr w:type="spellEnd"/>
      <w:r w:rsidRPr="00C52668">
        <w:rPr>
          <w:rFonts w:ascii="Arial" w:hAnsi="Arial" w:cs="Arial"/>
          <w:i/>
          <w:sz w:val="22"/>
          <w:szCs w:val="22"/>
        </w:rPr>
        <w:t>)</w:t>
      </w:r>
      <w:r w:rsidRPr="00C52668">
        <w:rPr>
          <w:rFonts w:ascii="Arial" w:hAnsi="Arial" w:cs="Arial"/>
          <w:i/>
          <w:sz w:val="22"/>
          <w:szCs w:val="22"/>
        </w:rPr>
        <w:tab/>
        <w:t xml:space="preserve">is consistent with material relating to medical science that has been published in a medical or scientific publication and has been, in the opinion of the Repatriation Medical Authority, subjected to a peer review process; or </w:t>
      </w:r>
    </w:p>
    <w:p w14:paraId="511EF0AF" w14:textId="77777777" w:rsidR="00614DF1" w:rsidRPr="00C52668" w:rsidRDefault="00614DF1" w:rsidP="00614DF1">
      <w:pPr>
        <w:pStyle w:val="ListParagraph"/>
        <w:spacing w:line="260" w:lineRule="atLeast"/>
        <w:ind w:left="1701" w:right="567" w:hanging="567"/>
        <w:rPr>
          <w:rFonts w:ascii="Arial" w:hAnsi="Arial" w:cs="Arial"/>
          <w:i/>
          <w:sz w:val="22"/>
          <w:szCs w:val="22"/>
        </w:rPr>
      </w:pPr>
      <w:r w:rsidRPr="00C52668">
        <w:rPr>
          <w:rFonts w:ascii="Arial" w:hAnsi="Arial" w:cs="Arial"/>
          <w:i/>
          <w:sz w:val="22"/>
          <w:szCs w:val="22"/>
        </w:rPr>
        <w:t>(ii)</w:t>
      </w:r>
      <w:r w:rsidRPr="00C52668">
        <w:rPr>
          <w:rFonts w:ascii="Arial" w:hAnsi="Arial" w:cs="Arial"/>
          <w:i/>
          <w:sz w:val="22"/>
          <w:szCs w:val="22"/>
        </w:rPr>
        <w:tab/>
      </w:r>
      <w:proofErr w:type="gramStart"/>
      <w:r w:rsidRPr="00C52668">
        <w:rPr>
          <w:rFonts w:ascii="Arial" w:hAnsi="Arial" w:cs="Arial"/>
          <w:i/>
          <w:sz w:val="22"/>
          <w:szCs w:val="22"/>
        </w:rPr>
        <w:t>in</w:t>
      </w:r>
      <w:proofErr w:type="gramEnd"/>
      <w:r w:rsidRPr="00C52668">
        <w:rPr>
          <w:rFonts w:ascii="Arial" w:hAnsi="Arial" w:cs="Arial"/>
          <w:i/>
          <w:sz w:val="22"/>
          <w:szCs w:val="22"/>
        </w:rPr>
        <w:t xml:space="preserve"> accordance with generally accepted medical practice, would serve as the basis for the diagnosis and management of a medical condition; and</w:t>
      </w:r>
    </w:p>
    <w:p w14:paraId="2B043E52" w14:textId="77777777" w:rsidR="00614DF1" w:rsidRPr="00C52668" w:rsidRDefault="00614DF1" w:rsidP="00614DF1">
      <w:pPr>
        <w:pStyle w:val="NumberLevel1"/>
        <w:keepNext/>
        <w:keepLines/>
        <w:tabs>
          <w:tab w:val="clear" w:pos="360"/>
        </w:tabs>
        <w:spacing w:line="260" w:lineRule="atLeast"/>
        <w:ind w:left="1134" w:hanging="567"/>
        <w:outlineLvl w:val="9"/>
        <w:rPr>
          <w:i/>
        </w:rPr>
      </w:pPr>
      <w:r w:rsidRPr="00C52668">
        <w:rPr>
          <w:i/>
        </w:rPr>
        <w:t>(b)</w:t>
      </w:r>
      <w:r w:rsidRPr="00C52668">
        <w:rPr>
          <w:i/>
        </w:rPr>
        <w:tab/>
      </w:r>
      <w:proofErr w:type="gramStart"/>
      <w:r w:rsidRPr="00C52668">
        <w:rPr>
          <w:i/>
        </w:rPr>
        <w:t>in</w:t>
      </w:r>
      <w:proofErr w:type="gramEnd"/>
      <w:r w:rsidRPr="00C52668">
        <w:rPr>
          <w:i/>
        </w:rPr>
        <w:t xml:space="preserve"> the case of information about how that kind of injury, disease or death may be caused - meets the applicable criteria for assessing causation currently applied in the field of epidemiology."</w:t>
      </w:r>
    </w:p>
    <w:p w14:paraId="5CD793F9" w14:textId="2295FB4D" w:rsidR="00614DF1" w:rsidRPr="007D6C12" w:rsidRDefault="00614DF1" w:rsidP="00614DF1">
      <w:pPr>
        <w:pStyle w:val="NumberLevel1"/>
        <w:numPr>
          <w:ilvl w:val="0"/>
          <w:numId w:val="4"/>
        </w:numPr>
        <w:outlineLvl w:val="9"/>
        <w:rPr>
          <w:szCs w:val="24"/>
        </w:rPr>
      </w:pPr>
      <w:r w:rsidRPr="00091898">
        <w:rPr>
          <w:szCs w:val="24"/>
        </w:rPr>
        <w:t>The Authority noted s</w:t>
      </w:r>
      <w:r w:rsidR="00F71036">
        <w:rPr>
          <w:szCs w:val="24"/>
        </w:rPr>
        <w:t>ub-sections 196B(7)</w:t>
      </w:r>
      <w:r w:rsidR="00FF00D6">
        <w:rPr>
          <w:szCs w:val="24"/>
        </w:rPr>
        <w:t>, 196B(8)</w:t>
      </w:r>
      <w:r w:rsidR="00F71036">
        <w:rPr>
          <w:szCs w:val="24"/>
        </w:rPr>
        <w:t xml:space="preserve"> and 196B(9) and </w:t>
      </w:r>
      <w:r w:rsidRPr="00091898">
        <w:rPr>
          <w:szCs w:val="24"/>
        </w:rPr>
        <w:t>s</w:t>
      </w:r>
      <w:r w:rsidR="00F71036">
        <w:rPr>
          <w:szCs w:val="24"/>
        </w:rPr>
        <w:t>ection</w:t>
      </w:r>
      <w:r w:rsidR="00FF00D6">
        <w:rPr>
          <w:szCs w:val="24"/>
        </w:rPr>
        <w:t xml:space="preserve"> </w:t>
      </w:r>
      <w:r w:rsidRPr="00091898">
        <w:rPr>
          <w:szCs w:val="24"/>
        </w:rPr>
        <w:t>196E, which relevantly provide:</w:t>
      </w:r>
    </w:p>
    <w:p w14:paraId="55549C89" w14:textId="77777777" w:rsidR="00614DF1" w:rsidRPr="00C52668" w:rsidRDefault="00614DF1" w:rsidP="00614DF1">
      <w:pPr>
        <w:rPr>
          <w:rFonts w:ascii="Arial" w:hAnsi="Arial" w:cs="Arial"/>
          <w:b/>
          <w:i/>
          <w:sz w:val="22"/>
          <w:szCs w:val="22"/>
        </w:rPr>
      </w:pPr>
      <w:proofErr w:type="gramStart"/>
      <w:r w:rsidRPr="00C52668">
        <w:rPr>
          <w:rFonts w:ascii="Arial" w:hAnsi="Arial" w:cs="Arial"/>
          <w:sz w:val="22"/>
          <w:szCs w:val="22"/>
        </w:rPr>
        <w:t>196B(</w:t>
      </w:r>
      <w:proofErr w:type="gramEnd"/>
      <w:r w:rsidRPr="00C52668">
        <w:rPr>
          <w:rFonts w:ascii="Arial" w:hAnsi="Arial" w:cs="Arial"/>
          <w:sz w:val="22"/>
          <w:szCs w:val="22"/>
        </w:rPr>
        <w:t>7)</w:t>
      </w:r>
    </w:p>
    <w:p w14:paraId="2A060EE2" w14:textId="77777777" w:rsidR="00614DF1" w:rsidRPr="00C52668" w:rsidRDefault="00614DF1" w:rsidP="00614DF1">
      <w:pPr>
        <w:keepNext/>
        <w:spacing w:before="120" w:after="60" w:line="260" w:lineRule="atLeast"/>
        <w:ind w:left="567"/>
        <w:rPr>
          <w:rFonts w:ascii="Arial" w:hAnsi="Arial" w:cs="Arial"/>
          <w:i/>
          <w:sz w:val="22"/>
          <w:szCs w:val="22"/>
        </w:rPr>
      </w:pPr>
      <w:r w:rsidRPr="00C52668">
        <w:rPr>
          <w:rFonts w:ascii="Arial" w:hAnsi="Arial" w:cs="Arial"/>
          <w:i/>
          <w:sz w:val="22"/>
          <w:szCs w:val="22"/>
        </w:rPr>
        <w:t>If the Authority:</w:t>
      </w:r>
    </w:p>
    <w:p w14:paraId="4575C925" w14:textId="77777777" w:rsidR="00614DF1" w:rsidRPr="00C52668" w:rsidRDefault="00614DF1" w:rsidP="00614DF1">
      <w:pPr>
        <w:tabs>
          <w:tab w:val="left" w:pos="1134"/>
        </w:tabs>
        <w:spacing w:line="260" w:lineRule="atLeast"/>
        <w:ind w:left="567"/>
        <w:rPr>
          <w:rFonts w:ascii="Arial" w:hAnsi="Arial" w:cs="Arial"/>
          <w:i/>
          <w:sz w:val="22"/>
          <w:szCs w:val="22"/>
        </w:rPr>
      </w:pPr>
      <w:r w:rsidRPr="00C52668">
        <w:rPr>
          <w:rFonts w:ascii="Arial" w:hAnsi="Arial" w:cs="Arial"/>
          <w:i/>
          <w:sz w:val="22"/>
          <w:szCs w:val="22"/>
        </w:rPr>
        <w:t>(a)</w:t>
      </w:r>
      <w:r w:rsidRPr="00C52668">
        <w:rPr>
          <w:rFonts w:ascii="Arial" w:hAnsi="Arial" w:cs="Arial"/>
          <w:i/>
          <w:sz w:val="22"/>
          <w:szCs w:val="22"/>
        </w:rPr>
        <w:tab/>
      </w:r>
      <w:proofErr w:type="gramStart"/>
      <w:r w:rsidRPr="00C52668">
        <w:rPr>
          <w:rFonts w:ascii="Arial" w:hAnsi="Arial" w:cs="Arial"/>
          <w:i/>
          <w:sz w:val="22"/>
          <w:szCs w:val="22"/>
        </w:rPr>
        <w:t>is</w:t>
      </w:r>
      <w:proofErr w:type="gramEnd"/>
      <w:r w:rsidRPr="00C52668">
        <w:rPr>
          <w:rFonts w:ascii="Arial" w:hAnsi="Arial" w:cs="Arial"/>
          <w:i/>
          <w:sz w:val="22"/>
          <w:szCs w:val="22"/>
        </w:rPr>
        <w:t xml:space="preserve"> asked under section 196E to review:</w:t>
      </w:r>
    </w:p>
    <w:p w14:paraId="52B27080" w14:textId="77777777" w:rsidR="00614DF1"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w:t>
      </w:r>
      <w:proofErr w:type="spellStart"/>
      <w:r w:rsidRPr="00C52668">
        <w:rPr>
          <w:rFonts w:ascii="Arial" w:hAnsi="Arial" w:cs="Arial"/>
          <w:i/>
          <w:sz w:val="22"/>
          <w:szCs w:val="22"/>
        </w:rPr>
        <w:t>i</w:t>
      </w:r>
      <w:proofErr w:type="spellEnd"/>
      <w:r w:rsidRPr="00C52668">
        <w:rPr>
          <w:rFonts w:ascii="Arial" w:hAnsi="Arial" w:cs="Arial"/>
          <w:i/>
          <w:sz w:val="22"/>
          <w:szCs w:val="22"/>
        </w:rPr>
        <w:t>)</w:t>
      </w:r>
      <w:r w:rsidRPr="00C52668">
        <w:rPr>
          <w:rFonts w:ascii="Arial" w:hAnsi="Arial" w:cs="Arial"/>
          <w:i/>
          <w:sz w:val="22"/>
          <w:szCs w:val="22"/>
        </w:rPr>
        <w:tab/>
      </w:r>
      <w:proofErr w:type="gramStart"/>
      <w:r w:rsidRPr="00C52668">
        <w:rPr>
          <w:rFonts w:ascii="Arial" w:hAnsi="Arial" w:cs="Arial"/>
          <w:i/>
          <w:sz w:val="22"/>
          <w:szCs w:val="22"/>
        </w:rPr>
        <w:t>some</w:t>
      </w:r>
      <w:proofErr w:type="gramEnd"/>
      <w:r w:rsidRPr="00C52668">
        <w:rPr>
          <w:rFonts w:ascii="Arial" w:hAnsi="Arial" w:cs="Arial"/>
          <w:i/>
          <w:sz w:val="22"/>
          <w:szCs w:val="22"/>
        </w:rPr>
        <w:t xml:space="preserve"> or all of the contents of a Statement of Principles;</w:t>
      </w:r>
    </w:p>
    <w:p w14:paraId="2292B319" w14:textId="77777777" w:rsidR="00614DF1" w:rsidRDefault="00614DF1" w:rsidP="00614DF1">
      <w:pPr>
        <w:spacing w:line="260" w:lineRule="atLeast"/>
        <w:ind w:firstLine="567"/>
        <w:rPr>
          <w:rFonts w:ascii="Arial" w:hAnsi="Arial" w:cs="Arial"/>
          <w:i/>
          <w:sz w:val="22"/>
          <w:szCs w:val="22"/>
        </w:rPr>
      </w:pPr>
      <w:r>
        <w:rPr>
          <w:rFonts w:ascii="Arial" w:hAnsi="Arial" w:cs="Arial"/>
          <w:i/>
          <w:sz w:val="22"/>
          <w:szCs w:val="22"/>
        </w:rPr>
        <w:t>[…]</w:t>
      </w:r>
    </w:p>
    <w:p w14:paraId="70ED7C54" w14:textId="77777777" w:rsidR="00614DF1" w:rsidRPr="00C52668" w:rsidRDefault="00614DF1" w:rsidP="00614DF1">
      <w:pPr>
        <w:tabs>
          <w:tab w:val="left" w:pos="1134"/>
        </w:tabs>
        <w:spacing w:line="260" w:lineRule="atLeast"/>
        <w:ind w:left="567"/>
        <w:rPr>
          <w:rFonts w:ascii="Arial" w:hAnsi="Arial" w:cs="Arial"/>
          <w:i/>
          <w:sz w:val="22"/>
          <w:szCs w:val="22"/>
        </w:rPr>
      </w:pPr>
      <w:r>
        <w:rPr>
          <w:rFonts w:ascii="Arial" w:hAnsi="Arial" w:cs="Arial"/>
          <w:i/>
          <w:sz w:val="22"/>
          <w:szCs w:val="22"/>
        </w:rPr>
        <w:t>(b)</w:t>
      </w:r>
      <w:r>
        <w:rPr>
          <w:rFonts w:ascii="Arial" w:hAnsi="Arial" w:cs="Arial"/>
          <w:i/>
          <w:sz w:val="22"/>
          <w:szCs w:val="22"/>
        </w:rPr>
        <w:tab/>
      </w:r>
      <w:proofErr w:type="gramStart"/>
      <w:r w:rsidRPr="00666203">
        <w:rPr>
          <w:rFonts w:ascii="Arial" w:hAnsi="Arial" w:cs="Arial"/>
          <w:i/>
          <w:sz w:val="22"/>
          <w:szCs w:val="22"/>
        </w:rPr>
        <w:t>thinks</w:t>
      </w:r>
      <w:proofErr w:type="gramEnd"/>
      <w:r w:rsidRPr="00666203">
        <w:rPr>
          <w:rFonts w:ascii="Arial" w:hAnsi="Arial" w:cs="Arial"/>
          <w:i/>
          <w:sz w:val="22"/>
          <w:szCs w:val="22"/>
        </w:rPr>
        <w:t xml:space="preserve"> that there are grounds for such a review</w:t>
      </w:r>
      <w:r>
        <w:rPr>
          <w:rFonts w:ascii="Arial" w:hAnsi="Arial" w:cs="Arial"/>
          <w:i/>
          <w:sz w:val="22"/>
          <w:szCs w:val="22"/>
        </w:rPr>
        <w:t>;[…]</w:t>
      </w:r>
    </w:p>
    <w:p w14:paraId="61C78FD6" w14:textId="77777777" w:rsidR="00614DF1" w:rsidRPr="00C52668" w:rsidRDefault="00614DF1" w:rsidP="00614DF1">
      <w:pPr>
        <w:tabs>
          <w:tab w:val="left" w:pos="567"/>
        </w:tabs>
        <w:spacing w:line="260" w:lineRule="atLeast"/>
        <w:ind w:left="567"/>
        <w:rPr>
          <w:rFonts w:ascii="Arial" w:hAnsi="Arial" w:cs="Arial"/>
          <w:i/>
          <w:sz w:val="22"/>
          <w:szCs w:val="22"/>
        </w:rPr>
      </w:pPr>
      <w:proofErr w:type="gramStart"/>
      <w:r w:rsidRPr="00C52668">
        <w:rPr>
          <w:rFonts w:ascii="Arial" w:hAnsi="Arial" w:cs="Arial"/>
          <w:i/>
          <w:sz w:val="22"/>
          <w:szCs w:val="22"/>
        </w:rPr>
        <w:t>the</w:t>
      </w:r>
      <w:proofErr w:type="gramEnd"/>
      <w:r w:rsidRPr="00C52668">
        <w:rPr>
          <w:rFonts w:ascii="Arial" w:hAnsi="Arial" w:cs="Arial"/>
          <w:i/>
          <w:sz w:val="22"/>
          <w:szCs w:val="22"/>
        </w:rPr>
        <w:t xml:space="preserve"> Authority must, subject to subsection 196C(4) and section 196CA in a case where paragraph (a) applies, carry out an investigation to find out if there is new information available about:</w:t>
      </w:r>
    </w:p>
    <w:p w14:paraId="3FE5DF2E" w14:textId="77777777" w:rsidR="00614DF1" w:rsidRPr="00C52668" w:rsidRDefault="00614DF1" w:rsidP="00614DF1">
      <w:pPr>
        <w:spacing w:line="260" w:lineRule="atLeast"/>
        <w:ind w:left="1134" w:hanging="567"/>
        <w:rPr>
          <w:rFonts w:ascii="Arial" w:hAnsi="Arial" w:cs="Arial"/>
          <w:i/>
          <w:sz w:val="22"/>
          <w:szCs w:val="22"/>
        </w:rPr>
      </w:pPr>
      <w:r w:rsidRPr="00C52668">
        <w:rPr>
          <w:rFonts w:ascii="Arial" w:hAnsi="Arial" w:cs="Arial"/>
          <w:i/>
          <w:sz w:val="22"/>
          <w:szCs w:val="22"/>
        </w:rPr>
        <w:t>(d)</w:t>
      </w:r>
      <w:r w:rsidRPr="00C52668">
        <w:rPr>
          <w:rFonts w:ascii="Arial" w:hAnsi="Arial" w:cs="Arial"/>
          <w:i/>
          <w:sz w:val="22"/>
          <w:szCs w:val="22"/>
        </w:rPr>
        <w:tab/>
      </w:r>
      <w:proofErr w:type="gramStart"/>
      <w:r w:rsidRPr="00C52668">
        <w:rPr>
          <w:rFonts w:ascii="Arial" w:hAnsi="Arial" w:cs="Arial"/>
          <w:i/>
          <w:sz w:val="22"/>
          <w:szCs w:val="22"/>
        </w:rPr>
        <w:t>how</w:t>
      </w:r>
      <w:proofErr w:type="gramEnd"/>
      <w:r w:rsidRPr="00C52668">
        <w:rPr>
          <w:rFonts w:ascii="Arial" w:hAnsi="Arial" w:cs="Arial"/>
          <w:i/>
          <w:sz w:val="22"/>
          <w:szCs w:val="22"/>
        </w:rPr>
        <w:t xml:space="preserve"> the injury may be suffered, the disease may be contracted or the death may occur; or</w:t>
      </w:r>
    </w:p>
    <w:p w14:paraId="70AFCAC3" w14:textId="77777777" w:rsidR="00614DF1" w:rsidRPr="00C52668" w:rsidRDefault="00614DF1" w:rsidP="00614DF1">
      <w:pPr>
        <w:spacing w:after="120" w:line="260" w:lineRule="atLeast"/>
        <w:ind w:left="1134" w:hanging="567"/>
        <w:rPr>
          <w:rFonts w:ascii="Arial" w:hAnsi="Arial" w:cs="Arial"/>
          <w:i/>
          <w:sz w:val="22"/>
          <w:szCs w:val="22"/>
        </w:rPr>
      </w:pPr>
      <w:r w:rsidRPr="00C52668">
        <w:rPr>
          <w:rFonts w:ascii="Arial" w:hAnsi="Arial" w:cs="Arial"/>
          <w:i/>
          <w:sz w:val="22"/>
          <w:szCs w:val="22"/>
        </w:rPr>
        <w:t>(e)</w:t>
      </w:r>
      <w:r w:rsidRPr="00C52668">
        <w:rPr>
          <w:rFonts w:ascii="Arial" w:hAnsi="Arial" w:cs="Arial"/>
          <w:i/>
          <w:sz w:val="22"/>
          <w:szCs w:val="22"/>
        </w:rPr>
        <w:tab/>
      </w:r>
      <w:proofErr w:type="gramStart"/>
      <w:r w:rsidRPr="00C52668">
        <w:rPr>
          <w:rFonts w:ascii="Arial" w:hAnsi="Arial" w:cs="Arial"/>
          <w:i/>
          <w:sz w:val="22"/>
          <w:szCs w:val="22"/>
        </w:rPr>
        <w:t>the</w:t>
      </w:r>
      <w:proofErr w:type="gramEnd"/>
      <w:r w:rsidRPr="00C52668">
        <w:rPr>
          <w:rFonts w:ascii="Arial" w:hAnsi="Arial" w:cs="Arial"/>
          <w:i/>
          <w:sz w:val="22"/>
          <w:szCs w:val="22"/>
        </w:rPr>
        <w:t xml:space="preserve"> extent to which the disease, injury or death may be war-caused or defence-caused.</w:t>
      </w:r>
    </w:p>
    <w:p w14:paraId="2FF83BB6" w14:textId="5AC19703" w:rsidR="00FF00D6" w:rsidRDefault="00FF00D6" w:rsidP="00FF00D6">
      <w:pPr>
        <w:keepNext/>
        <w:keepLines/>
        <w:rPr>
          <w:rFonts w:ascii="Arial" w:hAnsi="Arial" w:cs="Arial"/>
          <w:sz w:val="22"/>
          <w:szCs w:val="22"/>
        </w:rPr>
      </w:pPr>
      <w:proofErr w:type="gramStart"/>
      <w:r>
        <w:rPr>
          <w:rFonts w:ascii="Arial" w:hAnsi="Arial" w:cs="Arial"/>
          <w:sz w:val="22"/>
          <w:szCs w:val="22"/>
        </w:rPr>
        <w:lastRenderedPageBreak/>
        <w:t>196B(</w:t>
      </w:r>
      <w:proofErr w:type="gramEnd"/>
      <w:r>
        <w:rPr>
          <w:rFonts w:ascii="Arial" w:hAnsi="Arial" w:cs="Arial"/>
          <w:sz w:val="22"/>
          <w:szCs w:val="22"/>
        </w:rPr>
        <w:t>8)</w:t>
      </w:r>
    </w:p>
    <w:p w14:paraId="4FCB3ACF" w14:textId="04FBDF0E" w:rsidR="00FF00D6" w:rsidRDefault="00FF00D6" w:rsidP="00FF00D6">
      <w:pPr>
        <w:keepNext/>
        <w:keepLines/>
        <w:rPr>
          <w:rFonts w:ascii="Arial" w:hAnsi="Arial" w:cs="Arial"/>
          <w:sz w:val="22"/>
          <w:szCs w:val="22"/>
        </w:rPr>
      </w:pPr>
    </w:p>
    <w:p w14:paraId="4DA8C8E4" w14:textId="688C8A6A" w:rsidR="00FF00D6" w:rsidRDefault="00FF00D6" w:rsidP="00FF00D6">
      <w:pPr>
        <w:keepNext/>
        <w:keepLines/>
        <w:ind w:left="567"/>
        <w:rPr>
          <w:rFonts w:ascii="Arial" w:hAnsi="Arial" w:cs="Arial"/>
          <w:i/>
          <w:sz w:val="22"/>
          <w:szCs w:val="22"/>
        </w:rPr>
      </w:pPr>
      <w:r w:rsidRPr="00FF00D6">
        <w:rPr>
          <w:rFonts w:ascii="Arial" w:hAnsi="Arial" w:cs="Arial"/>
          <w:i/>
          <w:sz w:val="22"/>
          <w:szCs w:val="22"/>
        </w:rPr>
        <w:t>If, after carrying out the investigation, the Authority is of the view that there is a new body of sound medical</w:t>
      </w:r>
      <w:r w:rsidRPr="00FF00D6">
        <w:rPr>
          <w:rFonts w:ascii="Cambria Math" w:hAnsi="Cambria Math" w:cs="Cambria Math"/>
          <w:i/>
          <w:sz w:val="22"/>
          <w:szCs w:val="22"/>
        </w:rPr>
        <w:t>‑</w:t>
      </w:r>
      <w:r w:rsidRPr="00FF00D6">
        <w:rPr>
          <w:rFonts w:ascii="Arial" w:hAnsi="Arial" w:cs="Arial"/>
          <w:i/>
          <w:sz w:val="22"/>
          <w:szCs w:val="22"/>
        </w:rPr>
        <w:t>scientific evidence availabl</w:t>
      </w:r>
      <w:r>
        <w:rPr>
          <w:rFonts w:ascii="Arial" w:hAnsi="Arial" w:cs="Arial"/>
          <w:i/>
          <w:sz w:val="22"/>
          <w:szCs w:val="22"/>
        </w:rPr>
        <w:t xml:space="preserve">e that, together with the sound </w:t>
      </w:r>
      <w:r w:rsidRPr="00FF00D6">
        <w:rPr>
          <w:rFonts w:ascii="Arial" w:hAnsi="Arial" w:cs="Arial"/>
          <w:i/>
          <w:sz w:val="22"/>
          <w:szCs w:val="22"/>
        </w:rPr>
        <w:t>medical</w:t>
      </w:r>
      <w:r w:rsidRPr="00FF00D6">
        <w:rPr>
          <w:rFonts w:ascii="Cambria Math" w:hAnsi="Cambria Math" w:cs="Cambria Math"/>
          <w:i/>
          <w:sz w:val="22"/>
          <w:szCs w:val="22"/>
        </w:rPr>
        <w:t>‑</w:t>
      </w:r>
      <w:r w:rsidRPr="00FF00D6">
        <w:rPr>
          <w:rFonts w:ascii="Arial" w:hAnsi="Arial" w:cs="Arial"/>
          <w:i/>
          <w:sz w:val="22"/>
          <w:szCs w:val="22"/>
        </w:rPr>
        <w:t>scientific evidence previously considered by the Authority, justifies the making of a Statement of Principles, or an amendment of the Statement of Principles already determined, in respect of that kind of injury, disease or death, the Authority must:</w:t>
      </w:r>
    </w:p>
    <w:p w14:paraId="4184A189" w14:textId="4C3ADDAE" w:rsidR="00FF00D6" w:rsidRDefault="00FF00D6" w:rsidP="00FF00D6">
      <w:pPr>
        <w:spacing w:line="260" w:lineRule="atLeast"/>
        <w:ind w:left="1701" w:hanging="567"/>
        <w:rPr>
          <w:rFonts w:ascii="Arial" w:hAnsi="Arial" w:cs="Arial"/>
          <w:i/>
          <w:sz w:val="22"/>
          <w:szCs w:val="22"/>
        </w:rPr>
      </w:pPr>
      <w:r>
        <w:rPr>
          <w:rFonts w:ascii="Arial" w:hAnsi="Arial" w:cs="Arial"/>
          <w:i/>
          <w:sz w:val="22"/>
          <w:szCs w:val="22"/>
        </w:rPr>
        <w:t>(a) […]; or</w:t>
      </w:r>
    </w:p>
    <w:p w14:paraId="214ECA76" w14:textId="7CD98AEE" w:rsidR="00FF00D6" w:rsidRDefault="00FF00D6" w:rsidP="00FF00D6">
      <w:pPr>
        <w:spacing w:line="260" w:lineRule="atLeast"/>
        <w:ind w:left="1418" w:hanging="284"/>
        <w:rPr>
          <w:rFonts w:ascii="Arial" w:hAnsi="Arial" w:cs="Arial"/>
          <w:i/>
          <w:sz w:val="22"/>
          <w:szCs w:val="22"/>
        </w:rPr>
      </w:pPr>
      <w:r>
        <w:rPr>
          <w:rFonts w:ascii="Arial" w:hAnsi="Arial" w:cs="Arial"/>
          <w:i/>
          <w:sz w:val="22"/>
          <w:szCs w:val="22"/>
        </w:rPr>
        <w:t xml:space="preserve">(b) </w:t>
      </w:r>
      <w:proofErr w:type="gramStart"/>
      <w:r w:rsidRPr="00FF00D6">
        <w:rPr>
          <w:rFonts w:ascii="Arial" w:hAnsi="Arial" w:cs="Arial"/>
          <w:i/>
          <w:sz w:val="22"/>
          <w:szCs w:val="22"/>
        </w:rPr>
        <w:t>make</w:t>
      </w:r>
      <w:proofErr w:type="gramEnd"/>
      <w:r w:rsidRPr="00FF00D6">
        <w:rPr>
          <w:rFonts w:ascii="Arial" w:hAnsi="Arial" w:cs="Arial"/>
          <w:i/>
          <w:sz w:val="22"/>
          <w:szCs w:val="22"/>
        </w:rPr>
        <w:t xml:space="preserve"> a determination amending the Statement of Principles determined under subsection (2) or (3) in respect of that kind of injury, disease or death; or</w:t>
      </w:r>
    </w:p>
    <w:p w14:paraId="40B3CE29" w14:textId="33A851E9" w:rsidR="00FF00D6" w:rsidRDefault="00FF00D6" w:rsidP="00FF00D6">
      <w:pPr>
        <w:spacing w:line="260" w:lineRule="atLeast"/>
        <w:ind w:left="1418" w:hanging="284"/>
        <w:rPr>
          <w:rFonts w:ascii="Arial" w:hAnsi="Arial" w:cs="Arial"/>
          <w:i/>
          <w:sz w:val="22"/>
          <w:szCs w:val="22"/>
        </w:rPr>
      </w:pPr>
      <w:r>
        <w:rPr>
          <w:rFonts w:ascii="Arial" w:hAnsi="Arial" w:cs="Arial"/>
          <w:i/>
          <w:sz w:val="22"/>
          <w:szCs w:val="22"/>
        </w:rPr>
        <w:t>(c) […];</w:t>
      </w:r>
    </w:p>
    <w:p w14:paraId="063FA701" w14:textId="6C97E3BF" w:rsidR="00FF00D6" w:rsidRPr="00FF00D6" w:rsidRDefault="00FF00D6" w:rsidP="00FF00D6">
      <w:pPr>
        <w:keepNext/>
        <w:keepLines/>
        <w:spacing w:line="260" w:lineRule="atLeast"/>
        <w:ind w:left="851" w:hanging="284"/>
        <w:rPr>
          <w:rFonts w:ascii="Arial" w:hAnsi="Arial" w:cs="Arial"/>
          <w:i/>
          <w:sz w:val="22"/>
          <w:szCs w:val="22"/>
        </w:rPr>
      </w:pPr>
      <w:proofErr w:type="gramStart"/>
      <w:r>
        <w:rPr>
          <w:rFonts w:ascii="Arial" w:hAnsi="Arial" w:cs="Arial"/>
          <w:i/>
          <w:sz w:val="22"/>
          <w:szCs w:val="22"/>
        </w:rPr>
        <w:t>as</w:t>
      </w:r>
      <w:proofErr w:type="gramEnd"/>
      <w:r>
        <w:rPr>
          <w:rFonts w:ascii="Arial" w:hAnsi="Arial" w:cs="Arial"/>
          <w:i/>
          <w:sz w:val="22"/>
          <w:szCs w:val="22"/>
        </w:rPr>
        <w:t xml:space="preserve"> the case requires.</w:t>
      </w:r>
    </w:p>
    <w:p w14:paraId="3CB53903" w14:textId="77777777" w:rsidR="00FF00D6" w:rsidRDefault="00FF00D6" w:rsidP="00FF00D6">
      <w:pPr>
        <w:keepNext/>
        <w:keepLines/>
        <w:rPr>
          <w:rFonts w:ascii="Arial" w:hAnsi="Arial" w:cs="Arial"/>
          <w:sz w:val="22"/>
          <w:szCs w:val="22"/>
        </w:rPr>
      </w:pPr>
    </w:p>
    <w:p w14:paraId="23029FFD" w14:textId="72CCA58E" w:rsidR="00614DF1" w:rsidRPr="00C52668" w:rsidRDefault="00614DF1" w:rsidP="00614DF1">
      <w:pPr>
        <w:rPr>
          <w:rFonts w:ascii="Arial" w:hAnsi="Arial" w:cs="Arial"/>
          <w:b/>
          <w:i/>
          <w:sz w:val="22"/>
          <w:szCs w:val="22"/>
        </w:rPr>
      </w:pPr>
      <w:proofErr w:type="gramStart"/>
      <w:r w:rsidRPr="00C52668">
        <w:rPr>
          <w:rFonts w:ascii="Arial" w:hAnsi="Arial" w:cs="Arial"/>
          <w:sz w:val="22"/>
          <w:szCs w:val="22"/>
        </w:rPr>
        <w:t>196</w:t>
      </w:r>
      <w:r w:rsidR="008E26CC">
        <w:rPr>
          <w:rFonts w:ascii="Arial" w:hAnsi="Arial" w:cs="Arial"/>
          <w:sz w:val="22"/>
          <w:szCs w:val="22"/>
        </w:rPr>
        <w:t>B(</w:t>
      </w:r>
      <w:proofErr w:type="gramEnd"/>
      <w:r w:rsidR="008E26CC">
        <w:rPr>
          <w:rFonts w:ascii="Arial" w:hAnsi="Arial" w:cs="Arial"/>
          <w:sz w:val="22"/>
          <w:szCs w:val="22"/>
        </w:rPr>
        <w:t>9)</w:t>
      </w:r>
      <w:r w:rsidRPr="00C52668">
        <w:rPr>
          <w:rFonts w:ascii="Arial" w:hAnsi="Arial" w:cs="Arial"/>
          <w:sz w:val="22"/>
          <w:szCs w:val="22"/>
        </w:rPr>
        <w:tab/>
      </w:r>
    </w:p>
    <w:p w14:paraId="36C07E35" w14:textId="2E0ED6EE" w:rsidR="00614DF1" w:rsidRPr="00C52668" w:rsidRDefault="008E26CC" w:rsidP="00614DF1">
      <w:pPr>
        <w:spacing w:before="120" w:line="260" w:lineRule="atLeast"/>
        <w:ind w:left="1134" w:hanging="567"/>
        <w:rPr>
          <w:rFonts w:ascii="Arial" w:hAnsi="Arial" w:cs="Arial"/>
          <w:i/>
          <w:sz w:val="22"/>
          <w:szCs w:val="22"/>
        </w:rPr>
      </w:pPr>
      <w:r w:rsidRPr="008E26CC">
        <w:rPr>
          <w:rFonts w:ascii="Arial" w:hAnsi="Arial" w:cs="Arial"/>
          <w:i/>
          <w:sz w:val="22"/>
          <w:szCs w:val="22"/>
        </w:rPr>
        <w:t>If, after carrying out the investigation, the Authority is of the view</w:t>
      </w:r>
      <w:r w:rsidR="00614DF1" w:rsidRPr="00C52668">
        <w:rPr>
          <w:rFonts w:ascii="Arial" w:hAnsi="Arial" w:cs="Arial"/>
          <w:i/>
          <w:sz w:val="22"/>
          <w:szCs w:val="22"/>
        </w:rPr>
        <w:t>:</w:t>
      </w:r>
    </w:p>
    <w:p w14:paraId="11B6942B" w14:textId="64920FC9" w:rsidR="00614DF1" w:rsidRPr="00C52668"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(a)</w:t>
      </w:r>
      <w:r w:rsidRPr="00C52668">
        <w:rPr>
          <w:rFonts w:ascii="Arial" w:hAnsi="Arial" w:cs="Arial"/>
          <w:i/>
          <w:sz w:val="22"/>
          <w:szCs w:val="22"/>
        </w:rPr>
        <w:tab/>
      </w:r>
      <w:proofErr w:type="gramStart"/>
      <w:r w:rsidR="008E26CC" w:rsidRPr="008E26CC">
        <w:rPr>
          <w:rFonts w:ascii="Arial" w:hAnsi="Arial" w:cs="Arial"/>
          <w:i/>
          <w:sz w:val="22"/>
          <w:szCs w:val="22"/>
        </w:rPr>
        <w:t>that</w:t>
      </w:r>
      <w:proofErr w:type="gramEnd"/>
      <w:r w:rsidR="008E26CC" w:rsidRPr="008E26CC">
        <w:rPr>
          <w:rFonts w:ascii="Arial" w:hAnsi="Arial" w:cs="Arial"/>
          <w:i/>
          <w:sz w:val="22"/>
          <w:szCs w:val="22"/>
        </w:rPr>
        <w:t xml:space="preserve"> there is no new sound medical</w:t>
      </w:r>
      <w:r w:rsidR="008E26CC" w:rsidRPr="008E26CC">
        <w:rPr>
          <w:rFonts w:ascii="Cambria Math" w:hAnsi="Cambria Math" w:cs="Cambria Math"/>
          <w:i/>
          <w:sz w:val="22"/>
          <w:szCs w:val="22"/>
        </w:rPr>
        <w:t>‑</w:t>
      </w:r>
      <w:r w:rsidR="008E26CC" w:rsidRPr="008E26CC">
        <w:rPr>
          <w:rFonts w:ascii="Arial" w:hAnsi="Arial" w:cs="Arial"/>
          <w:i/>
          <w:sz w:val="22"/>
          <w:szCs w:val="22"/>
        </w:rPr>
        <w:t>scientific evidence about that kind of injury, disease or death; or</w:t>
      </w:r>
    </w:p>
    <w:p w14:paraId="245EF217" w14:textId="79C44D23" w:rsidR="00614DF1" w:rsidRPr="00C52668" w:rsidRDefault="00614DF1" w:rsidP="008E26CC">
      <w:pPr>
        <w:spacing w:line="260" w:lineRule="atLeast"/>
        <w:ind w:left="1701" w:hanging="567"/>
        <w:rPr>
          <w:rFonts w:ascii="Arial" w:hAnsi="Arial" w:cs="Arial"/>
          <w:i/>
          <w:sz w:val="22"/>
          <w:szCs w:val="22"/>
        </w:rPr>
      </w:pPr>
      <w:r w:rsidRPr="00C52668">
        <w:rPr>
          <w:rFonts w:ascii="Arial" w:hAnsi="Arial" w:cs="Arial"/>
          <w:i/>
          <w:sz w:val="22"/>
          <w:szCs w:val="22"/>
        </w:rPr>
        <w:t>(b)</w:t>
      </w:r>
      <w:r w:rsidRPr="00C52668">
        <w:rPr>
          <w:rFonts w:ascii="Arial" w:hAnsi="Arial" w:cs="Arial"/>
          <w:i/>
          <w:sz w:val="22"/>
          <w:szCs w:val="22"/>
        </w:rPr>
        <w:tab/>
      </w:r>
      <w:r w:rsidR="008E26CC" w:rsidRPr="008E26CC">
        <w:rPr>
          <w:rFonts w:ascii="Arial" w:hAnsi="Arial" w:cs="Arial"/>
          <w:i/>
          <w:sz w:val="22"/>
          <w:szCs w:val="22"/>
        </w:rPr>
        <w:t>that the new sound medical</w:t>
      </w:r>
      <w:r w:rsidR="008E26CC" w:rsidRPr="008E26CC">
        <w:rPr>
          <w:rFonts w:ascii="Cambria Math" w:hAnsi="Cambria Math" w:cs="Cambria Math"/>
          <w:i/>
          <w:sz w:val="22"/>
          <w:szCs w:val="22"/>
        </w:rPr>
        <w:t>‑</w:t>
      </w:r>
      <w:r w:rsidR="008E26CC" w:rsidRPr="008E26CC">
        <w:rPr>
          <w:rFonts w:ascii="Arial" w:hAnsi="Arial" w:cs="Arial"/>
          <w:i/>
          <w:sz w:val="22"/>
          <w:szCs w:val="22"/>
        </w:rPr>
        <w:t>scientific evidence available is not sufficient to justify the making of a Statement of Principles, or an amendment of the Statement of Principles already determined in respect of that kind of injury, disease or death;</w:t>
      </w:r>
    </w:p>
    <w:p w14:paraId="0E19A963" w14:textId="40195EBB" w:rsidR="00614DF1" w:rsidRPr="00C52668" w:rsidRDefault="008E26CC" w:rsidP="008E26CC">
      <w:pPr>
        <w:spacing w:line="260" w:lineRule="atLeast"/>
        <w:ind w:left="1134"/>
        <w:rPr>
          <w:rFonts w:ascii="Arial" w:hAnsi="Arial" w:cs="Arial"/>
          <w:i/>
          <w:sz w:val="22"/>
          <w:szCs w:val="22"/>
        </w:rPr>
      </w:pPr>
      <w:proofErr w:type="gramStart"/>
      <w:r>
        <w:rPr>
          <w:rFonts w:ascii="Arial" w:hAnsi="Arial" w:cs="Arial"/>
          <w:i/>
          <w:sz w:val="22"/>
          <w:szCs w:val="22"/>
        </w:rPr>
        <w:t>the</w:t>
      </w:r>
      <w:proofErr w:type="gramEnd"/>
      <w:r>
        <w:rPr>
          <w:rFonts w:ascii="Arial" w:hAnsi="Arial" w:cs="Arial"/>
          <w:i/>
          <w:sz w:val="22"/>
          <w:szCs w:val="22"/>
        </w:rPr>
        <w:t xml:space="preserve"> </w:t>
      </w:r>
      <w:r w:rsidRPr="008E26CC">
        <w:rPr>
          <w:rFonts w:ascii="Arial" w:hAnsi="Arial" w:cs="Arial"/>
          <w:i/>
          <w:sz w:val="22"/>
          <w:szCs w:val="22"/>
        </w:rPr>
        <w:t>Authority must make a declaration in writing:</w:t>
      </w:r>
    </w:p>
    <w:p w14:paraId="0983E96D" w14:textId="3F8A24AE" w:rsidR="00614DF1" w:rsidRDefault="002A790A" w:rsidP="002A790A">
      <w:pPr>
        <w:spacing w:line="260" w:lineRule="atLeast"/>
        <w:ind w:left="1701" w:hanging="567"/>
        <w:rPr>
          <w:rFonts w:ascii="Arial" w:hAnsi="Arial" w:cs="Arial"/>
          <w:i/>
          <w:sz w:val="22"/>
          <w:szCs w:val="22"/>
        </w:rPr>
      </w:pPr>
      <w:r>
        <w:rPr>
          <w:rFonts w:ascii="Arial" w:hAnsi="Arial" w:cs="Arial"/>
          <w:i/>
          <w:sz w:val="22"/>
          <w:szCs w:val="22"/>
        </w:rPr>
        <w:t>(c)</w:t>
      </w:r>
      <w:r>
        <w:rPr>
          <w:rFonts w:ascii="Arial" w:hAnsi="Arial" w:cs="Arial"/>
          <w:i/>
          <w:sz w:val="22"/>
          <w:szCs w:val="22"/>
        </w:rPr>
        <w:tab/>
      </w:r>
      <w:r w:rsidRPr="002A790A">
        <w:rPr>
          <w:rFonts w:ascii="Arial" w:hAnsi="Arial" w:cs="Arial"/>
          <w:i/>
          <w:sz w:val="22"/>
          <w:szCs w:val="22"/>
        </w:rPr>
        <w:t>stating that it does not propose to make a Statement of Principles, or amend the Statement of Principles already determined (as the case may be); and</w:t>
      </w:r>
    </w:p>
    <w:p w14:paraId="31AE0C5E" w14:textId="4F949684" w:rsidR="002A790A" w:rsidRDefault="002A790A" w:rsidP="002A790A">
      <w:pPr>
        <w:spacing w:line="260" w:lineRule="atLeast"/>
        <w:ind w:left="1701" w:hanging="567"/>
        <w:rPr>
          <w:rFonts w:ascii="Arial" w:hAnsi="Arial" w:cs="Arial"/>
          <w:i/>
          <w:sz w:val="22"/>
          <w:szCs w:val="22"/>
        </w:rPr>
      </w:pPr>
      <w:r>
        <w:rPr>
          <w:rFonts w:ascii="Arial" w:hAnsi="Arial" w:cs="Arial"/>
          <w:i/>
          <w:sz w:val="22"/>
          <w:szCs w:val="22"/>
        </w:rPr>
        <w:t>(d)</w:t>
      </w:r>
      <w:r>
        <w:rPr>
          <w:rFonts w:ascii="Arial" w:hAnsi="Arial" w:cs="Arial"/>
          <w:i/>
          <w:sz w:val="22"/>
          <w:szCs w:val="22"/>
        </w:rPr>
        <w:tab/>
      </w:r>
      <w:proofErr w:type="gramStart"/>
      <w:r w:rsidRPr="002A790A">
        <w:rPr>
          <w:rFonts w:ascii="Arial" w:hAnsi="Arial" w:cs="Arial"/>
          <w:i/>
          <w:sz w:val="22"/>
          <w:szCs w:val="22"/>
        </w:rPr>
        <w:t>giving</w:t>
      </w:r>
      <w:proofErr w:type="gramEnd"/>
      <w:r w:rsidRPr="002A790A">
        <w:rPr>
          <w:rFonts w:ascii="Arial" w:hAnsi="Arial" w:cs="Arial"/>
          <w:i/>
          <w:sz w:val="22"/>
          <w:szCs w:val="22"/>
        </w:rPr>
        <w:t xml:space="preserve"> the reasons for its decision.</w:t>
      </w:r>
    </w:p>
    <w:p w14:paraId="125F1F6C" w14:textId="77777777" w:rsidR="002A790A" w:rsidRPr="00C52668" w:rsidRDefault="002A790A" w:rsidP="002A790A">
      <w:pPr>
        <w:spacing w:line="260" w:lineRule="atLeast"/>
        <w:ind w:left="1701" w:hanging="567"/>
        <w:rPr>
          <w:rFonts w:ascii="Arial" w:hAnsi="Arial" w:cs="Arial"/>
          <w:i/>
          <w:sz w:val="22"/>
          <w:szCs w:val="22"/>
        </w:rPr>
      </w:pPr>
    </w:p>
    <w:p w14:paraId="249E9F64" w14:textId="13413DAD" w:rsidR="00614DF1" w:rsidRPr="00C52668" w:rsidRDefault="00614DF1" w:rsidP="00614DF1">
      <w:pPr>
        <w:rPr>
          <w:rFonts w:ascii="Arial" w:hAnsi="Arial" w:cs="Arial"/>
          <w:b/>
          <w:i/>
          <w:sz w:val="22"/>
          <w:szCs w:val="22"/>
        </w:rPr>
      </w:pPr>
      <w:r w:rsidRPr="00C52668">
        <w:rPr>
          <w:rFonts w:ascii="Arial" w:hAnsi="Arial" w:cs="Arial"/>
          <w:sz w:val="22"/>
          <w:szCs w:val="22"/>
        </w:rPr>
        <w:t xml:space="preserve">196E </w:t>
      </w:r>
    </w:p>
    <w:p w14:paraId="745579EB" w14:textId="77777777" w:rsidR="00614DF1" w:rsidRPr="00C52668" w:rsidRDefault="00614DF1" w:rsidP="00614DF1">
      <w:pPr>
        <w:spacing w:before="120" w:line="260" w:lineRule="atLeast"/>
        <w:ind w:left="1134" w:hanging="567"/>
        <w:rPr>
          <w:rFonts w:ascii="Arial" w:hAnsi="Arial" w:cs="Arial"/>
          <w:i/>
          <w:sz w:val="22"/>
          <w:szCs w:val="22"/>
        </w:rPr>
      </w:pPr>
      <w:r w:rsidRPr="00C52668">
        <w:rPr>
          <w:rFonts w:ascii="Arial" w:hAnsi="Arial" w:cs="Arial"/>
          <w:i/>
          <w:sz w:val="22"/>
          <w:szCs w:val="22"/>
        </w:rPr>
        <w:t>(1)</w:t>
      </w:r>
      <w:r w:rsidRPr="00C52668">
        <w:rPr>
          <w:rFonts w:ascii="Arial" w:hAnsi="Arial" w:cs="Arial"/>
          <w:i/>
          <w:sz w:val="22"/>
          <w:szCs w:val="22"/>
        </w:rPr>
        <w:tab/>
        <w:t>Any of the following:</w:t>
      </w:r>
    </w:p>
    <w:p w14:paraId="0E332E3A" w14:textId="77777777" w:rsidR="00614DF1" w:rsidRPr="00C52668"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(b)</w:t>
      </w:r>
      <w:r w:rsidRPr="00C52668">
        <w:rPr>
          <w:rFonts w:ascii="Arial" w:hAnsi="Arial" w:cs="Arial"/>
          <w:i/>
          <w:sz w:val="22"/>
          <w:szCs w:val="22"/>
        </w:rPr>
        <w:tab/>
      </w:r>
      <w:proofErr w:type="gramStart"/>
      <w:r w:rsidRPr="00C52668">
        <w:rPr>
          <w:rFonts w:ascii="Arial" w:hAnsi="Arial" w:cs="Arial"/>
          <w:i/>
          <w:sz w:val="22"/>
          <w:szCs w:val="22"/>
        </w:rPr>
        <w:t>a</w:t>
      </w:r>
      <w:proofErr w:type="gramEnd"/>
      <w:r w:rsidRPr="00C52668">
        <w:rPr>
          <w:rFonts w:ascii="Arial" w:hAnsi="Arial" w:cs="Arial"/>
          <w:i/>
          <w:sz w:val="22"/>
          <w:szCs w:val="22"/>
        </w:rPr>
        <w:t xml:space="preserve"> person eligible to make a claim for a pension under Part II or IV;</w:t>
      </w:r>
    </w:p>
    <w:p w14:paraId="5C81124D" w14:textId="77777777" w:rsidR="00614DF1" w:rsidRPr="00C52668"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w:t>
      </w:r>
      <w:proofErr w:type="spellStart"/>
      <w:proofErr w:type="gramStart"/>
      <w:r w:rsidRPr="00C52668">
        <w:rPr>
          <w:rFonts w:ascii="Arial" w:hAnsi="Arial" w:cs="Arial"/>
          <w:i/>
          <w:sz w:val="22"/>
          <w:szCs w:val="22"/>
        </w:rPr>
        <w:t>ba</w:t>
      </w:r>
      <w:proofErr w:type="spellEnd"/>
      <w:proofErr w:type="gramEnd"/>
      <w:r w:rsidRPr="00C52668">
        <w:rPr>
          <w:rFonts w:ascii="Arial" w:hAnsi="Arial" w:cs="Arial"/>
          <w:i/>
          <w:sz w:val="22"/>
          <w:szCs w:val="22"/>
        </w:rPr>
        <w:t>)</w:t>
      </w:r>
      <w:r w:rsidRPr="00C52668">
        <w:rPr>
          <w:rFonts w:ascii="Arial" w:hAnsi="Arial" w:cs="Arial"/>
          <w:i/>
          <w:sz w:val="22"/>
          <w:szCs w:val="22"/>
        </w:rPr>
        <w:tab/>
        <w:t>a person eligible to make a claim for compensation under section 319 of the MRCA;</w:t>
      </w:r>
    </w:p>
    <w:p w14:paraId="5EA80CC1" w14:textId="77777777" w:rsidR="00614DF1" w:rsidRPr="00C52668"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(c)</w:t>
      </w:r>
      <w:r w:rsidRPr="00C52668">
        <w:rPr>
          <w:rFonts w:ascii="Arial" w:hAnsi="Arial" w:cs="Arial"/>
          <w:i/>
          <w:sz w:val="22"/>
          <w:szCs w:val="22"/>
        </w:rPr>
        <w:tab/>
      </w:r>
      <w:proofErr w:type="gramStart"/>
      <w:r w:rsidRPr="00C52668">
        <w:rPr>
          <w:rFonts w:ascii="Arial" w:hAnsi="Arial" w:cs="Arial"/>
          <w:i/>
          <w:sz w:val="22"/>
          <w:szCs w:val="22"/>
        </w:rPr>
        <w:t>an</w:t>
      </w:r>
      <w:proofErr w:type="gramEnd"/>
      <w:r w:rsidRPr="00C52668">
        <w:rPr>
          <w:rFonts w:ascii="Arial" w:hAnsi="Arial" w:cs="Arial"/>
          <w:i/>
          <w:sz w:val="22"/>
          <w:szCs w:val="22"/>
        </w:rPr>
        <w:t xml:space="preserve"> organisation representing veterans ….</w:t>
      </w:r>
    </w:p>
    <w:p w14:paraId="6FFE40D2" w14:textId="77777777" w:rsidR="00614DF1" w:rsidRPr="00C52668" w:rsidRDefault="00614DF1" w:rsidP="00614DF1">
      <w:pPr>
        <w:spacing w:line="260" w:lineRule="atLeast"/>
        <w:ind w:left="1701" w:hanging="567"/>
        <w:rPr>
          <w:rFonts w:ascii="Arial" w:hAnsi="Arial" w:cs="Arial"/>
          <w:i/>
          <w:sz w:val="22"/>
          <w:szCs w:val="22"/>
        </w:rPr>
      </w:pPr>
      <w:proofErr w:type="gramStart"/>
      <w:r w:rsidRPr="00C52668">
        <w:rPr>
          <w:rFonts w:ascii="Arial" w:hAnsi="Arial" w:cs="Arial"/>
          <w:i/>
          <w:sz w:val="22"/>
          <w:szCs w:val="22"/>
        </w:rPr>
        <w:t>may</w:t>
      </w:r>
      <w:proofErr w:type="gramEnd"/>
      <w:r w:rsidRPr="00C52668">
        <w:rPr>
          <w:rFonts w:ascii="Arial" w:hAnsi="Arial" w:cs="Arial"/>
          <w:i/>
          <w:sz w:val="22"/>
          <w:szCs w:val="22"/>
        </w:rPr>
        <w:t xml:space="preserve"> ask the Repatriation Medical Authority:</w:t>
      </w:r>
    </w:p>
    <w:p w14:paraId="0809AA09" w14:textId="77777777" w:rsidR="00614DF1" w:rsidRDefault="00614DF1" w:rsidP="00614DF1">
      <w:pPr>
        <w:pStyle w:val="NumberLevel1"/>
        <w:keepNext/>
        <w:keepLines/>
        <w:tabs>
          <w:tab w:val="clear" w:pos="360"/>
        </w:tabs>
        <w:spacing w:before="0" w:line="260" w:lineRule="atLeast"/>
        <w:ind w:left="1701" w:hanging="567"/>
        <w:outlineLvl w:val="9"/>
      </w:pPr>
      <w:r w:rsidRPr="00C52668">
        <w:rPr>
          <w:i/>
        </w:rPr>
        <w:t>(f)</w:t>
      </w:r>
      <w:r w:rsidRPr="00C52668">
        <w:rPr>
          <w:i/>
        </w:rPr>
        <w:tab/>
      </w:r>
      <w:proofErr w:type="gramStart"/>
      <w:r w:rsidRPr="00C52668">
        <w:rPr>
          <w:i/>
        </w:rPr>
        <w:t>to</w:t>
      </w:r>
      <w:proofErr w:type="gramEnd"/>
      <w:r w:rsidRPr="00C52668">
        <w:rPr>
          <w:i/>
        </w:rPr>
        <w:t xml:space="preserve"> review the contents of a Statement of Principles in force under this Part.</w:t>
      </w:r>
    </w:p>
    <w:p w14:paraId="75CCC48D" w14:textId="77777777" w:rsidR="00614DF1" w:rsidRDefault="00614DF1" w:rsidP="00614DF1">
      <w:pPr>
        <w:pStyle w:val="NumberLevel1"/>
        <w:tabs>
          <w:tab w:val="clear" w:pos="360"/>
          <w:tab w:val="left" w:pos="720"/>
        </w:tabs>
        <w:ind w:left="426" w:hanging="426"/>
        <w:outlineLvl w:val="1"/>
        <w:rPr>
          <w:b/>
        </w:rPr>
      </w:pPr>
      <w:r>
        <w:rPr>
          <w:b/>
        </w:rPr>
        <w:t xml:space="preserve">Basis for commencing review of an existing SOP </w:t>
      </w:r>
    </w:p>
    <w:p w14:paraId="4B9D58A6" w14:textId="45B54D64" w:rsidR="00614DF1" w:rsidRDefault="00614DF1" w:rsidP="00B73269">
      <w:pPr>
        <w:pStyle w:val="NumberLevel1"/>
        <w:numPr>
          <w:ilvl w:val="0"/>
          <w:numId w:val="4"/>
        </w:numPr>
        <w:outlineLvl w:val="9"/>
        <w:rPr>
          <w:szCs w:val="24"/>
        </w:rPr>
      </w:pPr>
      <w:r w:rsidRPr="00091898">
        <w:rPr>
          <w:szCs w:val="24"/>
        </w:rPr>
        <w:t xml:space="preserve">It is </w:t>
      </w:r>
      <w:r w:rsidR="002A790A">
        <w:rPr>
          <w:szCs w:val="24"/>
        </w:rPr>
        <w:t>the applicant's</w:t>
      </w:r>
      <w:r w:rsidRPr="00091898">
        <w:rPr>
          <w:szCs w:val="24"/>
        </w:rPr>
        <w:t xml:space="preserve"> request whic</w:t>
      </w:r>
      <w:r w:rsidR="002A790A">
        <w:rPr>
          <w:szCs w:val="24"/>
        </w:rPr>
        <w:t xml:space="preserve">h prompted the Authority </w:t>
      </w:r>
      <w:r w:rsidRPr="00091898">
        <w:rPr>
          <w:szCs w:val="24"/>
        </w:rPr>
        <w:t>to com</w:t>
      </w:r>
      <w:r w:rsidR="001A1196">
        <w:rPr>
          <w:szCs w:val="24"/>
        </w:rPr>
        <w:t>m</w:t>
      </w:r>
      <w:r w:rsidR="002A790A">
        <w:rPr>
          <w:szCs w:val="24"/>
        </w:rPr>
        <w:t>ence an investigation into this</w:t>
      </w:r>
      <w:r w:rsidRPr="00091898">
        <w:rPr>
          <w:szCs w:val="24"/>
        </w:rPr>
        <w:t xml:space="preserve"> particular factor un</w:t>
      </w:r>
      <w:r w:rsidR="002A790A">
        <w:rPr>
          <w:szCs w:val="24"/>
        </w:rPr>
        <w:t xml:space="preserve">der s </w:t>
      </w:r>
      <w:proofErr w:type="gramStart"/>
      <w:r w:rsidR="002A790A">
        <w:rPr>
          <w:szCs w:val="24"/>
        </w:rPr>
        <w:t>196B(</w:t>
      </w:r>
      <w:proofErr w:type="gramEnd"/>
      <w:r w:rsidR="002A790A">
        <w:rPr>
          <w:szCs w:val="24"/>
        </w:rPr>
        <w:t>7)(a)</w:t>
      </w:r>
      <w:r w:rsidR="0002096B">
        <w:rPr>
          <w:szCs w:val="24"/>
        </w:rPr>
        <w:t xml:space="preserve"> of the VEA.</w:t>
      </w:r>
      <w:r w:rsidR="0002096B">
        <w:rPr>
          <w:rStyle w:val="FootnoteReference"/>
          <w:szCs w:val="24"/>
        </w:rPr>
        <w:footnoteReference w:id="13"/>
      </w:r>
    </w:p>
    <w:p w14:paraId="740E63B1" w14:textId="13B86F50" w:rsidR="002A790A" w:rsidRDefault="002A790A" w:rsidP="002A790A">
      <w:pPr>
        <w:pStyle w:val="NumberLevel1"/>
        <w:tabs>
          <w:tab w:val="clear" w:pos="360"/>
          <w:tab w:val="left" w:pos="720"/>
        </w:tabs>
        <w:ind w:left="426" w:hanging="426"/>
        <w:outlineLvl w:val="1"/>
        <w:rPr>
          <w:b/>
        </w:rPr>
      </w:pPr>
      <w:r>
        <w:rPr>
          <w:b/>
        </w:rPr>
        <w:t xml:space="preserve">Basis for amending an existing SOP </w:t>
      </w:r>
    </w:p>
    <w:p w14:paraId="5069CD78" w14:textId="29DBE41F" w:rsidR="002A790A" w:rsidRPr="002A790A" w:rsidRDefault="0002096B" w:rsidP="00CD0BC8">
      <w:pPr>
        <w:pStyle w:val="NumberLevel1"/>
        <w:numPr>
          <w:ilvl w:val="0"/>
          <w:numId w:val="4"/>
        </w:numPr>
        <w:outlineLvl w:val="9"/>
        <w:rPr>
          <w:szCs w:val="24"/>
        </w:rPr>
      </w:pPr>
      <w:r>
        <w:rPr>
          <w:szCs w:val="24"/>
        </w:rPr>
        <w:t>I</w:t>
      </w:r>
      <w:r w:rsidRPr="0002096B">
        <w:rPr>
          <w:szCs w:val="24"/>
        </w:rPr>
        <w:t xml:space="preserve">n forming any view during </w:t>
      </w:r>
      <w:r>
        <w:rPr>
          <w:szCs w:val="24"/>
        </w:rPr>
        <w:t>an</w:t>
      </w:r>
      <w:r w:rsidRPr="0002096B">
        <w:rPr>
          <w:szCs w:val="24"/>
        </w:rPr>
        <w:t xml:space="preserve"> investigation, the Authorit</w:t>
      </w:r>
      <w:r w:rsidR="00CD0BC8">
        <w:rPr>
          <w:szCs w:val="24"/>
        </w:rPr>
        <w:t xml:space="preserve">y </w:t>
      </w:r>
      <w:r w:rsidR="00CD0BC8" w:rsidRPr="00CD0BC8">
        <w:rPr>
          <w:szCs w:val="24"/>
        </w:rPr>
        <w:t>may rely only on</w:t>
      </w:r>
      <w:r w:rsidR="00CD0BC8">
        <w:rPr>
          <w:szCs w:val="24"/>
        </w:rPr>
        <w:t xml:space="preserve"> SMSE. </w:t>
      </w:r>
      <w:r w:rsidR="002A790A">
        <w:rPr>
          <w:szCs w:val="24"/>
        </w:rPr>
        <w:t>Subsection</w:t>
      </w:r>
      <w:r>
        <w:rPr>
          <w:szCs w:val="24"/>
        </w:rPr>
        <w:t xml:space="preserve"> 196B(8) provides that where there is</w:t>
      </w:r>
      <w:r w:rsidR="00CD0BC8">
        <w:rPr>
          <w:szCs w:val="24"/>
        </w:rPr>
        <w:t xml:space="preserve"> </w:t>
      </w:r>
      <w:r w:rsidR="00CD0BC8" w:rsidRPr="00CD0BC8">
        <w:rPr>
          <w:szCs w:val="24"/>
        </w:rPr>
        <w:t xml:space="preserve">a new body of sound medical-scientific evidence available that, together with the sound medical-scientific evidence previously considered by the Authority, justifies the amendment of </w:t>
      </w:r>
      <w:r w:rsidR="00CD0BC8">
        <w:rPr>
          <w:szCs w:val="24"/>
        </w:rPr>
        <w:t xml:space="preserve">a SOP the </w:t>
      </w:r>
      <w:r w:rsidR="00FF00D6">
        <w:rPr>
          <w:szCs w:val="24"/>
        </w:rPr>
        <w:t>Authority</w:t>
      </w:r>
      <w:r w:rsidR="00CD0BC8">
        <w:rPr>
          <w:szCs w:val="24"/>
        </w:rPr>
        <w:t xml:space="preserve"> is required to do so. On the other hand where there is no new SMSE or the new SMSE is </w:t>
      </w:r>
      <w:r w:rsidR="00FF00D6">
        <w:rPr>
          <w:szCs w:val="24"/>
        </w:rPr>
        <w:t>insufficient</w:t>
      </w:r>
      <w:r w:rsidR="00CD0BC8">
        <w:rPr>
          <w:szCs w:val="24"/>
        </w:rPr>
        <w:t xml:space="preserve"> to justify </w:t>
      </w:r>
      <w:r w:rsidR="00FF00D6">
        <w:rPr>
          <w:szCs w:val="24"/>
        </w:rPr>
        <w:t>an</w:t>
      </w:r>
      <w:r w:rsidR="00CD0BC8">
        <w:rPr>
          <w:szCs w:val="24"/>
        </w:rPr>
        <w:t xml:space="preserve"> amendment </w:t>
      </w:r>
      <w:r w:rsidR="00F71036">
        <w:rPr>
          <w:szCs w:val="24"/>
        </w:rPr>
        <w:t xml:space="preserve">subsection 196B(9) provides that the Authority </w:t>
      </w:r>
      <w:r w:rsidR="00F71036">
        <w:rPr>
          <w:i/>
          <w:szCs w:val="24"/>
        </w:rPr>
        <w:t>must</w:t>
      </w:r>
      <w:r w:rsidR="00F71036">
        <w:rPr>
          <w:szCs w:val="24"/>
        </w:rPr>
        <w:t xml:space="preserve"> make a declaration stating that it does not propose to amend the SOP</w:t>
      </w:r>
      <w:r w:rsidR="00CD0BC8">
        <w:rPr>
          <w:szCs w:val="24"/>
        </w:rPr>
        <w:t xml:space="preserve"> and give reasons for that decision.</w:t>
      </w:r>
    </w:p>
    <w:p w14:paraId="6E5EA2DB" w14:textId="4E4F413C" w:rsidR="00614DF1" w:rsidRPr="00641C48" w:rsidRDefault="00614DF1" w:rsidP="00757EA5">
      <w:pPr>
        <w:pStyle w:val="NumberLevel1"/>
        <w:keepNext/>
        <w:tabs>
          <w:tab w:val="clear" w:pos="360"/>
        </w:tabs>
        <w:ind w:left="0" w:firstLine="0"/>
        <w:outlineLvl w:val="1"/>
        <w:rPr>
          <w:b/>
        </w:rPr>
      </w:pPr>
      <w:r>
        <w:rPr>
          <w:b/>
        </w:rPr>
        <w:lastRenderedPageBreak/>
        <w:t xml:space="preserve">Reasons for deciding not to </w:t>
      </w:r>
      <w:r w:rsidR="000647DA">
        <w:rPr>
          <w:b/>
        </w:rPr>
        <w:t>amend</w:t>
      </w:r>
      <w:r>
        <w:rPr>
          <w:b/>
        </w:rPr>
        <w:t xml:space="preserve"> an existing SOP</w:t>
      </w:r>
    </w:p>
    <w:p w14:paraId="3F9AA17F" w14:textId="77777777" w:rsidR="00614DF1" w:rsidRPr="007D6C12" w:rsidRDefault="00614DF1" w:rsidP="00614DF1">
      <w:pPr>
        <w:pStyle w:val="NumberLevel1"/>
        <w:numPr>
          <w:ilvl w:val="0"/>
          <w:numId w:val="4"/>
        </w:numPr>
        <w:outlineLvl w:val="9"/>
        <w:rPr>
          <w:szCs w:val="24"/>
        </w:rPr>
      </w:pPr>
      <w:r w:rsidRPr="00091898">
        <w:rPr>
          <w:szCs w:val="24"/>
        </w:rPr>
        <w:t xml:space="preserve">Together with its own expert knowledge, the Authority took </w:t>
      </w:r>
      <w:r w:rsidRPr="007D6C12">
        <w:rPr>
          <w:szCs w:val="24"/>
        </w:rPr>
        <w:t>into consideration:</w:t>
      </w:r>
    </w:p>
    <w:p w14:paraId="2A325B61" w14:textId="28C8002F" w:rsidR="00614DF1" w:rsidRDefault="00614DF1" w:rsidP="00614DF1">
      <w:pPr>
        <w:pStyle w:val="ListParagraph"/>
        <w:numPr>
          <w:ilvl w:val="0"/>
          <w:numId w:val="12"/>
        </w:numPr>
        <w:tabs>
          <w:tab w:val="left" w:pos="1134"/>
        </w:tabs>
        <w:spacing w:line="280" w:lineRule="atLeast"/>
        <w:ind w:left="1134" w:hanging="567"/>
        <w:rPr>
          <w:rFonts w:ascii="Arial" w:hAnsi="Arial" w:cs="Arial"/>
          <w:sz w:val="22"/>
          <w:szCs w:val="22"/>
        </w:rPr>
      </w:pPr>
      <w:r w:rsidRPr="00C52668">
        <w:rPr>
          <w:rFonts w:ascii="Arial" w:hAnsi="Arial" w:cs="Arial"/>
          <w:sz w:val="22"/>
          <w:szCs w:val="22"/>
        </w:rPr>
        <w:t xml:space="preserve">the </w:t>
      </w:r>
      <w:r>
        <w:rPr>
          <w:rFonts w:ascii="Arial" w:hAnsi="Arial" w:cs="Arial"/>
          <w:sz w:val="22"/>
          <w:szCs w:val="22"/>
        </w:rPr>
        <w:t xml:space="preserve">information provided by </w:t>
      </w:r>
      <w:r w:rsidR="00F71036">
        <w:rPr>
          <w:rFonts w:ascii="Arial" w:hAnsi="Arial" w:cs="Arial"/>
          <w:sz w:val="22"/>
          <w:szCs w:val="22"/>
        </w:rPr>
        <w:t>the applicant</w:t>
      </w:r>
      <w:r w:rsidR="006E7E1C">
        <w:rPr>
          <w:rFonts w:ascii="Arial" w:hAnsi="Arial" w:cs="Arial"/>
          <w:sz w:val="22"/>
          <w:szCs w:val="22"/>
        </w:rPr>
        <w:t>, to the extent that it relied on SMSE</w:t>
      </w:r>
      <w:r w:rsidRPr="00C52668">
        <w:rPr>
          <w:rFonts w:ascii="Arial" w:hAnsi="Arial" w:cs="Arial"/>
          <w:sz w:val="22"/>
          <w:szCs w:val="22"/>
        </w:rPr>
        <w:t>;</w:t>
      </w:r>
    </w:p>
    <w:p w14:paraId="4A2DEE49" w14:textId="32CBD138" w:rsidR="006E7E1C" w:rsidRDefault="00614DF1" w:rsidP="00F71036">
      <w:pPr>
        <w:pStyle w:val="ListParagraph"/>
        <w:numPr>
          <w:ilvl w:val="0"/>
          <w:numId w:val="12"/>
        </w:numPr>
        <w:tabs>
          <w:tab w:val="left" w:pos="1134"/>
        </w:tabs>
        <w:spacing w:line="280" w:lineRule="atLeast"/>
        <w:ind w:left="1134" w:hanging="567"/>
        <w:rPr>
          <w:rFonts w:ascii="Arial" w:hAnsi="Arial" w:cs="Arial"/>
          <w:sz w:val="22"/>
          <w:szCs w:val="22"/>
        </w:rPr>
      </w:pPr>
      <w:r w:rsidRPr="004E2A7C">
        <w:rPr>
          <w:rFonts w:ascii="Arial" w:hAnsi="Arial" w:cs="Arial"/>
          <w:sz w:val="22"/>
          <w:szCs w:val="22"/>
        </w:rPr>
        <w:t xml:space="preserve">the information held by the Authority and obtained during its previous </w:t>
      </w:r>
      <w:r w:rsidR="00CD0BC8">
        <w:rPr>
          <w:rFonts w:ascii="Arial" w:hAnsi="Arial" w:cs="Arial"/>
          <w:sz w:val="22"/>
          <w:szCs w:val="22"/>
        </w:rPr>
        <w:t xml:space="preserve">investigations </w:t>
      </w:r>
      <w:r w:rsidRPr="004E2A7C">
        <w:rPr>
          <w:rFonts w:ascii="Arial" w:hAnsi="Arial" w:cs="Arial"/>
          <w:sz w:val="22"/>
          <w:szCs w:val="22"/>
        </w:rPr>
        <w:t xml:space="preserve">leading </w:t>
      </w:r>
      <w:r w:rsidR="00CD0BC8">
        <w:rPr>
          <w:rFonts w:ascii="Arial" w:hAnsi="Arial" w:cs="Arial"/>
          <w:sz w:val="22"/>
          <w:szCs w:val="22"/>
        </w:rPr>
        <w:t xml:space="preserve">up </w:t>
      </w:r>
      <w:r w:rsidRPr="004E2A7C">
        <w:rPr>
          <w:rFonts w:ascii="Arial" w:hAnsi="Arial" w:cs="Arial"/>
          <w:sz w:val="22"/>
          <w:szCs w:val="22"/>
        </w:rPr>
        <w:t xml:space="preserve">to the determination of </w:t>
      </w:r>
      <w:r>
        <w:rPr>
          <w:rFonts w:ascii="Arial" w:hAnsi="Arial" w:cs="Arial"/>
          <w:sz w:val="22"/>
          <w:szCs w:val="22"/>
        </w:rPr>
        <w:t>the SOPs</w:t>
      </w:r>
      <w:r w:rsidRPr="004E2A7C">
        <w:rPr>
          <w:rFonts w:ascii="Arial" w:hAnsi="Arial" w:cs="Arial"/>
          <w:sz w:val="22"/>
          <w:szCs w:val="22"/>
        </w:rPr>
        <w:t xml:space="preserve"> concerning </w:t>
      </w:r>
      <w:r w:rsidR="00F71036">
        <w:rPr>
          <w:rFonts w:ascii="Arial" w:hAnsi="Arial" w:cs="Arial"/>
          <w:sz w:val="22"/>
          <w:szCs w:val="22"/>
        </w:rPr>
        <w:t xml:space="preserve">malignant neoplasm of the </w:t>
      </w:r>
      <w:r w:rsidR="00912C36">
        <w:rPr>
          <w:rFonts w:ascii="Arial" w:hAnsi="Arial" w:cs="Arial"/>
          <w:sz w:val="22"/>
          <w:szCs w:val="22"/>
        </w:rPr>
        <w:t>prostate</w:t>
      </w:r>
      <w:r w:rsidR="00F71036">
        <w:rPr>
          <w:rFonts w:ascii="Arial" w:hAnsi="Arial" w:cs="Arial"/>
          <w:sz w:val="22"/>
          <w:szCs w:val="22"/>
        </w:rPr>
        <w:t xml:space="preserve"> </w:t>
      </w:r>
      <w:r w:rsidR="00F71036" w:rsidRPr="00F71036">
        <w:rPr>
          <w:rFonts w:ascii="Arial" w:hAnsi="Arial" w:cs="Arial"/>
          <w:sz w:val="22"/>
          <w:szCs w:val="22"/>
        </w:rPr>
        <w:t xml:space="preserve">(Instrument Nos. </w:t>
      </w:r>
      <w:r w:rsidR="006E7E1C">
        <w:rPr>
          <w:rFonts w:ascii="Arial" w:hAnsi="Arial" w:cs="Arial"/>
          <w:sz w:val="22"/>
          <w:szCs w:val="22"/>
        </w:rPr>
        <w:t>53</w:t>
      </w:r>
      <w:r w:rsidR="00F71036" w:rsidRPr="00F71036">
        <w:rPr>
          <w:rFonts w:ascii="Arial" w:hAnsi="Arial" w:cs="Arial"/>
          <w:sz w:val="22"/>
          <w:szCs w:val="22"/>
        </w:rPr>
        <w:t xml:space="preserve"> and </w:t>
      </w:r>
      <w:r w:rsidR="006E7E1C">
        <w:rPr>
          <w:rFonts w:ascii="Arial" w:hAnsi="Arial" w:cs="Arial"/>
          <w:sz w:val="22"/>
          <w:szCs w:val="22"/>
        </w:rPr>
        <w:t>54</w:t>
      </w:r>
      <w:r w:rsidR="00F71036" w:rsidRPr="00F71036">
        <w:rPr>
          <w:rFonts w:ascii="Arial" w:hAnsi="Arial" w:cs="Arial"/>
          <w:sz w:val="22"/>
          <w:szCs w:val="22"/>
        </w:rPr>
        <w:t xml:space="preserve"> of 201</w:t>
      </w:r>
      <w:r w:rsidR="006E7E1C">
        <w:rPr>
          <w:rFonts w:ascii="Arial" w:hAnsi="Arial" w:cs="Arial"/>
          <w:sz w:val="22"/>
          <w:szCs w:val="22"/>
        </w:rPr>
        <w:t>4</w:t>
      </w:r>
      <w:r w:rsidR="00F71036" w:rsidRPr="00F71036">
        <w:rPr>
          <w:rFonts w:ascii="Arial" w:hAnsi="Arial" w:cs="Arial"/>
          <w:sz w:val="22"/>
          <w:szCs w:val="22"/>
        </w:rPr>
        <w:t>)</w:t>
      </w:r>
      <w:r w:rsidRPr="004E2A7C">
        <w:rPr>
          <w:rFonts w:ascii="Arial" w:hAnsi="Arial" w:cs="Arial"/>
          <w:sz w:val="22"/>
          <w:szCs w:val="22"/>
        </w:rPr>
        <w:t xml:space="preserve">; </w:t>
      </w:r>
    </w:p>
    <w:p w14:paraId="68E874B3" w14:textId="67787CFD" w:rsidR="00614DF1" w:rsidRPr="004E2A7C" w:rsidRDefault="006E7E1C" w:rsidP="00F71036">
      <w:pPr>
        <w:pStyle w:val="ListParagraph"/>
        <w:numPr>
          <w:ilvl w:val="0"/>
          <w:numId w:val="12"/>
        </w:numPr>
        <w:tabs>
          <w:tab w:val="left" w:pos="1134"/>
        </w:tabs>
        <w:spacing w:line="280" w:lineRule="atLeast"/>
        <w:ind w:left="1134" w:hanging="567"/>
        <w:rPr>
          <w:rFonts w:ascii="Arial" w:hAnsi="Arial" w:cs="Arial"/>
          <w:sz w:val="22"/>
          <w:szCs w:val="22"/>
        </w:rPr>
      </w:pPr>
      <w:r>
        <w:rPr>
          <w:rFonts w:ascii="Arial" w:hAnsi="Arial" w:cs="Arial"/>
          <w:sz w:val="22"/>
          <w:szCs w:val="22"/>
        </w:rPr>
        <w:t xml:space="preserve">the discussion paper prepared by a medical researcher for the October 2016 meeting; </w:t>
      </w:r>
    </w:p>
    <w:p w14:paraId="57BAE1BF" w14:textId="1F4A0364" w:rsidR="00F71036" w:rsidRDefault="00614DF1" w:rsidP="00614DF1">
      <w:pPr>
        <w:pStyle w:val="ListParagraph"/>
        <w:numPr>
          <w:ilvl w:val="0"/>
          <w:numId w:val="12"/>
        </w:numPr>
        <w:tabs>
          <w:tab w:val="left" w:pos="1134"/>
        </w:tabs>
        <w:spacing w:line="280" w:lineRule="atLeast"/>
        <w:ind w:left="1134" w:hanging="567"/>
        <w:rPr>
          <w:rFonts w:ascii="Arial" w:hAnsi="Arial" w:cs="Arial"/>
          <w:sz w:val="22"/>
          <w:szCs w:val="22"/>
        </w:rPr>
      </w:pPr>
      <w:r>
        <w:rPr>
          <w:rFonts w:ascii="Arial" w:hAnsi="Arial" w:cs="Arial"/>
          <w:sz w:val="22"/>
          <w:szCs w:val="22"/>
        </w:rPr>
        <w:t>the</w:t>
      </w:r>
      <w:r w:rsidRPr="004E2A7C">
        <w:rPr>
          <w:rFonts w:ascii="Arial" w:hAnsi="Arial" w:cs="Arial"/>
          <w:sz w:val="22"/>
          <w:szCs w:val="22"/>
        </w:rPr>
        <w:t xml:space="preserve"> discussion paper prepared by a medical researcher</w:t>
      </w:r>
      <w:r w:rsidR="00F71036">
        <w:rPr>
          <w:rFonts w:ascii="Arial" w:hAnsi="Arial" w:cs="Arial"/>
          <w:sz w:val="22"/>
          <w:szCs w:val="22"/>
        </w:rPr>
        <w:t xml:space="preserve"> for the </w:t>
      </w:r>
      <w:r w:rsidR="00096E9E">
        <w:rPr>
          <w:rFonts w:ascii="Arial" w:hAnsi="Arial" w:cs="Arial"/>
          <w:sz w:val="22"/>
          <w:szCs w:val="22"/>
        </w:rPr>
        <w:t>May</w:t>
      </w:r>
      <w:r w:rsidR="00F71036">
        <w:rPr>
          <w:rFonts w:ascii="Arial" w:hAnsi="Arial" w:cs="Arial"/>
          <w:sz w:val="22"/>
          <w:szCs w:val="22"/>
        </w:rPr>
        <w:t xml:space="preserve"> 2021 meeting;</w:t>
      </w:r>
      <w:r w:rsidR="006E7E1C">
        <w:rPr>
          <w:rFonts w:ascii="Arial" w:hAnsi="Arial" w:cs="Arial"/>
          <w:sz w:val="22"/>
          <w:szCs w:val="22"/>
        </w:rPr>
        <w:t xml:space="preserve"> and</w:t>
      </w:r>
    </w:p>
    <w:p w14:paraId="38D1D669" w14:textId="0D15B848" w:rsidR="00614DF1" w:rsidRPr="004E2A7C" w:rsidRDefault="00F71036" w:rsidP="00614DF1">
      <w:pPr>
        <w:pStyle w:val="ListParagraph"/>
        <w:numPr>
          <w:ilvl w:val="0"/>
          <w:numId w:val="12"/>
        </w:numPr>
        <w:tabs>
          <w:tab w:val="left" w:pos="1134"/>
        </w:tabs>
        <w:spacing w:line="280" w:lineRule="atLeast"/>
        <w:ind w:left="1134" w:hanging="567"/>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briefing paper prepared by a medical researcher for the </w:t>
      </w:r>
      <w:r w:rsidR="00096E9E">
        <w:rPr>
          <w:rFonts w:ascii="Arial" w:hAnsi="Arial" w:cs="Arial"/>
          <w:sz w:val="22"/>
          <w:szCs w:val="22"/>
        </w:rPr>
        <w:t>August</w:t>
      </w:r>
      <w:r>
        <w:rPr>
          <w:rFonts w:ascii="Arial" w:hAnsi="Arial" w:cs="Arial"/>
          <w:sz w:val="22"/>
          <w:szCs w:val="22"/>
        </w:rPr>
        <w:t xml:space="preserve"> 2021 meeting</w:t>
      </w:r>
      <w:r w:rsidR="00614DF1" w:rsidRPr="004E2A7C">
        <w:rPr>
          <w:rFonts w:ascii="Arial" w:hAnsi="Arial" w:cs="Arial"/>
          <w:sz w:val="22"/>
          <w:szCs w:val="22"/>
        </w:rPr>
        <w:t>.</w:t>
      </w:r>
    </w:p>
    <w:p w14:paraId="65C20D16" w14:textId="14DDDB17" w:rsidR="00F87EC5" w:rsidRDefault="0003385F" w:rsidP="00D95179">
      <w:pPr>
        <w:pStyle w:val="NumberLevel1"/>
        <w:numPr>
          <w:ilvl w:val="0"/>
          <w:numId w:val="4"/>
        </w:numPr>
        <w:outlineLvl w:val="9"/>
        <w:rPr>
          <w:szCs w:val="24"/>
        </w:rPr>
      </w:pPr>
      <w:r>
        <w:rPr>
          <w:szCs w:val="24"/>
        </w:rPr>
        <w:t xml:space="preserve">As noted above, the applicant relied on the following </w:t>
      </w:r>
      <w:r w:rsidR="001A1196">
        <w:rPr>
          <w:szCs w:val="24"/>
        </w:rPr>
        <w:t>ground</w:t>
      </w:r>
      <w:r>
        <w:rPr>
          <w:szCs w:val="24"/>
        </w:rPr>
        <w:t xml:space="preserve"> for seeking a review of the contents of the SOPs concerning </w:t>
      </w:r>
      <w:r w:rsidR="00D45F1B">
        <w:rPr>
          <w:szCs w:val="24"/>
        </w:rPr>
        <w:t xml:space="preserve">malignant neoplasm of the </w:t>
      </w:r>
      <w:r w:rsidR="00912C36">
        <w:rPr>
          <w:szCs w:val="24"/>
        </w:rPr>
        <w:t>prostate</w:t>
      </w:r>
      <w:r>
        <w:rPr>
          <w:szCs w:val="24"/>
        </w:rPr>
        <w:t>:</w:t>
      </w:r>
    </w:p>
    <w:p w14:paraId="44753953" w14:textId="2981CB06" w:rsidR="0003385F" w:rsidRDefault="006E7E1C" w:rsidP="006E7E1C">
      <w:pPr>
        <w:pStyle w:val="ListParagraph"/>
        <w:numPr>
          <w:ilvl w:val="0"/>
          <w:numId w:val="12"/>
        </w:numPr>
        <w:tabs>
          <w:tab w:val="left" w:pos="1134"/>
        </w:tabs>
        <w:spacing w:line="280" w:lineRule="atLeast"/>
        <w:ind w:left="1134" w:hanging="567"/>
        <w:rPr>
          <w:rFonts w:ascii="Arial" w:hAnsi="Arial" w:cs="Arial"/>
          <w:sz w:val="22"/>
          <w:szCs w:val="22"/>
        </w:rPr>
      </w:pPr>
      <w:proofErr w:type="gramStart"/>
      <w:r>
        <w:rPr>
          <w:rFonts w:ascii="Arial" w:hAnsi="Arial" w:cs="Arial"/>
          <w:sz w:val="22"/>
          <w:szCs w:val="22"/>
        </w:rPr>
        <w:t>there</w:t>
      </w:r>
      <w:proofErr w:type="gramEnd"/>
      <w:r>
        <w:rPr>
          <w:rFonts w:ascii="Arial" w:hAnsi="Arial" w:cs="Arial"/>
          <w:sz w:val="22"/>
          <w:szCs w:val="22"/>
        </w:rPr>
        <w:t xml:space="preserve"> is </w:t>
      </w:r>
      <w:r w:rsidRPr="006E7E1C">
        <w:rPr>
          <w:rFonts w:ascii="Arial" w:hAnsi="Arial" w:cs="Arial"/>
          <w:sz w:val="22"/>
          <w:szCs w:val="22"/>
        </w:rPr>
        <w:t xml:space="preserve">information </w:t>
      </w:r>
      <w:r>
        <w:rPr>
          <w:rFonts w:ascii="Arial" w:hAnsi="Arial" w:cs="Arial"/>
          <w:sz w:val="22"/>
          <w:szCs w:val="22"/>
        </w:rPr>
        <w:t>available which supports</w:t>
      </w:r>
      <w:r w:rsidRPr="006E7E1C">
        <w:rPr>
          <w:rFonts w:ascii="Arial" w:hAnsi="Arial" w:cs="Arial"/>
          <w:sz w:val="22"/>
          <w:szCs w:val="22"/>
        </w:rPr>
        <w:t xml:space="preserve"> a positive link between asbestos exposure and malignant neoplasm of the prostate</w:t>
      </w:r>
      <w:r w:rsidR="00D45F1B" w:rsidRPr="00D45F1B">
        <w:rPr>
          <w:rFonts w:ascii="Arial" w:hAnsi="Arial" w:cs="Arial"/>
          <w:sz w:val="22"/>
          <w:szCs w:val="22"/>
        </w:rPr>
        <w:t>.</w:t>
      </w:r>
    </w:p>
    <w:p w14:paraId="3B6D0CCA" w14:textId="5994E9CA" w:rsidR="00D45F1B" w:rsidRPr="00234B85" w:rsidRDefault="000647DA" w:rsidP="00D45F1B">
      <w:pPr>
        <w:pStyle w:val="NumberLevel1"/>
        <w:tabs>
          <w:tab w:val="clear" w:pos="360"/>
        </w:tabs>
        <w:rPr>
          <w:i/>
        </w:rPr>
      </w:pPr>
      <w:r>
        <w:rPr>
          <w:i/>
        </w:rPr>
        <w:t>Is there new sound medical-scientific evidence?</w:t>
      </w:r>
    </w:p>
    <w:p w14:paraId="648AC622" w14:textId="5156E9FC" w:rsidR="00D45F1B" w:rsidRDefault="00D45F1B" w:rsidP="001A1196">
      <w:pPr>
        <w:pStyle w:val="NumberLevel1"/>
        <w:numPr>
          <w:ilvl w:val="0"/>
          <w:numId w:val="4"/>
        </w:numPr>
        <w:outlineLvl w:val="9"/>
      </w:pPr>
      <w:r>
        <w:t xml:space="preserve">Since its previous consideration of the SMSE in relation to </w:t>
      </w:r>
      <w:r w:rsidR="00F128D5">
        <w:t>asbestos</w:t>
      </w:r>
      <w:r w:rsidR="00096E9E">
        <w:t xml:space="preserve"> exposure</w:t>
      </w:r>
      <w:r w:rsidR="00F128D5">
        <w:t xml:space="preserve"> in 2016</w:t>
      </w:r>
      <w:r>
        <w:t xml:space="preserve">, new SMSE </w:t>
      </w:r>
      <w:r w:rsidR="00096E9E">
        <w:t>has been published.</w:t>
      </w:r>
      <w:r w:rsidR="003B2793">
        <w:t xml:space="preserve"> This new SMSE has been discussed above.</w:t>
      </w:r>
    </w:p>
    <w:p w14:paraId="6A3C4BED" w14:textId="53E0F945" w:rsidR="000647DA" w:rsidRPr="00234B85" w:rsidRDefault="000647DA" w:rsidP="000647DA">
      <w:pPr>
        <w:pStyle w:val="NumberLevel1"/>
        <w:tabs>
          <w:tab w:val="clear" w:pos="360"/>
        </w:tabs>
        <w:rPr>
          <w:i/>
        </w:rPr>
      </w:pPr>
      <w:r>
        <w:rPr>
          <w:i/>
        </w:rPr>
        <w:t xml:space="preserve">Is the </w:t>
      </w:r>
      <w:r w:rsidR="00CD0BC8">
        <w:rPr>
          <w:i/>
        </w:rPr>
        <w:t xml:space="preserve">available </w:t>
      </w:r>
      <w:r>
        <w:rPr>
          <w:i/>
        </w:rPr>
        <w:t>sound medical-scientific evidence sufficient to justify amendment?</w:t>
      </w:r>
    </w:p>
    <w:p w14:paraId="3DBD7076" w14:textId="6218AE6C" w:rsidR="003B2793" w:rsidRDefault="001A1196" w:rsidP="00ED5D33">
      <w:pPr>
        <w:pStyle w:val="NumberLevel1"/>
        <w:numPr>
          <w:ilvl w:val="0"/>
          <w:numId w:val="4"/>
        </w:numPr>
        <w:outlineLvl w:val="9"/>
      </w:pPr>
      <w:r>
        <w:t>T</w:t>
      </w:r>
      <w:r w:rsidR="0003385F">
        <w:t>h</w:t>
      </w:r>
      <w:r w:rsidR="009B700F">
        <w:t xml:space="preserve">e Authority </w:t>
      </w:r>
      <w:r w:rsidR="00CD0BC8">
        <w:t xml:space="preserve">is of the view </w:t>
      </w:r>
      <w:r w:rsidR="009B700F">
        <w:t>that the currently available SMSE</w:t>
      </w:r>
      <w:r w:rsidR="008762E9">
        <w:t>,</w:t>
      </w:r>
      <w:r w:rsidR="00F204BD">
        <w:t xml:space="preserve"> </w:t>
      </w:r>
      <w:r w:rsidR="00CD0BC8">
        <w:t>including the new SMSE</w:t>
      </w:r>
      <w:r w:rsidR="008762E9">
        <w:t>,</w:t>
      </w:r>
      <w:r w:rsidR="00CD0BC8">
        <w:t xml:space="preserve"> </w:t>
      </w:r>
      <w:r w:rsidR="0003385F">
        <w:t xml:space="preserve">was </w:t>
      </w:r>
      <w:r w:rsidR="000647DA">
        <w:t xml:space="preserve">not sufficient to justify the amendment which the applicant sought. </w:t>
      </w:r>
      <w:r w:rsidR="00E07C40">
        <w:rPr>
          <w:szCs w:val="24"/>
        </w:rPr>
        <w:t xml:space="preserve">The available </w:t>
      </w:r>
      <w:r w:rsidR="00D406A2">
        <w:rPr>
          <w:szCs w:val="24"/>
        </w:rPr>
        <w:t>studies are</w:t>
      </w:r>
      <w:r w:rsidR="00E07C40">
        <w:rPr>
          <w:szCs w:val="24"/>
        </w:rPr>
        <w:t xml:space="preserve"> inconsistent in </w:t>
      </w:r>
      <w:r w:rsidR="00D406A2">
        <w:rPr>
          <w:szCs w:val="24"/>
        </w:rPr>
        <w:t xml:space="preserve">their findings and have significant methodological limitations. Such limitations include </w:t>
      </w:r>
      <w:r w:rsidR="00F128D5" w:rsidRPr="007A14C3">
        <w:rPr>
          <w:szCs w:val="24"/>
        </w:rPr>
        <w:t xml:space="preserve">a lack of information about </w:t>
      </w:r>
      <w:r w:rsidR="00856D9C">
        <w:rPr>
          <w:szCs w:val="24"/>
        </w:rPr>
        <w:t>levels</w:t>
      </w:r>
      <w:r w:rsidR="00856D9C" w:rsidRPr="007A14C3">
        <w:rPr>
          <w:szCs w:val="24"/>
        </w:rPr>
        <w:t xml:space="preserve"> </w:t>
      </w:r>
      <w:r w:rsidR="00F128D5" w:rsidRPr="007A14C3">
        <w:rPr>
          <w:szCs w:val="24"/>
        </w:rPr>
        <w:t xml:space="preserve">of asbestos exposure </w:t>
      </w:r>
      <w:r w:rsidR="00856D9C">
        <w:rPr>
          <w:szCs w:val="24"/>
        </w:rPr>
        <w:t>and an inability to</w:t>
      </w:r>
      <w:r w:rsidR="00F128D5" w:rsidRPr="007A14C3">
        <w:rPr>
          <w:szCs w:val="24"/>
        </w:rPr>
        <w:t xml:space="preserve"> examine dose-response effects. There is </w:t>
      </w:r>
      <w:r w:rsidR="00D406A2">
        <w:rPr>
          <w:szCs w:val="24"/>
        </w:rPr>
        <w:t xml:space="preserve">also </w:t>
      </w:r>
      <w:r w:rsidR="00F128D5" w:rsidRPr="007A14C3">
        <w:rPr>
          <w:szCs w:val="24"/>
        </w:rPr>
        <w:t xml:space="preserve">a lack of information about stage of prostate cancer or screening rates, which </w:t>
      </w:r>
      <w:r w:rsidR="00D406A2">
        <w:rPr>
          <w:szCs w:val="24"/>
        </w:rPr>
        <w:t>is needed</w:t>
      </w:r>
      <w:r w:rsidR="00F128D5" w:rsidRPr="007A14C3">
        <w:rPr>
          <w:szCs w:val="24"/>
        </w:rPr>
        <w:t xml:space="preserve"> to determine whether or not higher rates were partly due to ea</w:t>
      </w:r>
      <w:r w:rsidR="00F128D5">
        <w:rPr>
          <w:szCs w:val="24"/>
        </w:rPr>
        <w:t>rlier detection from screening.</w:t>
      </w:r>
      <w:r w:rsidR="00096E9E">
        <w:t xml:space="preserve"> </w:t>
      </w:r>
      <w:r w:rsidR="00D406A2">
        <w:t>There is no clear mechanism by which asbestos fibres might cause prostate cancer.</w:t>
      </w:r>
    </w:p>
    <w:p w14:paraId="0116B993" w14:textId="2E5FD1A3" w:rsidR="0003385F" w:rsidRDefault="00096E9E" w:rsidP="00ED5D33">
      <w:pPr>
        <w:pStyle w:val="NumberLevel1"/>
        <w:numPr>
          <w:ilvl w:val="0"/>
          <w:numId w:val="4"/>
        </w:numPr>
        <w:outlineLvl w:val="9"/>
      </w:pPr>
      <w:r>
        <w:t>There are significant other</w:t>
      </w:r>
      <w:r w:rsidR="00C60DF0">
        <w:t xml:space="preserve"> methodological</w:t>
      </w:r>
      <w:r>
        <w:t xml:space="preserve"> limitations </w:t>
      </w:r>
      <w:r w:rsidR="00F128D5">
        <w:t>with many of the</w:t>
      </w:r>
      <w:r>
        <w:t xml:space="preserve"> studies</w:t>
      </w:r>
      <w:r w:rsidR="00F128D5">
        <w:t xml:space="preserve"> which show a positive association between asbestos exposure and prostate cancer</w:t>
      </w:r>
      <w:r>
        <w:t xml:space="preserve">, including </w:t>
      </w:r>
      <w:r w:rsidR="00F128D5" w:rsidRPr="007A14C3">
        <w:rPr>
          <w:szCs w:val="24"/>
        </w:rPr>
        <w:t xml:space="preserve">double-counted observations, </w:t>
      </w:r>
      <w:r w:rsidR="00D406A2">
        <w:rPr>
          <w:szCs w:val="24"/>
        </w:rPr>
        <w:t xml:space="preserve">failure to include some studies in the meta-analysis by </w:t>
      </w:r>
      <w:proofErr w:type="spellStart"/>
      <w:r w:rsidR="00D406A2">
        <w:rPr>
          <w:szCs w:val="24"/>
        </w:rPr>
        <w:t>Dutheil</w:t>
      </w:r>
      <w:proofErr w:type="spellEnd"/>
      <w:r w:rsidR="00D406A2">
        <w:rPr>
          <w:szCs w:val="24"/>
        </w:rPr>
        <w:t xml:space="preserve"> et al (2020), </w:t>
      </w:r>
      <w:r w:rsidR="00F128D5" w:rsidRPr="007A14C3">
        <w:rPr>
          <w:szCs w:val="24"/>
        </w:rPr>
        <w:t>the inclusion of some cohorts of oil refinery workers</w:t>
      </w:r>
      <w:r w:rsidR="00F128D5">
        <w:rPr>
          <w:szCs w:val="24"/>
        </w:rPr>
        <w:t xml:space="preserve"> (who may have been exposed to multiple other carcinogens)</w:t>
      </w:r>
      <w:r w:rsidR="00F128D5" w:rsidRPr="007A14C3">
        <w:rPr>
          <w:szCs w:val="24"/>
        </w:rPr>
        <w:t>, and the potential for bias in the combination of prostate cancer incidence and mortality</w:t>
      </w:r>
      <w:r w:rsidR="00D406A2">
        <w:rPr>
          <w:szCs w:val="24"/>
        </w:rPr>
        <w:t>.</w:t>
      </w:r>
    </w:p>
    <w:p w14:paraId="1214F5E6" w14:textId="21CCF17C" w:rsidR="002B0EF2" w:rsidRPr="0003385F" w:rsidRDefault="00096E9E" w:rsidP="002B0EF2">
      <w:pPr>
        <w:pStyle w:val="NumberLevel1"/>
        <w:numPr>
          <w:ilvl w:val="0"/>
          <w:numId w:val="4"/>
        </w:numPr>
        <w:outlineLvl w:val="9"/>
      </w:pPr>
      <w:r>
        <w:t>Consequently,</w:t>
      </w:r>
      <w:r w:rsidR="001976D6">
        <w:t xml:space="preserve"> the</w:t>
      </w:r>
      <w:r w:rsidR="002B0EF2">
        <w:t xml:space="preserve"> evidence is too equivocal to say with any certainty whether </w:t>
      </w:r>
      <w:r w:rsidR="00454664">
        <w:t>exposure</w:t>
      </w:r>
      <w:r>
        <w:t xml:space="preserve"> to </w:t>
      </w:r>
      <w:r w:rsidR="00F128D5">
        <w:t>asbestos, either generally or in drinking water,</w:t>
      </w:r>
      <w:r>
        <w:t xml:space="preserve"> </w:t>
      </w:r>
      <w:r w:rsidR="00454664">
        <w:t xml:space="preserve">plays a causal role in the clinical onset or worsening of malignant neoplasm of the </w:t>
      </w:r>
      <w:r w:rsidR="00F128D5">
        <w:t>prostate</w:t>
      </w:r>
      <w:r w:rsidR="00454664">
        <w:t>.</w:t>
      </w:r>
      <w:r w:rsidR="002B0EF2">
        <w:t xml:space="preserve"> </w:t>
      </w:r>
    </w:p>
    <w:p w14:paraId="607CEEF0" w14:textId="061AE059" w:rsidR="00614DF1" w:rsidRDefault="00614DF1" w:rsidP="00614DF1">
      <w:pPr>
        <w:pStyle w:val="PartHeading"/>
      </w:pPr>
      <w:bookmarkStart w:id="10" w:name="_Toc38025123"/>
      <w:bookmarkStart w:id="11" w:name="_Toc156722918"/>
      <w:bookmarkStart w:id="12" w:name="_Toc79670315"/>
      <w:bookmarkEnd w:id="10"/>
      <w:bookmarkEnd w:id="11"/>
      <w:r>
        <w:t>Conclusions</w:t>
      </w:r>
      <w:bookmarkEnd w:id="12"/>
    </w:p>
    <w:p w14:paraId="33E7673F" w14:textId="33016A52" w:rsidR="00614DF1" w:rsidRPr="00F87EC5" w:rsidRDefault="00614DF1" w:rsidP="00F87EC5">
      <w:pPr>
        <w:pStyle w:val="NumberLevel1"/>
        <w:numPr>
          <w:ilvl w:val="0"/>
          <w:numId w:val="4"/>
        </w:numPr>
        <w:outlineLvl w:val="9"/>
        <w:rPr>
          <w:szCs w:val="24"/>
        </w:rPr>
      </w:pPr>
      <w:bookmarkStart w:id="13" w:name="_Toc156722920"/>
      <w:bookmarkEnd w:id="13"/>
      <w:r w:rsidRPr="00091898">
        <w:rPr>
          <w:szCs w:val="24"/>
        </w:rPr>
        <w:t xml:space="preserve">Overall, for the reasons set out above, </w:t>
      </w:r>
      <w:r w:rsidR="000811AE">
        <w:rPr>
          <w:szCs w:val="24"/>
        </w:rPr>
        <w:t>the available SMSE is not sufficient to justify the</w:t>
      </w:r>
      <w:r w:rsidR="00ED5D33">
        <w:rPr>
          <w:szCs w:val="24"/>
        </w:rPr>
        <w:t xml:space="preserve"> amendment of the SOPs concerning malignant neoplasm of the </w:t>
      </w:r>
      <w:r w:rsidR="00C60DF0">
        <w:rPr>
          <w:szCs w:val="24"/>
        </w:rPr>
        <w:t>prostate</w:t>
      </w:r>
      <w:r w:rsidR="00ED5D33">
        <w:rPr>
          <w:szCs w:val="24"/>
        </w:rPr>
        <w:t xml:space="preserve"> by including</w:t>
      </w:r>
      <w:r w:rsidR="000811AE">
        <w:rPr>
          <w:szCs w:val="24"/>
        </w:rPr>
        <w:t xml:space="preserve"> factors </w:t>
      </w:r>
      <w:r w:rsidR="00ED5D33">
        <w:rPr>
          <w:szCs w:val="24"/>
        </w:rPr>
        <w:t xml:space="preserve">for </w:t>
      </w:r>
      <w:r w:rsidR="00C60DF0">
        <w:rPr>
          <w:szCs w:val="24"/>
        </w:rPr>
        <w:t>asbestos exposure</w:t>
      </w:r>
      <w:r w:rsidR="00ED5D33">
        <w:rPr>
          <w:szCs w:val="24"/>
        </w:rPr>
        <w:t>.</w:t>
      </w:r>
    </w:p>
    <w:p w14:paraId="4F70B19B" w14:textId="77777777" w:rsidR="00614DF1" w:rsidRDefault="00614DF1" w:rsidP="00757EA5">
      <w:pPr>
        <w:pStyle w:val="PartHeading"/>
      </w:pPr>
      <w:bookmarkStart w:id="14" w:name="_Toc38023746"/>
      <w:bookmarkStart w:id="15" w:name="_Toc37947041"/>
      <w:bookmarkStart w:id="16" w:name="_Toc38023747"/>
      <w:bookmarkStart w:id="17" w:name="_Toc37947042"/>
      <w:bookmarkStart w:id="18" w:name="_Toc38023748"/>
      <w:bookmarkStart w:id="19" w:name="_Toc37947043"/>
      <w:bookmarkStart w:id="20" w:name="_Toc38023749"/>
      <w:bookmarkStart w:id="21" w:name="_Toc37947044"/>
      <w:bookmarkStart w:id="22" w:name="_Toc38023750"/>
      <w:bookmarkStart w:id="23" w:name="_Toc38023751"/>
      <w:bookmarkStart w:id="24" w:name="_Toc79670316"/>
      <w:bookmarkEnd w:id="14"/>
      <w:bookmarkEnd w:id="15"/>
      <w:bookmarkEnd w:id="16"/>
      <w:bookmarkEnd w:id="17"/>
      <w:bookmarkEnd w:id="18"/>
      <w:bookmarkEnd w:id="19"/>
      <w:bookmarkEnd w:id="20"/>
      <w:bookmarkEnd w:id="21"/>
      <w:bookmarkEnd w:id="22"/>
      <w:r>
        <w:lastRenderedPageBreak/>
        <w:t>Decision</w:t>
      </w:r>
      <w:bookmarkEnd w:id="23"/>
      <w:bookmarkEnd w:id="24"/>
    </w:p>
    <w:p w14:paraId="315A595B" w14:textId="56370B07" w:rsidR="00614DF1" w:rsidRPr="007D6C12" w:rsidRDefault="00614DF1" w:rsidP="00757EA5">
      <w:pPr>
        <w:pStyle w:val="NumberLevel1"/>
        <w:keepNext/>
        <w:keepLines/>
        <w:numPr>
          <w:ilvl w:val="0"/>
          <w:numId w:val="4"/>
        </w:numPr>
        <w:outlineLvl w:val="9"/>
        <w:rPr>
          <w:szCs w:val="24"/>
        </w:rPr>
      </w:pPr>
      <w:r w:rsidRPr="00091898">
        <w:rPr>
          <w:szCs w:val="24"/>
        </w:rPr>
        <w:t xml:space="preserve">The Authority decided at its meeting on </w:t>
      </w:r>
      <w:r w:rsidR="003A5438">
        <w:rPr>
          <w:szCs w:val="24"/>
        </w:rPr>
        <w:t>4 August</w:t>
      </w:r>
      <w:r w:rsidR="000811AE">
        <w:rPr>
          <w:szCs w:val="24"/>
        </w:rPr>
        <w:t xml:space="preserve"> 2021</w:t>
      </w:r>
      <w:r w:rsidRPr="00091898">
        <w:rPr>
          <w:szCs w:val="24"/>
        </w:rPr>
        <w:t xml:space="preserve"> not to </w:t>
      </w:r>
      <w:r w:rsidR="000811AE">
        <w:rPr>
          <w:szCs w:val="24"/>
        </w:rPr>
        <w:t>amend</w:t>
      </w:r>
      <w:r w:rsidRPr="007D6C12">
        <w:rPr>
          <w:szCs w:val="24"/>
        </w:rPr>
        <w:t xml:space="preserve"> the </w:t>
      </w:r>
      <w:r>
        <w:rPr>
          <w:szCs w:val="24"/>
        </w:rPr>
        <w:t>SOP</w:t>
      </w:r>
      <w:r w:rsidR="00D4185F">
        <w:rPr>
          <w:szCs w:val="24"/>
        </w:rPr>
        <w:t>s</w:t>
      </w:r>
      <w:r w:rsidRPr="007D6C12">
        <w:rPr>
          <w:szCs w:val="24"/>
        </w:rPr>
        <w:t xml:space="preserve"> concerning </w:t>
      </w:r>
      <w:r w:rsidR="000811AE">
        <w:rPr>
          <w:szCs w:val="24"/>
        </w:rPr>
        <w:t xml:space="preserve">malignant neoplasm of the </w:t>
      </w:r>
      <w:r w:rsidR="00C60DF0">
        <w:rPr>
          <w:szCs w:val="24"/>
        </w:rPr>
        <w:t>prostate</w:t>
      </w:r>
      <w:r w:rsidRPr="007D6C12">
        <w:rPr>
          <w:szCs w:val="24"/>
        </w:rPr>
        <w:t xml:space="preserve"> </w:t>
      </w:r>
      <w:r w:rsidRPr="00091898">
        <w:rPr>
          <w:szCs w:val="24"/>
        </w:rPr>
        <w:t>(</w:t>
      </w:r>
      <w:r w:rsidR="000811AE" w:rsidRPr="00F71036">
        <w:t xml:space="preserve">Instrument Nos. </w:t>
      </w:r>
      <w:r w:rsidR="00C60DF0">
        <w:t>53</w:t>
      </w:r>
      <w:r w:rsidR="003A5438">
        <w:t xml:space="preserve"> </w:t>
      </w:r>
      <w:r w:rsidR="000811AE" w:rsidRPr="00F71036">
        <w:t xml:space="preserve">and </w:t>
      </w:r>
      <w:r w:rsidR="00C60DF0">
        <w:t>54</w:t>
      </w:r>
      <w:r w:rsidR="000811AE" w:rsidRPr="00F71036">
        <w:t xml:space="preserve"> of 201</w:t>
      </w:r>
      <w:r w:rsidR="00C60DF0">
        <w:t>4</w:t>
      </w:r>
      <w:r w:rsidRPr="00091898">
        <w:rPr>
          <w:szCs w:val="24"/>
        </w:rPr>
        <w:t xml:space="preserve">) as it considered that the </w:t>
      </w:r>
      <w:r w:rsidR="000811AE">
        <w:rPr>
          <w:szCs w:val="24"/>
        </w:rPr>
        <w:t>SMSE was no</w:t>
      </w:r>
      <w:r w:rsidR="00E95106">
        <w:rPr>
          <w:szCs w:val="24"/>
        </w:rPr>
        <w:t>t</w:t>
      </w:r>
      <w:r w:rsidR="000811AE">
        <w:rPr>
          <w:szCs w:val="24"/>
        </w:rPr>
        <w:t xml:space="preserve"> sufficient to justify the amendment sought </w:t>
      </w:r>
      <w:r w:rsidR="00ED5D33">
        <w:rPr>
          <w:szCs w:val="24"/>
        </w:rPr>
        <w:t xml:space="preserve">in </w:t>
      </w:r>
      <w:r w:rsidR="000811AE">
        <w:rPr>
          <w:szCs w:val="24"/>
        </w:rPr>
        <w:t>the application.</w:t>
      </w:r>
      <w:r w:rsidRPr="00091898">
        <w:rPr>
          <w:szCs w:val="24"/>
        </w:rPr>
        <w:t xml:space="preserve"> </w:t>
      </w:r>
    </w:p>
    <w:p w14:paraId="7222CDEC" w14:textId="47EF4388" w:rsidR="00614DF1" w:rsidRPr="00150C5D" w:rsidRDefault="00614DF1" w:rsidP="00757EA5">
      <w:pPr>
        <w:keepNext/>
        <w:keepLines/>
        <w:ind w:left="360"/>
        <w:jc w:val="both"/>
        <w:rPr>
          <w:sz w:val="24"/>
          <w:szCs w:val="24"/>
        </w:rPr>
      </w:pPr>
    </w:p>
    <w:p w14:paraId="3C42DD15" w14:textId="77777777" w:rsidR="00614DF1" w:rsidRPr="00150C5D" w:rsidRDefault="00614DF1" w:rsidP="00757EA5">
      <w:pPr>
        <w:keepNext/>
        <w:keepLines/>
        <w:ind w:left="360"/>
        <w:jc w:val="both"/>
        <w:rPr>
          <w:sz w:val="24"/>
          <w:szCs w:val="24"/>
        </w:rPr>
      </w:pPr>
    </w:p>
    <w:p w14:paraId="5E9F4A37" w14:textId="57F6F79F" w:rsidR="00614DF1" w:rsidRPr="00C52668" w:rsidRDefault="00460448" w:rsidP="00757EA5">
      <w:pPr>
        <w:keepNext/>
        <w:keepLines/>
        <w:ind w:left="567"/>
        <w:rPr>
          <w:rFonts w:ascii="Arial" w:hAnsi="Arial" w:cs="Arial"/>
          <w:sz w:val="22"/>
          <w:szCs w:val="22"/>
        </w:rPr>
      </w:pPr>
      <w:r>
        <w:rPr>
          <w:rFonts w:ascii="Arial" w:hAnsi="Arial" w:cs="Arial"/>
          <w:sz w:val="22"/>
          <w:szCs w:val="22"/>
        </w:rPr>
        <w:t xml:space="preserve">Professor </w:t>
      </w:r>
      <w:r w:rsidR="003A5438">
        <w:rPr>
          <w:rFonts w:ascii="Arial" w:hAnsi="Arial" w:cs="Arial"/>
          <w:sz w:val="22"/>
          <w:szCs w:val="22"/>
        </w:rPr>
        <w:t>Terence Campbell AM</w:t>
      </w:r>
    </w:p>
    <w:p w14:paraId="1FEF08CF" w14:textId="77777777" w:rsidR="00614DF1" w:rsidRPr="00C52668" w:rsidRDefault="00614DF1" w:rsidP="00757EA5">
      <w:pPr>
        <w:keepNext/>
        <w:keepLines/>
        <w:ind w:left="567"/>
        <w:rPr>
          <w:rFonts w:ascii="Arial" w:hAnsi="Arial" w:cs="Arial"/>
          <w:sz w:val="22"/>
          <w:szCs w:val="22"/>
        </w:rPr>
      </w:pPr>
      <w:r w:rsidRPr="00C52668">
        <w:rPr>
          <w:rFonts w:ascii="Arial" w:hAnsi="Arial" w:cs="Arial"/>
          <w:sz w:val="22"/>
          <w:szCs w:val="22"/>
        </w:rPr>
        <w:t>Chairperson</w:t>
      </w:r>
    </w:p>
    <w:p w14:paraId="3031A519" w14:textId="77777777" w:rsidR="00614DF1" w:rsidRPr="00C52668" w:rsidRDefault="00614DF1" w:rsidP="00757EA5">
      <w:pPr>
        <w:keepNext/>
        <w:keepLines/>
        <w:ind w:left="567"/>
        <w:rPr>
          <w:rFonts w:ascii="Arial" w:hAnsi="Arial" w:cs="Arial"/>
          <w:sz w:val="22"/>
          <w:szCs w:val="22"/>
        </w:rPr>
      </w:pPr>
      <w:r w:rsidRPr="00C52668">
        <w:rPr>
          <w:rFonts w:ascii="Arial" w:hAnsi="Arial" w:cs="Arial"/>
          <w:sz w:val="22"/>
          <w:szCs w:val="22"/>
        </w:rPr>
        <w:t>Repatriation Medical Authority</w:t>
      </w:r>
    </w:p>
    <w:p w14:paraId="7B9776E3" w14:textId="77777777" w:rsidR="00614DF1" w:rsidRPr="00C52668" w:rsidRDefault="00614DF1" w:rsidP="00757EA5">
      <w:pPr>
        <w:keepNext/>
        <w:keepLines/>
        <w:ind w:left="567"/>
        <w:jc w:val="both"/>
        <w:rPr>
          <w:rFonts w:ascii="Arial" w:hAnsi="Arial" w:cs="Arial"/>
          <w:sz w:val="22"/>
          <w:szCs w:val="22"/>
        </w:rPr>
      </w:pPr>
    </w:p>
    <w:p w14:paraId="7CB8D540" w14:textId="6C98194B" w:rsidR="00614DF1" w:rsidRPr="00152FDD" w:rsidRDefault="003A5438" w:rsidP="00757EA5">
      <w:pPr>
        <w:keepNext/>
        <w:keepLines/>
        <w:ind w:left="567"/>
        <w:jc w:val="both"/>
      </w:pPr>
      <w:r>
        <w:rPr>
          <w:rFonts w:ascii="Arial" w:hAnsi="Arial" w:cs="Arial"/>
          <w:sz w:val="22"/>
          <w:szCs w:val="22"/>
        </w:rPr>
        <w:t>20 August</w:t>
      </w:r>
      <w:r w:rsidR="00070D2E">
        <w:rPr>
          <w:rFonts w:ascii="Arial" w:hAnsi="Arial" w:cs="Arial"/>
          <w:sz w:val="22"/>
          <w:szCs w:val="22"/>
        </w:rPr>
        <w:t xml:space="preserve"> 2021</w:t>
      </w:r>
    </w:p>
    <w:p w14:paraId="59DA02F1" w14:textId="77777777" w:rsidR="00152FDD" w:rsidRPr="00614DF1" w:rsidRDefault="00152FDD" w:rsidP="00757EA5">
      <w:pPr>
        <w:keepNext/>
        <w:keepLines/>
      </w:pPr>
    </w:p>
    <w:sectPr w:rsidR="00152FDD" w:rsidRPr="00614DF1" w:rsidSect="00345222">
      <w:footerReference w:type="even" r:id="rId12"/>
      <w:footerReference w:type="default" r:id="rId13"/>
      <w:footerReference w:type="first" r:id="rId14"/>
      <w:pgSz w:w="11907" w:h="16840" w:code="9"/>
      <w:pgMar w:top="1361" w:right="1247" w:bottom="1418" w:left="1247"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66B7" w14:textId="77777777" w:rsidR="001F5941" w:rsidRDefault="001F5941">
      <w:r>
        <w:separator/>
      </w:r>
    </w:p>
  </w:endnote>
  <w:endnote w:type="continuationSeparator" w:id="0">
    <w:p w14:paraId="1AB2DEA2" w14:textId="77777777" w:rsidR="001F5941" w:rsidRDefault="001F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57BD7" w14:textId="77777777" w:rsidR="00614DF1" w:rsidRDefault="00614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76AC9FE6" w14:textId="77777777" w:rsidR="00614DF1" w:rsidRDefault="00614D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4B2D" w14:textId="3AAA2923" w:rsidR="00614DF1" w:rsidRDefault="00614DF1" w:rsidP="00833C55">
    <w:pPr>
      <w:pStyle w:val="Footer"/>
      <w:ind w:right="360"/>
      <w:jc w:val="center"/>
      <w:rPr>
        <w:rFonts w:ascii="Arial" w:hAnsi="Arial" w:cs="Arial"/>
        <w:sz w:val="14"/>
        <w:szCs w:val="14"/>
      </w:rPr>
    </w:pPr>
    <w:r w:rsidRPr="00C52668">
      <w:rPr>
        <w:rFonts w:ascii="Arial" w:hAnsi="Arial" w:cs="Arial"/>
        <w:sz w:val="14"/>
        <w:szCs w:val="14"/>
      </w:rPr>
      <w:t xml:space="preserve">Statement of Reasons – </w:t>
    </w:r>
    <w:r w:rsidR="00A873B9">
      <w:rPr>
        <w:rFonts w:ascii="Arial" w:hAnsi="Arial" w:cs="Arial"/>
        <w:sz w:val="14"/>
        <w:szCs w:val="14"/>
      </w:rPr>
      <w:t>Decision not to amend</w:t>
    </w:r>
    <w:r w:rsidRPr="00C52668">
      <w:rPr>
        <w:rFonts w:ascii="Arial" w:hAnsi="Arial" w:cs="Arial"/>
        <w:sz w:val="14"/>
        <w:szCs w:val="14"/>
      </w:rPr>
      <w:t xml:space="preserve"> Statement</w:t>
    </w:r>
    <w:r w:rsidR="00C90309">
      <w:rPr>
        <w:rFonts w:ascii="Arial" w:hAnsi="Arial" w:cs="Arial"/>
        <w:sz w:val="14"/>
        <w:szCs w:val="14"/>
      </w:rPr>
      <w:t>s</w:t>
    </w:r>
    <w:r w:rsidRPr="00C52668">
      <w:rPr>
        <w:rFonts w:ascii="Arial" w:hAnsi="Arial" w:cs="Arial"/>
        <w:sz w:val="14"/>
        <w:szCs w:val="14"/>
      </w:rPr>
      <w:t xml:space="preserve"> of Principles concerning </w:t>
    </w:r>
    <w:r w:rsidR="00A873B9">
      <w:rPr>
        <w:rFonts w:ascii="Arial" w:hAnsi="Arial" w:cs="Arial"/>
        <w:sz w:val="14"/>
        <w:szCs w:val="14"/>
      </w:rPr>
      <w:t xml:space="preserve">malignant neoplasm of the </w:t>
    </w:r>
    <w:r w:rsidR="00833C55">
      <w:rPr>
        <w:rFonts w:ascii="Arial" w:hAnsi="Arial" w:cs="Arial"/>
        <w:sz w:val="14"/>
        <w:szCs w:val="14"/>
      </w:rPr>
      <w:t>prostate</w:t>
    </w:r>
    <w:r>
      <w:rPr>
        <w:rFonts w:ascii="Arial" w:hAnsi="Arial" w:cs="Arial"/>
        <w:sz w:val="14"/>
        <w:szCs w:val="14"/>
      </w:rPr>
      <w:t xml:space="preserve"> No</w:t>
    </w:r>
    <w:r w:rsidR="00AD04E1">
      <w:rPr>
        <w:rFonts w:ascii="Arial" w:hAnsi="Arial" w:cs="Arial"/>
        <w:sz w:val="14"/>
        <w:szCs w:val="14"/>
      </w:rPr>
      <w:t>s</w:t>
    </w:r>
    <w:r>
      <w:rPr>
        <w:rFonts w:ascii="Arial" w:hAnsi="Arial" w:cs="Arial"/>
        <w:sz w:val="14"/>
        <w:szCs w:val="14"/>
      </w:rPr>
      <w:t xml:space="preserve">. </w:t>
    </w:r>
    <w:r w:rsidR="00833C55">
      <w:rPr>
        <w:rFonts w:ascii="Arial" w:hAnsi="Arial" w:cs="Arial"/>
        <w:sz w:val="14"/>
        <w:szCs w:val="14"/>
      </w:rPr>
      <w:t>53</w:t>
    </w:r>
    <w:r w:rsidR="00AD04E1">
      <w:rPr>
        <w:rFonts w:ascii="Arial" w:hAnsi="Arial" w:cs="Arial"/>
        <w:sz w:val="14"/>
        <w:szCs w:val="14"/>
      </w:rPr>
      <w:t xml:space="preserve"> and </w:t>
    </w:r>
    <w:r w:rsidR="00833C55">
      <w:rPr>
        <w:rFonts w:ascii="Arial" w:hAnsi="Arial" w:cs="Arial"/>
        <w:sz w:val="14"/>
        <w:szCs w:val="14"/>
      </w:rPr>
      <w:t>54</w:t>
    </w:r>
    <w:r w:rsidR="00C90309">
      <w:rPr>
        <w:rFonts w:ascii="Arial" w:hAnsi="Arial" w:cs="Arial"/>
        <w:sz w:val="14"/>
        <w:szCs w:val="14"/>
      </w:rPr>
      <w:t xml:space="preserve"> of 201</w:t>
    </w:r>
    <w:r w:rsidR="00833C55">
      <w:rPr>
        <w:rFonts w:ascii="Arial" w:hAnsi="Arial" w:cs="Arial"/>
        <w:sz w:val="14"/>
        <w:szCs w:val="14"/>
      </w:rPr>
      <w:t>4</w:t>
    </w:r>
  </w:p>
  <w:p w14:paraId="4F4CC6C7" w14:textId="170FA1B2" w:rsidR="00614DF1" w:rsidRDefault="00614DF1" w:rsidP="005121CA">
    <w:pPr>
      <w:pStyle w:val="Footer"/>
      <w:ind w:right="360"/>
      <w:jc w:val="center"/>
      <w:rPr>
        <w:szCs w:val="18"/>
      </w:rPr>
    </w:pPr>
    <w:r w:rsidRPr="00195FE5">
      <w:rPr>
        <w:rFonts w:ascii="Arial" w:hAnsi="Arial" w:cs="Arial"/>
        <w:sz w:val="14"/>
        <w:szCs w:val="14"/>
      </w:rPr>
      <w:t xml:space="preserve">Page </w:t>
    </w:r>
    <w:r w:rsidRPr="00195FE5">
      <w:rPr>
        <w:rStyle w:val="PageNumber"/>
        <w:rFonts w:ascii="Arial" w:hAnsi="Arial" w:cs="Arial"/>
        <w:sz w:val="14"/>
        <w:szCs w:val="14"/>
      </w:rPr>
      <w:fldChar w:fldCharType="begin"/>
    </w:r>
    <w:r w:rsidRPr="00195FE5">
      <w:rPr>
        <w:rStyle w:val="PageNumber"/>
        <w:rFonts w:ascii="Arial" w:hAnsi="Arial" w:cs="Arial"/>
        <w:sz w:val="14"/>
        <w:szCs w:val="14"/>
      </w:rPr>
      <w:instrText xml:space="preserve"> PAGE </w:instrText>
    </w:r>
    <w:r w:rsidRPr="00195FE5">
      <w:rPr>
        <w:rStyle w:val="PageNumber"/>
        <w:rFonts w:ascii="Arial" w:hAnsi="Arial" w:cs="Arial"/>
        <w:sz w:val="14"/>
        <w:szCs w:val="14"/>
      </w:rPr>
      <w:fldChar w:fldCharType="separate"/>
    </w:r>
    <w:r w:rsidR="0097315A">
      <w:rPr>
        <w:rStyle w:val="PageNumber"/>
        <w:rFonts w:ascii="Arial" w:hAnsi="Arial" w:cs="Arial"/>
        <w:noProof/>
        <w:sz w:val="14"/>
        <w:szCs w:val="14"/>
      </w:rPr>
      <w:t>2</w:t>
    </w:r>
    <w:r w:rsidRPr="00195FE5">
      <w:rPr>
        <w:rStyle w:val="PageNumber"/>
        <w:rFonts w:ascii="Arial" w:hAnsi="Arial" w:cs="Arial"/>
        <w:sz w:val="14"/>
        <w:szCs w:val="14"/>
      </w:rPr>
      <w:fldChar w:fldCharType="end"/>
    </w:r>
    <w:r w:rsidRPr="00195FE5">
      <w:rPr>
        <w:rStyle w:val="PageNumber"/>
        <w:rFonts w:ascii="Arial" w:hAnsi="Arial" w:cs="Arial"/>
        <w:sz w:val="14"/>
        <w:szCs w:val="14"/>
      </w:rPr>
      <w:t xml:space="preserve"> of </w:t>
    </w:r>
    <w:r w:rsidRPr="00195FE5">
      <w:rPr>
        <w:rStyle w:val="PageNumber"/>
        <w:rFonts w:ascii="Arial" w:hAnsi="Arial" w:cs="Arial"/>
        <w:sz w:val="14"/>
        <w:szCs w:val="14"/>
      </w:rPr>
      <w:fldChar w:fldCharType="begin"/>
    </w:r>
    <w:r w:rsidRPr="00195FE5">
      <w:rPr>
        <w:rStyle w:val="PageNumber"/>
        <w:rFonts w:ascii="Arial" w:hAnsi="Arial" w:cs="Arial"/>
        <w:sz w:val="14"/>
        <w:szCs w:val="14"/>
      </w:rPr>
      <w:instrText xml:space="preserve"> NUMPAGES </w:instrText>
    </w:r>
    <w:r w:rsidRPr="00195FE5">
      <w:rPr>
        <w:rStyle w:val="PageNumber"/>
        <w:rFonts w:ascii="Arial" w:hAnsi="Arial" w:cs="Arial"/>
        <w:sz w:val="14"/>
        <w:szCs w:val="14"/>
      </w:rPr>
      <w:fldChar w:fldCharType="separate"/>
    </w:r>
    <w:r w:rsidR="0097315A">
      <w:rPr>
        <w:rStyle w:val="PageNumber"/>
        <w:rFonts w:ascii="Arial" w:hAnsi="Arial" w:cs="Arial"/>
        <w:noProof/>
        <w:sz w:val="14"/>
        <w:szCs w:val="14"/>
      </w:rPr>
      <w:t>10</w:t>
    </w:r>
    <w:r w:rsidRPr="00195FE5">
      <w:rPr>
        <w:rStyle w:val="PageNumber"/>
        <w:rFonts w:ascii="Arial" w:hAnsi="Arial" w:cs="Arial"/>
        <w:sz w:val="14"/>
        <w:szCs w:val="14"/>
      </w:rPr>
      <w:fldChar w:fldCharType="end"/>
    </w:r>
  </w:p>
  <w:p w14:paraId="4F729A6E" w14:textId="77777777" w:rsidR="00614DF1" w:rsidRPr="004E2D4D" w:rsidRDefault="00614DF1" w:rsidP="00DA2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5322" w14:textId="77777777" w:rsidR="00614DF1" w:rsidRDefault="00614DF1">
    <w:pPr>
      <w:pStyle w:val="Footer"/>
      <w:tabs>
        <w:tab w:val="right" w:pos="8640"/>
      </w:tabs>
    </w:pPr>
    <w:r>
      <w:tab/>
    </w:r>
  </w:p>
  <w:p w14:paraId="1B0C0F27" w14:textId="77777777" w:rsidR="00614DF1" w:rsidRPr="004E2D4D" w:rsidRDefault="00614DF1" w:rsidP="00DA23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1400" w14:textId="77777777" w:rsidR="002201AA" w:rsidRDefault="005472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890663" w14:textId="77777777" w:rsidR="002201AA" w:rsidRDefault="002201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3DE7" w14:textId="0D7A7DFE" w:rsidR="005121CA" w:rsidRPr="00C90309" w:rsidRDefault="00833C55" w:rsidP="00833C55">
    <w:pPr>
      <w:pStyle w:val="Footer"/>
      <w:ind w:right="360"/>
      <w:jc w:val="center"/>
      <w:rPr>
        <w:rFonts w:ascii="Arial" w:hAnsi="Arial" w:cs="Arial"/>
        <w:sz w:val="14"/>
        <w:szCs w:val="14"/>
      </w:rPr>
    </w:pPr>
    <w:r w:rsidRPr="00C52668">
      <w:rPr>
        <w:rFonts w:ascii="Arial" w:hAnsi="Arial" w:cs="Arial"/>
        <w:sz w:val="14"/>
        <w:szCs w:val="14"/>
      </w:rPr>
      <w:t xml:space="preserve">Statement of Reasons – </w:t>
    </w:r>
    <w:r>
      <w:rPr>
        <w:rFonts w:ascii="Arial" w:hAnsi="Arial" w:cs="Arial"/>
        <w:sz w:val="14"/>
        <w:szCs w:val="14"/>
      </w:rPr>
      <w:t>Decision not to amend</w:t>
    </w:r>
    <w:r w:rsidRPr="00C52668">
      <w:rPr>
        <w:rFonts w:ascii="Arial" w:hAnsi="Arial" w:cs="Arial"/>
        <w:sz w:val="14"/>
        <w:szCs w:val="14"/>
      </w:rPr>
      <w:t xml:space="preserve"> Statement</w:t>
    </w:r>
    <w:r>
      <w:rPr>
        <w:rFonts w:ascii="Arial" w:hAnsi="Arial" w:cs="Arial"/>
        <w:sz w:val="14"/>
        <w:szCs w:val="14"/>
      </w:rPr>
      <w:t>s</w:t>
    </w:r>
    <w:r w:rsidRPr="00C52668">
      <w:rPr>
        <w:rFonts w:ascii="Arial" w:hAnsi="Arial" w:cs="Arial"/>
        <w:sz w:val="14"/>
        <w:szCs w:val="14"/>
      </w:rPr>
      <w:t xml:space="preserve"> of Principles concerning </w:t>
    </w:r>
    <w:r>
      <w:rPr>
        <w:rFonts w:ascii="Arial" w:hAnsi="Arial" w:cs="Arial"/>
        <w:sz w:val="14"/>
        <w:szCs w:val="14"/>
      </w:rPr>
      <w:t>malignant neoplasm of the prostate Nos. 53 and 54 of 2014</w:t>
    </w:r>
  </w:p>
  <w:p w14:paraId="5A11B955" w14:textId="774BFBAA" w:rsidR="002201AA" w:rsidRDefault="00BC279C">
    <w:pPr>
      <w:pStyle w:val="Footer"/>
      <w:jc w:val="center"/>
      <w:rPr>
        <w:sz w:val="20"/>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97315A">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97315A">
      <w:rPr>
        <w:rStyle w:val="PageNumber"/>
        <w:rFonts w:ascii="Arial" w:hAnsi="Arial" w:cs="Arial"/>
        <w:noProof/>
        <w:sz w:val="16"/>
        <w:szCs w:val="16"/>
      </w:rPr>
      <w:t>10</w:t>
    </w:r>
    <w:r>
      <w:rPr>
        <w:rStyle w:val="PageNumber"/>
        <w:rFonts w:ascii="Arial" w:hAnsi="Arial" w:cs="Arial"/>
        <w:sz w:val="16"/>
        <w:szCs w:val="16"/>
      </w:rPr>
      <w:fldChar w:fldCharType="end"/>
    </w:r>
    <w:r>
      <w:rPr>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F9F6C" w14:textId="784EAD82" w:rsidR="00C90309" w:rsidRDefault="00833C55" w:rsidP="00833C55">
    <w:pPr>
      <w:pStyle w:val="Footer"/>
      <w:ind w:right="360"/>
      <w:jc w:val="center"/>
      <w:rPr>
        <w:rFonts w:ascii="Arial" w:hAnsi="Arial" w:cs="Arial"/>
        <w:sz w:val="14"/>
        <w:szCs w:val="14"/>
      </w:rPr>
    </w:pPr>
    <w:r w:rsidRPr="00C52668">
      <w:rPr>
        <w:rFonts w:ascii="Arial" w:hAnsi="Arial" w:cs="Arial"/>
        <w:sz w:val="14"/>
        <w:szCs w:val="14"/>
      </w:rPr>
      <w:t xml:space="preserve">Statement of Reasons – </w:t>
    </w:r>
    <w:r>
      <w:rPr>
        <w:rFonts w:ascii="Arial" w:hAnsi="Arial" w:cs="Arial"/>
        <w:sz w:val="14"/>
        <w:szCs w:val="14"/>
      </w:rPr>
      <w:t>Decision not to amend</w:t>
    </w:r>
    <w:r w:rsidRPr="00C52668">
      <w:rPr>
        <w:rFonts w:ascii="Arial" w:hAnsi="Arial" w:cs="Arial"/>
        <w:sz w:val="14"/>
        <w:szCs w:val="14"/>
      </w:rPr>
      <w:t xml:space="preserve"> Statement</w:t>
    </w:r>
    <w:r>
      <w:rPr>
        <w:rFonts w:ascii="Arial" w:hAnsi="Arial" w:cs="Arial"/>
        <w:sz w:val="14"/>
        <w:szCs w:val="14"/>
      </w:rPr>
      <w:t>s</w:t>
    </w:r>
    <w:r w:rsidRPr="00C52668">
      <w:rPr>
        <w:rFonts w:ascii="Arial" w:hAnsi="Arial" w:cs="Arial"/>
        <w:sz w:val="14"/>
        <w:szCs w:val="14"/>
      </w:rPr>
      <w:t xml:space="preserve"> of Principles concerning </w:t>
    </w:r>
    <w:r>
      <w:rPr>
        <w:rFonts w:ascii="Arial" w:hAnsi="Arial" w:cs="Arial"/>
        <w:sz w:val="14"/>
        <w:szCs w:val="14"/>
      </w:rPr>
      <w:t>malignant neoplasm of the prostate Nos. 53 and 54 of 2014</w:t>
    </w:r>
  </w:p>
  <w:p w14:paraId="1E101BF1" w14:textId="43C109D5" w:rsidR="002201AA" w:rsidRDefault="00BC279C" w:rsidP="005121CA">
    <w:pPr>
      <w:pStyle w:val="Footer"/>
      <w:jc w:val="center"/>
      <w:rPr>
        <w:sz w:val="20"/>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97315A">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97315A">
      <w:rPr>
        <w:rStyle w:val="PageNumber"/>
        <w:rFonts w:ascii="Arial" w:hAnsi="Arial" w:cs="Arial"/>
        <w:noProof/>
        <w:sz w:val="16"/>
        <w:szCs w:val="16"/>
      </w:rPr>
      <w:t>10</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5EDD5" w14:textId="77777777" w:rsidR="001F5941" w:rsidRDefault="001F5941">
      <w:r>
        <w:separator/>
      </w:r>
    </w:p>
  </w:footnote>
  <w:footnote w:type="continuationSeparator" w:id="0">
    <w:p w14:paraId="2AABA4E7" w14:textId="77777777" w:rsidR="001F5941" w:rsidRDefault="001F5941">
      <w:r>
        <w:continuationSeparator/>
      </w:r>
    </w:p>
  </w:footnote>
  <w:footnote w:id="1">
    <w:p w14:paraId="391D6FB5" w14:textId="2574BA9E" w:rsidR="007A14C3" w:rsidRDefault="007A14C3">
      <w:pPr>
        <w:pStyle w:val="FootnoteText"/>
      </w:pPr>
      <w:r>
        <w:rPr>
          <w:rStyle w:val="FootnoteReference"/>
        </w:rPr>
        <w:footnoteRef/>
      </w:r>
      <w:r>
        <w:t xml:space="preserve"> </w:t>
      </w:r>
      <w:proofErr w:type="spellStart"/>
      <w:r w:rsidR="00092C58">
        <w:t>Dutheil</w:t>
      </w:r>
      <w:proofErr w:type="spellEnd"/>
      <w:r w:rsidR="00092C58">
        <w:t xml:space="preserve"> F, Zaragoza-</w:t>
      </w:r>
      <w:proofErr w:type="spellStart"/>
      <w:r w:rsidR="00092C58">
        <w:t>Civale</w:t>
      </w:r>
      <w:proofErr w:type="spellEnd"/>
      <w:r w:rsidR="00092C58">
        <w:t xml:space="preserve"> L, Pereira B, et al (2020) Prostate Cancer and Asbestos: A Systematic Review and Meta-Analysis. Perm J, 24:19.086.</w:t>
      </w:r>
    </w:p>
  </w:footnote>
  <w:footnote w:id="2">
    <w:p w14:paraId="4D1DC14E" w14:textId="7C784488" w:rsidR="00092C58" w:rsidRDefault="00092C58">
      <w:pPr>
        <w:pStyle w:val="FootnoteText"/>
      </w:pPr>
      <w:r>
        <w:rPr>
          <w:rStyle w:val="FootnoteReference"/>
        </w:rPr>
        <w:footnoteRef/>
      </w:r>
      <w:r>
        <w:t xml:space="preserve"> </w:t>
      </w:r>
      <w:r w:rsidRPr="000C7243">
        <w:t xml:space="preserve">Peng R, Fang F, Chen Z, et al (2019). </w:t>
      </w:r>
      <w:r>
        <w:t>Does exposure to asbestos cause prostate cancer? A systematic literature review and meta-analysis. Medicine (Baltimore), 98(3):e14108.</w:t>
      </w:r>
    </w:p>
  </w:footnote>
  <w:footnote w:id="3">
    <w:p w14:paraId="52168406" w14:textId="29FD9792" w:rsidR="00A30070" w:rsidRDefault="00A30070">
      <w:pPr>
        <w:pStyle w:val="FootnoteText"/>
      </w:pPr>
      <w:r>
        <w:rPr>
          <w:rStyle w:val="FootnoteReference"/>
        </w:rPr>
        <w:footnoteRef/>
      </w:r>
      <w:r>
        <w:t xml:space="preserve"> </w:t>
      </w:r>
      <w:proofErr w:type="spellStart"/>
      <w:r w:rsidRPr="000C7243">
        <w:t>Boffetta</w:t>
      </w:r>
      <w:proofErr w:type="spellEnd"/>
      <w:r w:rsidRPr="000C7243">
        <w:t xml:space="preserve"> P, Franco N, </w:t>
      </w:r>
      <w:proofErr w:type="spellStart"/>
      <w:r w:rsidRPr="000C7243">
        <w:t>Gullino</w:t>
      </w:r>
      <w:proofErr w:type="spellEnd"/>
      <w:r w:rsidRPr="000C7243">
        <w:t xml:space="preserve"> A, et al (2021). Re: </w:t>
      </w:r>
      <w:proofErr w:type="spellStart"/>
      <w:r w:rsidRPr="000C7243">
        <w:t>Dutheil</w:t>
      </w:r>
      <w:proofErr w:type="spellEnd"/>
      <w:r w:rsidRPr="000C7243">
        <w:t xml:space="preserve"> et al. </w:t>
      </w:r>
      <w:r>
        <w:t>Prostate Cancer and Asbestos: A Systematic Review and Meta-Analysis. Perm J, Jan 25.</w:t>
      </w:r>
    </w:p>
  </w:footnote>
  <w:footnote w:id="4">
    <w:p w14:paraId="0E40BC43" w14:textId="3F7806A0" w:rsidR="00A30070" w:rsidRDefault="00A30070">
      <w:pPr>
        <w:pStyle w:val="FootnoteText"/>
      </w:pPr>
      <w:r>
        <w:rPr>
          <w:rStyle w:val="FootnoteReference"/>
        </w:rPr>
        <w:footnoteRef/>
      </w:r>
      <w:r>
        <w:t xml:space="preserve"> </w:t>
      </w:r>
      <w:proofErr w:type="spellStart"/>
      <w:r>
        <w:t>Boice</w:t>
      </w:r>
      <w:proofErr w:type="spellEnd"/>
      <w:r>
        <w:t xml:space="preserve"> JD, Cohen SS, </w:t>
      </w:r>
      <w:proofErr w:type="spellStart"/>
      <w:r>
        <w:t>Mumma</w:t>
      </w:r>
      <w:proofErr w:type="spellEnd"/>
      <w:r>
        <w:t xml:space="preserve"> MT, et al (2020). Mortality among U.S. military participants at eight aboveground nuclear weapons test series. </w:t>
      </w:r>
      <w:proofErr w:type="spellStart"/>
      <w:r>
        <w:t>Int</w:t>
      </w:r>
      <w:proofErr w:type="spellEnd"/>
      <w:r>
        <w:t xml:space="preserve"> J </w:t>
      </w:r>
      <w:proofErr w:type="spellStart"/>
      <w:r>
        <w:t>Radiat</w:t>
      </w:r>
      <w:proofErr w:type="spellEnd"/>
      <w:r>
        <w:t xml:space="preserve"> </w:t>
      </w:r>
      <w:proofErr w:type="spellStart"/>
      <w:r>
        <w:t>Biol</w:t>
      </w:r>
      <w:proofErr w:type="spellEnd"/>
      <w:r>
        <w:t>, 1-22.</w:t>
      </w:r>
    </w:p>
  </w:footnote>
  <w:footnote w:id="5">
    <w:p w14:paraId="1C838B7B" w14:textId="1CCFBE8C" w:rsidR="00A30070" w:rsidRDefault="00A30070">
      <w:pPr>
        <w:pStyle w:val="FootnoteText"/>
      </w:pPr>
      <w:r>
        <w:rPr>
          <w:rStyle w:val="FootnoteReference"/>
        </w:rPr>
        <w:footnoteRef/>
      </w:r>
      <w:r>
        <w:t xml:space="preserve"> </w:t>
      </w:r>
      <w:proofErr w:type="spellStart"/>
      <w:r>
        <w:t>Sorahan</w:t>
      </w:r>
      <w:proofErr w:type="spellEnd"/>
      <w:r>
        <w:t xml:space="preserve"> TM (2019). Cancer incidence in UK electricity generation and transmission workers, 1973-2015. </w:t>
      </w:r>
      <w:proofErr w:type="spellStart"/>
      <w:r>
        <w:t>Occup</w:t>
      </w:r>
      <w:proofErr w:type="spellEnd"/>
      <w:r>
        <w:t xml:space="preserve"> Med (</w:t>
      </w:r>
      <w:proofErr w:type="spellStart"/>
      <w:r>
        <w:t>Lond</w:t>
      </w:r>
      <w:proofErr w:type="spellEnd"/>
      <w:r>
        <w:t>), 69(5):342-351.</w:t>
      </w:r>
    </w:p>
  </w:footnote>
  <w:footnote w:id="6">
    <w:p w14:paraId="179AC004" w14:textId="5A1470EA" w:rsidR="00A30070" w:rsidRDefault="00A30070">
      <w:pPr>
        <w:pStyle w:val="FootnoteText"/>
      </w:pPr>
      <w:r>
        <w:rPr>
          <w:rStyle w:val="FootnoteReference"/>
        </w:rPr>
        <w:footnoteRef/>
      </w:r>
      <w:r>
        <w:t xml:space="preserve"> </w:t>
      </w:r>
      <w:proofErr w:type="spellStart"/>
      <w:r>
        <w:t>Korda</w:t>
      </w:r>
      <w:proofErr w:type="spellEnd"/>
      <w:r>
        <w:t xml:space="preserve"> RJ, Clements MS, Armstrong BK, et al (2017). Risk of cancer associated with residential exposure to asbestos insulation: a whole-population cohort study. Lancet Public Health, 2(11):e522-e528.</w:t>
      </w:r>
    </w:p>
  </w:footnote>
  <w:footnote w:id="7">
    <w:p w14:paraId="025DC8E4" w14:textId="117141FB" w:rsidR="00B73D44" w:rsidRDefault="00B73D44">
      <w:pPr>
        <w:pStyle w:val="FootnoteText"/>
      </w:pPr>
      <w:r>
        <w:rPr>
          <w:rStyle w:val="FootnoteReference"/>
        </w:rPr>
        <w:footnoteRef/>
      </w:r>
      <w:r>
        <w:t xml:space="preserve"> Reid A, Franklin P, Olsen N, </w:t>
      </w:r>
      <w:proofErr w:type="spellStart"/>
      <w:r>
        <w:t>Sleith</w:t>
      </w:r>
      <w:proofErr w:type="spellEnd"/>
      <w:r>
        <w:t xml:space="preserve"> J, Samuel L, </w:t>
      </w:r>
      <w:proofErr w:type="spellStart"/>
      <w:r>
        <w:t>Aboagye-Sarfo</w:t>
      </w:r>
      <w:proofErr w:type="spellEnd"/>
      <w:r>
        <w:t xml:space="preserve"> P, de Klerk N, Musk AW. (2013) All-cause mortality and cancer incidence among adults exposed to blue asbestos during childhood. Am J </w:t>
      </w:r>
      <w:proofErr w:type="spellStart"/>
      <w:r>
        <w:t>Ind</w:t>
      </w:r>
      <w:proofErr w:type="spellEnd"/>
      <w:r>
        <w:t xml:space="preserve"> Med. Feb</w:t>
      </w:r>
      <w:proofErr w:type="gramStart"/>
      <w:r>
        <w:t>;56</w:t>
      </w:r>
      <w:proofErr w:type="gramEnd"/>
      <w:r>
        <w:t>(2):133-45.</w:t>
      </w:r>
    </w:p>
  </w:footnote>
  <w:footnote w:id="8">
    <w:p w14:paraId="6531A9DA" w14:textId="0E534803" w:rsidR="00B73D44" w:rsidRDefault="00B73D44">
      <w:pPr>
        <w:pStyle w:val="FootnoteText"/>
      </w:pPr>
      <w:r>
        <w:rPr>
          <w:rStyle w:val="FootnoteReference"/>
        </w:rPr>
        <w:footnoteRef/>
      </w:r>
      <w:r>
        <w:t xml:space="preserve"> Koskinen K, </w:t>
      </w:r>
      <w:proofErr w:type="spellStart"/>
      <w:r>
        <w:t>Pullala</w:t>
      </w:r>
      <w:proofErr w:type="spellEnd"/>
      <w:r>
        <w:t xml:space="preserve"> E, </w:t>
      </w:r>
      <w:proofErr w:type="spellStart"/>
      <w:r>
        <w:t>Reijula</w:t>
      </w:r>
      <w:proofErr w:type="spellEnd"/>
      <w:r>
        <w:t xml:space="preserve"> K, </w:t>
      </w:r>
      <w:proofErr w:type="spellStart"/>
      <w:r>
        <w:t>Karjalainen</w:t>
      </w:r>
      <w:proofErr w:type="spellEnd"/>
      <w:r>
        <w:t xml:space="preserve"> A (2003) Incidence of cancer among the participants of the Finnish asbestos screening campaign. </w:t>
      </w:r>
      <w:proofErr w:type="spellStart"/>
      <w:r>
        <w:t>Scand</w:t>
      </w:r>
      <w:proofErr w:type="spellEnd"/>
      <w:r>
        <w:t xml:space="preserve"> J Work Environ Health Vol 29(1) pp 64-70.</w:t>
      </w:r>
    </w:p>
  </w:footnote>
  <w:footnote w:id="9">
    <w:p w14:paraId="4BE23D5C" w14:textId="57DBE3D7" w:rsidR="00A21883" w:rsidRDefault="00A21883">
      <w:pPr>
        <w:pStyle w:val="FootnoteText"/>
      </w:pPr>
      <w:r>
        <w:rPr>
          <w:rStyle w:val="FootnoteReference"/>
        </w:rPr>
        <w:footnoteRef/>
      </w:r>
      <w:r>
        <w:t xml:space="preserve"> Howe HL, Wolfgang PE, Burnett WS, et al (1989). Cancer incidence following exposure to drinking water with asbestos leachate. Public Health Rep, 104(3):251-6.</w:t>
      </w:r>
    </w:p>
  </w:footnote>
  <w:footnote w:id="10">
    <w:p w14:paraId="06DEBAA0" w14:textId="7C28A9EF" w:rsidR="00A21883" w:rsidRDefault="00A21883">
      <w:pPr>
        <w:pStyle w:val="FootnoteText"/>
      </w:pPr>
      <w:r>
        <w:rPr>
          <w:rStyle w:val="FootnoteReference"/>
        </w:rPr>
        <w:footnoteRef/>
      </w:r>
      <w:r>
        <w:t xml:space="preserve"> </w:t>
      </w:r>
      <w:r w:rsidRPr="000C7243">
        <w:t xml:space="preserve">Browne ML, </w:t>
      </w:r>
      <w:proofErr w:type="spellStart"/>
      <w:r w:rsidRPr="000C7243">
        <w:t>Varadarajulu</w:t>
      </w:r>
      <w:proofErr w:type="spellEnd"/>
      <w:r w:rsidRPr="000C7243">
        <w:t xml:space="preserve"> D, Lewis-</w:t>
      </w:r>
      <w:proofErr w:type="spellStart"/>
      <w:r w:rsidRPr="000C7243">
        <w:t>Michl</w:t>
      </w:r>
      <w:proofErr w:type="spellEnd"/>
      <w:r w:rsidRPr="000C7243">
        <w:t xml:space="preserve"> EL, et al (2005). </w:t>
      </w:r>
      <w:r>
        <w:t>Cancer incidence and asbestos in drinking water, Town of Woodstock, New York, 1980-1998. Environ Res, 98(2):224-32.</w:t>
      </w:r>
    </w:p>
  </w:footnote>
  <w:footnote w:id="11">
    <w:p w14:paraId="4F247CD7" w14:textId="6460CF6D" w:rsidR="00A21883" w:rsidRPr="000C7243" w:rsidRDefault="00A21883">
      <w:pPr>
        <w:pStyle w:val="FootnoteText"/>
        <w:rPr>
          <w:lang w:val="fr-FR"/>
        </w:rPr>
      </w:pPr>
      <w:r>
        <w:rPr>
          <w:rStyle w:val="FootnoteReference"/>
        </w:rPr>
        <w:footnoteRef/>
      </w:r>
      <w:r>
        <w:t xml:space="preserve"> Andersen A, </w:t>
      </w:r>
      <w:proofErr w:type="spellStart"/>
      <w:r>
        <w:t>Glattre</w:t>
      </w:r>
      <w:proofErr w:type="spellEnd"/>
      <w:r>
        <w:t xml:space="preserve"> E, Johansen BV (1993). Incidence of cancer among lighthouse keepers exposed to asbestos in drinking water. </w:t>
      </w:r>
      <w:r w:rsidRPr="00E93091">
        <w:rPr>
          <w:lang w:val="fr-FR"/>
        </w:rPr>
        <w:t xml:space="preserve">Am J </w:t>
      </w:r>
      <w:proofErr w:type="spellStart"/>
      <w:r w:rsidRPr="00E93091">
        <w:rPr>
          <w:lang w:val="fr-FR"/>
        </w:rPr>
        <w:t>Epidemiol</w:t>
      </w:r>
      <w:proofErr w:type="spellEnd"/>
      <w:r w:rsidRPr="00E93091">
        <w:rPr>
          <w:lang w:val="fr-FR"/>
        </w:rPr>
        <w:t>, 138(9):682-7.</w:t>
      </w:r>
    </w:p>
  </w:footnote>
  <w:footnote w:id="12">
    <w:p w14:paraId="326AC93E" w14:textId="48BCFCE2" w:rsidR="00A21883" w:rsidRDefault="00A21883">
      <w:pPr>
        <w:pStyle w:val="FootnoteText"/>
      </w:pPr>
      <w:r>
        <w:rPr>
          <w:rStyle w:val="FootnoteReference"/>
        </w:rPr>
        <w:footnoteRef/>
      </w:r>
      <w:r w:rsidRPr="000C7243">
        <w:rPr>
          <w:lang w:val="fr-FR"/>
        </w:rPr>
        <w:t xml:space="preserve"> </w:t>
      </w:r>
      <w:proofErr w:type="spellStart"/>
      <w:r w:rsidRPr="00E93091">
        <w:rPr>
          <w:lang w:val="fr-FR"/>
        </w:rPr>
        <w:t>Conforti</w:t>
      </w:r>
      <w:proofErr w:type="spellEnd"/>
      <w:r w:rsidRPr="00E93091">
        <w:rPr>
          <w:lang w:val="fr-FR"/>
        </w:rPr>
        <w:t xml:space="preserve"> PM, </w:t>
      </w:r>
      <w:proofErr w:type="spellStart"/>
      <w:r w:rsidRPr="00E93091">
        <w:rPr>
          <w:lang w:val="fr-FR"/>
        </w:rPr>
        <w:t>Kanarek</w:t>
      </w:r>
      <w:proofErr w:type="spellEnd"/>
      <w:r w:rsidRPr="00E93091">
        <w:rPr>
          <w:lang w:val="fr-FR"/>
        </w:rPr>
        <w:t xml:space="preserve"> MS, Jackson LA, et al (1981). </w:t>
      </w:r>
      <w:r>
        <w:t>Asbestos in drinking water and cancer in the San Francisco Bay Area: 1969-1974 incidence. J Chronic Dis, 34(5):211-24.</w:t>
      </w:r>
    </w:p>
  </w:footnote>
  <w:footnote w:id="13">
    <w:p w14:paraId="370D1CE3" w14:textId="5326AB55" w:rsidR="0002096B" w:rsidRDefault="0002096B">
      <w:pPr>
        <w:pStyle w:val="FootnoteText"/>
      </w:pPr>
      <w:r>
        <w:rPr>
          <w:rStyle w:val="FootnoteReference"/>
        </w:rPr>
        <w:footnoteRef/>
      </w:r>
      <w:r>
        <w:t xml:space="preserve"> I</w:t>
      </w:r>
      <w:r w:rsidRPr="0002096B">
        <w:t xml:space="preserve">t not otherwise being an application within </w:t>
      </w:r>
      <w:r>
        <w:t xml:space="preserve">either </w:t>
      </w:r>
      <w:r w:rsidRPr="0002096B">
        <w:t xml:space="preserve">subsection </w:t>
      </w:r>
      <w:proofErr w:type="gramStart"/>
      <w:r w:rsidRPr="0002096B">
        <w:t>196C(</w:t>
      </w:r>
      <w:proofErr w:type="gramEnd"/>
      <w:r w:rsidRPr="0002096B">
        <w:t>4) or section 196CA</w:t>
      </w:r>
      <w:r>
        <w:t xml:space="preserve"> of the VEA</w:t>
      </w:r>
      <w:r w:rsidRPr="000209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538"/>
    <w:multiLevelType w:val="hybridMultilevel"/>
    <w:tmpl w:val="7C6480C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0716E7B"/>
    <w:multiLevelType w:val="hybridMultilevel"/>
    <w:tmpl w:val="880472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5F50C2E"/>
    <w:multiLevelType w:val="hybridMultilevel"/>
    <w:tmpl w:val="DA36047C"/>
    <w:lvl w:ilvl="0" w:tplc="AEAC6E0C">
      <w:start w:val="11"/>
      <w:numFmt w:val="decimal"/>
      <w:lvlText w:val="%1."/>
      <w:lvlJc w:val="left"/>
      <w:pPr>
        <w:ind w:left="1211"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9D485C"/>
    <w:multiLevelType w:val="hybridMultilevel"/>
    <w:tmpl w:val="5E38ECCC"/>
    <w:lvl w:ilvl="0" w:tplc="0C090003">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04248D0"/>
    <w:multiLevelType w:val="multilevel"/>
    <w:tmpl w:val="68D4FB4C"/>
    <w:lvl w:ilvl="0">
      <w:start w:val="1"/>
      <w:numFmt w:val="decimal"/>
      <w:lvlText w:val="%1."/>
      <w:lvlJc w:val="left"/>
      <w:pPr>
        <w:tabs>
          <w:tab w:val="num" w:pos="567"/>
        </w:tabs>
        <w:ind w:left="567" w:hanging="567"/>
      </w:pPr>
      <w:rPr>
        <w:rFonts w:cs="Times New Roman" w:hint="default"/>
        <w:b w:val="0"/>
      </w:rPr>
    </w:lvl>
    <w:lvl w:ilvl="1">
      <w:start w:val="1"/>
      <w:numFmt w:val="bullet"/>
      <w:lvlText w:val=""/>
      <w:lvlJc w:val="left"/>
      <w:pPr>
        <w:tabs>
          <w:tab w:val="num" w:pos="927"/>
        </w:tabs>
        <w:ind w:left="927" w:hanging="360"/>
      </w:pPr>
      <w:rPr>
        <w:rFonts w:ascii="Symbol" w:hAnsi="Symbol" w:hint="default"/>
      </w:rPr>
    </w:lvl>
    <w:lvl w:ilvl="2">
      <w:start w:val="1"/>
      <w:numFmt w:val="lowerLetter"/>
      <w:lvlText w:val="(%3)"/>
      <w:lvlJc w:val="left"/>
      <w:pPr>
        <w:tabs>
          <w:tab w:val="num" w:pos="1494"/>
        </w:tabs>
        <w:ind w:left="1494" w:hanging="360"/>
      </w:pPr>
      <w:rPr>
        <w:rFonts w:cs="Times New Roman" w:hint="default"/>
      </w:rPr>
    </w:lvl>
    <w:lvl w:ilvl="3">
      <w:start w:val="1"/>
      <w:numFmt w:val="decimal"/>
      <w:lvlText w:val="%1.%2.%3.%4."/>
      <w:lvlJc w:val="left"/>
      <w:pPr>
        <w:tabs>
          <w:tab w:val="num" w:pos="2835"/>
        </w:tabs>
        <w:ind w:left="2835" w:hanging="851"/>
      </w:pPr>
      <w:rPr>
        <w:rFonts w:cs="Times New Roman" w:hint="default"/>
      </w:rPr>
    </w:lvl>
    <w:lvl w:ilvl="4">
      <w:start w:val="1"/>
      <w:numFmt w:val="decimal"/>
      <w:lvlText w:val="%1.%2.%3.%4.%5."/>
      <w:lvlJc w:val="left"/>
      <w:pPr>
        <w:tabs>
          <w:tab w:val="num" w:pos="3969"/>
        </w:tabs>
        <w:ind w:left="3969" w:hanging="1134"/>
      </w:pPr>
      <w:rPr>
        <w:rFonts w:cs="Times New Roman" w:hint="default"/>
      </w:rPr>
    </w:lvl>
    <w:lvl w:ilvl="5">
      <w:start w:val="1"/>
      <w:numFmt w:val="decimal"/>
      <w:lvlText w:val="%1.%2.%3.%4.%5.%6."/>
      <w:lvlJc w:val="left"/>
      <w:pPr>
        <w:tabs>
          <w:tab w:val="num" w:pos="5102"/>
        </w:tabs>
        <w:ind w:left="5102" w:hanging="1133"/>
      </w:pPr>
      <w:rPr>
        <w:rFonts w:cs="Times New Roman" w:hint="default"/>
      </w:rPr>
    </w:lvl>
    <w:lvl w:ilvl="6">
      <w:start w:val="1"/>
      <w:numFmt w:val="decimal"/>
      <w:lvlText w:val="%1.%2.%3.%4.%5.%6.%7."/>
      <w:lvlJc w:val="left"/>
      <w:pPr>
        <w:tabs>
          <w:tab w:val="num" w:pos="6236"/>
        </w:tabs>
        <w:ind w:left="6236" w:hanging="1134"/>
      </w:pPr>
      <w:rPr>
        <w:rFonts w:cs="Times New Roman" w:hint="default"/>
      </w:rPr>
    </w:lvl>
    <w:lvl w:ilvl="7">
      <w:start w:val="1"/>
      <w:numFmt w:val="decimal"/>
      <w:lvlText w:val="%1.%2.%3.%4.%5.%6.%7.%8."/>
      <w:lvlJc w:val="left"/>
      <w:pPr>
        <w:tabs>
          <w:tab w:val="num" w:pos="7370"/>
        </w:tabs>
        <w:ind w:left="7370" w:hanging="1134"/>
      </w:pPr>
      <w:rPr>
        <w:rFonts w:cs="Times New Roman" w:hint="default"/>
      </w:rPr>
    </w:lvl>
    <w:lvl w:ilvl="8">
      <w:start w:val="1"/>
      <w:numFmt w:val="decimal"/>
      <w:lvlText w:val="%1.%2.%3.%4.%5.%6.%7.%8.%9."/>
      <w:lvlJc w:val="left"/>
      <w:pPr>
        <w:tabs>
          <w:tab w:val="num" w:pos="7370"/>
        </w:tabs>
        <w:ind w:left="7370" w:hanging="1134"/>
      </w:pPr>
      <w:rPr>
        <w:rFonts w:cs="Times New Roman" w:hint="default"/>
      </w:rPr>
    </w:lvl>
  </w:abstractNum>
  <w:abstractNum w:abstractNumId="5" w15:restartNumberingAfterBreak="0">
    <w:nsid w:val="2A331D63"/>
    <w:multiLevelType w:val="hybridMultilevel"/>
    <w:tmpl w:val="0DF0100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8C94318"/>
    <w:multiLevelType w:val="hybridMultilevel"/>
    <w:tmpl w:val="F414652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A1E5050"/>
    <w:multiLevelType w:val="hybridMultilevel"/>
    <w:tmpl w:val="7DC0C166"/>
    <w:lvl w:ilvl="0" w:tplc="D6A4FB8A">
      <w:start w:val="3"/>
      <w:numFmt w:val="lowerLetter"/>
      <w:lvlText w:val="(%1)"/>
      <w:lvlJc w:val="left"/>
      <w:pPr>
        <w:tabs>
          <w:tab w:val="num" w:pos="1436"/>
        </w:tabs>
        <w:ind w:left="1436" w:hanging="585"/>
      </w:pPr>
      <w:rPr>
        <w:rFonts w:hint="default"/>
      </w:rPr>
    </w:lvl>
    <w:lvl w:ilvl="1" w:tplc="0C090019" w:tentative="1">
      <w:start w:val="1"/>
      <w:numFmt w:val="lowerLetter"/>
      <w:lvlText w:val="%2."/>
      <w:lvlJc w:val="left"/>
      <w:pPr>
        <w:tabs>
          <w:tab w:val="num" w:pos="1931"/>
        </w:tabs>
        <w:ind w:left="1931" w:hanging="360"/>
      </w:pPr>
    </w:lvl>
    <w:lvl w:ilvl="2" w:tplc="0C09001B" w:tentative="1">
      <w:start w:val="1"/>
      <w:numFmt w:val="lowerRoman"/>
      <w:lvlText w:val="%3."/>
      <w:lvlJc w:val="right"/>
      <w:pPr>
        <w:tabs>
          <w:tab w:val="num" w:pos="2651"/>
        </w:tabs>
        <w:ind w:left="2651" w:hanging="180"/>
      </w:pPr>
    </w:lvl>
    <w:lvl w:ilvl="3" w:tplc="0C09000F" w:tentative="1">
      <w:start w:val="1"/>
      <w:numFmt w:val="decimal"/>
      <w:lvlText w:val="%4."/>
      <w:lvlJc w:val="left"/>
      <w:pPr>
        <w:tabs>
          <w:tab w:val="num" w:pos="3371"/>
        </w:tabs>
        <w:ind w:left="3371" w:hanging="360"/>
      </w:pPr>
    </w:lvl>
    <w:lvl w:ilvl="4" w:tplc="0C090019" w:tentative="1">
      <w:start w:val="1"/>
      <w:numFmt w:val="lowerLetter"/>
      <w:lvlText w:val="%5."/>
      <w:lvlJc w:val="left"/>
      <w:pPr>
        <w:tabs>
          <w:tab w:val="num" w:pos="4091"/>
        </w:tabs>
        <w:ind w:left="4091" w:hanging="360"/>
      </w:pPr>
    </w:lvl>
    <w:lvl w:ilvl="5" w:tplc="0C09001B" w:tentative="1">
      <w:start w:val="1"/>
      <w:numFmt w:val="lowerRoman"/>
      <w:lvlText w:val="%6."/>
      <w:lvlJc w:val="right"/>
      <w:pPr>
        <w:tabs>
          <w:tab w:val="num" w:pos="4811"/>
        </w:tabs>
        <w:ind w:left="4811" w:hanging="180"/>
      </w:pPr>
    </w:lvl>
    <w:lvl w:ilvl="6" w:tplc="0C09000F" w:tentative="1">
      <w:start w:val="1"/>
      <w:numFmt w:val="decimal"/>
      <w:lvlText w:val="%7."/>
      <w:lvlJc w:val="left"/>
      <w:pPr>
        <w:tabs>
          <w:tab w:val="num" w:pos="5531"/>
        </w:tabs>
        <w:ind w:left="5531" w:hanging="360"/>
      </w:pPr>
    </w:lvl>
    <w:lvl w:ilvl="7" w:tplc="0C090019" w:tentative="1">
      <w:start w:val="1"/>
      <w:numFmt w:val="lowerLetter"/>
      <w:lvlText w:val="%8."/>
      <w:lvlJc w:val="left"/>
      <w:pPr>
        <w:tabs>
          <w:tab w:val="num" w:pos="6251"/>
        </w:tabs>
        <w:ind w:left="6251" w:hanging="360"/>
      </w:pPr>
    </w:lvl>
    <w:lvl w:ilvl="8" w:tplc="0C09001B" w:tentative="1">
      <w:start w:val="1"/>
      <w:numFmt w:val="lowerRoman"/>
      <w:lvlText w:val="%9."/>
      <w:lvlJc w:val="right"/>
      <w:pPr>
        <w:tabs>
          <w:tab w:val="num" w:pos="6971"/>
        </w:tabs>
        <w:ind w:left="6971" w:hanging="180"/>
      </w:pPr>
    </w:lvl>
  </w:abstractNum>
  <w:abstractNum w:abstractNumId="8" w15:restartNumberingAfterBreak="0">
    <w:nsid w:val="53FD4BC6"/>
    <w:multiLevelType w:val="multilevel"/>
    <w:tmpl w:val="920E9568"/>
    <w:name w:val="AGSPart"/>
    <w:lvl w:ilvl="0">
      <w:start w:val="1"/>
      <w:numFmt w:val="upperRoman"/>
      <w:pStyle w:val="PartHeading"/>
      <w:lvlText w:val="Part  %1"/>
      <w:lvlJc w:val="left"/>
      <w:pPr>
        <w:tabs>
          <w:tab w:val="num" w:pos="1134"/>
        </w:tabs>
        <w:ind w:left="1134" w:hanging="1134"/>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5E7A4839"/>
    <w:multiLevelType w:val="hybridMultilevel"/>
    <w:tmpl w:val="1374C44A"/>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6040460F"/>
    <w:multiLevelType w:val="hybridMultilevel"/>
    <w:tmpl w:val="035AD1A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67E46922"/>
    <w:multiLevelType w:val="hybridMultilevel"/>
    <w:tmpl w:val="F11A194A"/>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0035D0"/>
    <w:multiLevelType w:val="multilevel"/>
    <w:tmpl w:val="723253A6"/>
    <w:lvl w:ilvl="0">
      <w:start w:val="1"/>
      <w:numFmt w:val="decimal"/>
      <w:lvlText w:val="%1."/>
      <w:lvlJc w:val="left"/>
      <w:pPr>
        <w:tabs>
          <w:tab w:val="num" w:pos="567"/>
        </w:tabs>
        <w:ind w:left="567" w:hanging="567"/>
      </w:pPr>
      <w:rPr>
        <w:rFonts w:cs="Times New Roman" w:hint="default"/>
        <w:b w:val="0"/>
      </w:rPr>
    </w:lvl>
    <w:lvl w:ilvl="1">
      <w:start w:val="1"/>
      <w:numFmt w:val="bullet"/>
      <w:lvlText w:val=""/>
      <w:lvlJc w:val="left"/>
      <w:pPr>
        <w:tabs>
          <w:tab w:val="num" w:pos="927"/>
        </w:tabs>
        <w:ind w:left="927" w:hanging="360"/>
      </w:pPr>
      <w:rPr>
        <w:rFonts w:ascii="Symbol" w:hAnsi="Symbol" w:hint="default"/>
      </w:rPr>
    </w:lvl>
    <w:lvl w:ilvl="2">
      <w:start w:val="1"/>
      <w:numFmt w:val="bullet"/>
      <w:lvlText w:val="o"/>
      <w:lvlJc w:val="left"/>
      <w:pPr>
        <w:tabs>
          <w:tab w:val="num" w:pos="1494"/>
        </w:tabs>
        <w:ind w:left="1494" w:hanging="360"/>
      </w:pPr>
      <w:rPr>
        <w:rFonts w:ascii="Courier New" w:hAnsi="Courier New" w:cs="Courier New" w:hint="default"/>
      </w:rPr>
    </w:lvl>
    <w:lvl w:ilvl="3">
      <w:start w:val="1"/>
      <w:numFmt w:val="decimal"/>
      <w:lvlText w:val="%1.%2.%3.%4."/>
      <w:lvlJc w:val="left"/>
      <w:pPr>
        <w:tabs>
          <w:tab w:val="num" w:pos="2835"/>
        </w:tabs>
        <w:ind w:left="2835" w:hanging="851"/>
      </w:pPr>
      <w:rPr>
        <w:rFonts w:cs="Times New Roman" w:hint="default"/>
      </w:rPr>
    </w:lvl>
    <w:lvl w:ilvl="4">
      <w:start w:val="1"/>
      <w:numFmt w:val="decimal"/>
      <w:lvlText w:val="%1.%2.%3.%4.%5."/>
      <w:lvlJc w:val="left"/>
      <w:pPr>
        <w:tabs>
          <w:tab w:val="num" w:pos="3969"/>
        </w:tabs>
        <w:ind w:left="3969" w:hanging="1134"/>
      </w:pPr>
      <w:rPr>
        <w:rFonts w:cs="Times New Roman" w:hint="default"/>
      </w:rPr>
    </w:lvl>
    <w:lvl w:ilvl="5">
      <w:start w:val="1"/>
      <w:numFmt w:val="decimal"/>
      <w:lvlText w:val="%1.%2.%3.%4.%5.%6."/>
      <w:lvlJc w:val="left"/>
      <w:pPr>
        <w:tabs>
          <w:tab w:val="num" w:pos="5102"/>
        </w:tabs>
        <w:ind w:left="5102" w:hanging="1133"/>
      </w:pPr>
      <w:rPr>
        <w:rFonts w:cs="Times New Roman" w:hint="default"/>
      </w:rPr>
    </w:lvl>
    <w:lvl w:ilvl="6">
      <w:start w:val="1"/>
      <w:numFmt w:val="decimal"/>
      <w:lvlText w:val="%1.%2.%3.%4.%5.%6.%7."/>
      <w:lvlJc w:val="left"/>
      <w:pPr>
        <w:tabs>
          <w:tab w:val="num" w:pos="6236"/>
        </w:tabs>
        <w:ind w:left="6236" w:hanging="1134"/>
      </w:pPr>
      <w:rPr>
        <w:rFonts w:cs="Times New Roman" w:hint="default"/>
      </w:rPr>
    </w:lvl>
    <w:lvl w:ilvl="7">
      <w:start w:val="1"/>
      <w:numFmt w:val="decimal"/>
      <w:lvlText w:val="%1.%2.%3.%4.%5.%6.%7.%8."/>
      <w:lvlJc w:val="left"/>
      <w:pPr>
        <w:tabs>
          <w:tab w:val="num" w:pos="7370"/>
        </w:tabs>
        <w:ind w:left="7370" w:hanging="1134"/>
      </w:pPr>
      <w:rPr>
        <w:rFonts w:cs="Times New Roman" w:hint="default"/>
      </w:rPr>
    </w:lvl>
    <w:lvl w:ilvl="8">
      <w:start w:val="1"/>
      <w:numFmt w:val="decimal"/>
      <w:lvlText w:val="%1.%2.%3.%4.%5.%6.%7.%8.%9."/>
      <w:lvlJc w:val="left"/>
      <w:pPr>
        <w:tabs>
          <w:tab w:val="num" w:pos="7370"/>
        </w:tabs>
        <w:ind w:left="7370" w:hanging="1134"/>
      </w:pPr>
      <w:rPr>
        <w:rFonts w:cs="Times New Roman" w:hint="default"/>
      </w:rPr>
    </w:lvl>
  </w:abstractNum>
  <w:abstractNum w:abstractNumId="13" w15:restartNumberingAfterBreak="0">
    <w:nsid w:val="74B76FC9"/>
    <w:multiLevelType w:val="hybridMultilevel"/>
    <w:tmpl w:val="81FE6D14"/>
    <w:lvl w:ilvl="0" w:tplc="0C090003">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76336616"/>
    <w:multiLevelType w:val="hybridMultilevel"/>
    <w:tmpl w:val="3544E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1"/>
  </w:num>
  <w:num w:numId="6">
    <w:abstractNumId w:val="5"/>
  </w:num>
  <w:num w:numId="7">
    <w:abstractNumId w:val="9"/>
  </w:num>
  <w:num w:numId="8">
    <w:abstractNumId w:val="13"/>
  </w:num>
  <w:num w:numId="9">
    <w:abstractNumId w:val="3"/>
  </w:num>
  <w:num w:numId="10">
    <w:abstractNumId w:val="11"/>
  </w:num>
  <w:num w:numId="11">
    <w:abstractNumId w:val="0"/>
  </w:num>
  <w:num w:numId="12">
    <w:abstractNumId w:val="10"/>
  </w:num>
  <w:num w:numId="13">
    <w:abstractNumId w:val="2"/>
  </w:num>
  <w:num w:numId="14">
    <w:abstractNumId w:val="14"/>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E9"/>
    <w:rsid w:val="00013739"/>
    <w:rsid w:val="0002096B"/>
    <w:rsid w:val="000236B4"/>
    <w:rsid w:val="00024CCA"/>
    <w:rsid w:val="0003385F"/>
    <w:rsid w:val="00035F56"/>
    <w:rsid w:val="00052939"/>
    <w:rsid w:val="000647DA"/>
    <w:rsid w:val="00070D2E"/>
    <w:rsid w:val="00074539"/>
    <w:rsid w:val="000811AE"/>
    <w:rsid w:val="00092C58"/>
    <w:rsid w:val="00096E9E"/>
    <w:rsid w:val="00097496"/>
    <w:rsid w:val="0009764E"/>
    <w:rsid w:val="000A2280"/>
    <w:rsid w:val="000A4E16"/>
    <w:rsid w:val="000B1F11"/>
    <w:rsid w:val="000B28B4"/>
    <w:rsid w:val="000B5F3C"/>
    <w:rsid w:val="000C3725"/>
    <w:rsid w:val="000C4761"/>
    <w:rsid w:val="000C7243"/>
    <w:rsid w:val="000D2735"/>
    <w:rsid w:val="000E5822"/>
    <w:rsid w:val="000F2335"/>
    <w:rsid w:val="0010405A"/>
    <w:rsid w:val="00121DC8"/>
    <w:rsid w:val="00127661"/>
    <w:rsid w:val="0013415A"/>
    <w:rsid w:val="00150C5D"/>
    <w:rsid w:val="00152FDD"/>
    <w:rsid w:val="001573C5"/>
    <w:rsid w:val="0016132F"/>
    <w:rsid w:val="001624A9"/>
    <w:rsid w:val="001834BD"/>
    <w:rsid w:val="001976D6"/>
    <w:rsid w:val="001A07AC"/>
    <w:rsid w:val="001A1196"/>
    <w:rsid w:val="001A3EB5"/>
    <w:rsid w:val="001A5593"/>
    <w:rsid w:val="001A5EBA"/>
    <w:rsid w:val="001C0A13"/>
    <w:rsid w:val="001C551B"/>
    <w:rsid w:val="001D522E"/>
    <w:rsid w:val="001E5C4A"/>
    <w:rsid w:val="001F5941"/>
    <w:rsid w:val="0021377B"/>
    <w:rsid w:val="002201AA"/>
    <w:rsid w:val="00230E5D"/>
    <w:rsid w:val="00234B85"/>
    <w:rsid w:val="002417D5"/>
    <w:rsid w:val="00246CB5"/>
    <w:rsid w:val="00246EC9"/>
    <w:rsid w:val="00253B21"/>
    <w:rsid w:val="00292A7B"/>
    <w:rsid w:val="002A471A"/>
    <w:rsid w:val="002A4870"/>
    <w:rsid w:val="002A790A"/>
    <w:rsid w:val="002B09B0"/>
    <w:rsid w:val="002B0EF2"/>
    <w:rsid w:val="002B2EB6"/>
    <w:rsid w:val="002D6021"/>
    <w:rsid w:val="002E7F66"/>
    <w:rsid w:val="0030712C"/>
    <w:rsid w:val="00344A64"/>
    <w:rsid w:val="00344FD2"/>
    <w:rsid w:val="00345222"/>
    <w:rsid w:val="003652D8"/>
    <w:rsid w:val="00367BF2"/>
    <w:rsid w:val="00376BF8"/>
    <w:rsid w:val="00383E45"/>
    <w:rsid w:val="003A1454"/>
    <w:rsid w:val="003A5438"/>
    <w:rsid w:val="003A6796"/>
    <w:rsid w:val="003B2793"/>
    <w:rsid w:val="003D61B0"/>
    <w:rsid w:val="003E4E98"/>
    <w:rsid w:val="003E5281"/>
    <w:rsid w:val="003E5402"/>
    <w:rsid w:val="003F2CA2"/>
    <w:rsid w:val="00422B86"/>
    <w:rsid w:val="00422E0B"/>
    <w:rsid w:val="00426D15"/>
    <w:rsid w:val="00436AF7"/>
    <w:rsid w:val="00437AB9"/>
    <w:rsid w:val="00446841"/>
    <w:rsid w:val="00454664"/>
    <w:rsid w:val="00460448"/>
    <w:rsid w:val="0046747F"/>
    <w:rsid w:val="00473E93"/>
    <w:rsid w:val="004A7E72"/>
    <w:rsid w:val="004D03A6"/>
    <w:rsid w:val="004D154C"/>
    <w:rsid w:val="004E3CCF"/>
    <w:rsid w:val="004E5ADA"/>
    <w:rsid w:val="00506AC2"/>
    <w:rsid w:val="005121CA"/>
    <w:rsid w:val="00514067"/>
    <w:rsid w:val="00526C97"/>
    <w:rsid w:val="005274D9"/>
    <w:rsid w:val="005276EF"/>
    <w:rsid w:val="00532E19"/>
    <w:rsid w:val="00547248"/>
    <w:rsid w:val="0055140C"/>
    <w:rsid w:val="005841DB"/>
    <w:rsid w:val="005C1750"/>
    <w:rsid w:val="005D1CE9"/>
    <w:rsid w:val="005D5C42"/>
    <w:rsid w:val="005E1E76"/>
    <w:rsid w:val="005E30DF"/>
    <w:rsid w:val="005F04AA"/>
    <w:rsid w:val="0060025B"/>
    <w:rsid w:val="00611A93"/>
    <w:rsid w:val="00611CA7"/>
    <w:rsid w:val="00614DF1"/>
    <w:rsid w:val="00636CE2"/>
    <w:rsid w:val="006436D8"/>
    <w:rsid w:val="00656788"/>
    <w:rsid w:val="0066407E"/>
    <w:rsid w:val="00667E5C"/>
    <w:rsid w:val="006A32A3"/>
    <w:rsid w:val="006B7B6F"/>
    <w:rsid w:val="006C5062"/>
    <w:rsid w:val="006D368B"/>
    <w:rsid w:val="006D6BFE"/>
    <w:rsid w:val="006E7E1C"/>
    <w:rsid w:val="006F5747"/>
    <w:rsid w:val="00704830"/>
    <w:rsid w:val="00705D73"/>
    <w:rsid w:val="00713FC3"/>
    <w:rsid w:val="007242AD"/>
    <w:rsid w:val="007327C6"/>
    <w:rsid w:val="007375A8"/>
    <w:rsid w:val="0075317B"/>
    <w:rsid w:val="00757EA5"/>
    <w:rsid w:val="0076277D"/>
    <w:rsid w:val="00762A9E"/>
    <w:rsid w:val="007836E9"/>
    <w:rsid w:val="0078556E"/>
    <w:rsid w:val="00785B1D"/>
    <w:rsid w:val="007A0928"/>
    <w:rsid w:val="007A14C3"/>
    <w:rsid w:val="007C1441"/>
    <w:rsid w:val="007D198D"/>
    <w:rsid w:val="007D53C0"/>
    <w:rsid w:val="007E32C9"/>
    <w:rsid w:val="00806FE8"/>
    <w:rsid w:val="008128F5"/>
    <w:rsid w:val="008172F8"/>
    <w:rsid w:val="00833C55"/>
    <w:rsid w:val="00840B22"/>
    <w:rsid w:val="00851A7E"/>
    <w:rsid w:val="00856D9C"/>
    <w:rsid w:val="008601CF"/>
    <w:rsid w:val="008623C5"/>
    <w:rsid w:val="00867A23"/>
    <w:rsid w:val="00875E46"/>
    <w:rsid w:val="008762E9"/>
    <w:rsid w:val="00882E5B"/>
    <w:rsid w:val="008D700E"/>
    <w:rsid w:val="008E26CC"/>
    <w:rsid w:val="008F7BD7"/>
    <w:rsid w:val="00910A7B"/>
    <w:rsid w:val="00912C36"/>
    <w:rsid w:val="00923A58"/>
    <w:rsid w:val="00925505"/>
    <w:rsid w:val="00936C1B"/>
    <w:rsid w:val="00946ED3"/>
    <w:rsid w:val="0096092D"/>
    <w:rsid w:val="0097315A"/>
    <w:rsid w:val="0098263C"/>
    <w:rsid w:val="00991649"/>
    <w:rsid w:val="00997A14"/>
    <w:rsid w:val="009B5EA0"/>
    <w:rsid w:val="009B700F"/>
    <w:rsid w:val="009B7920"/>
    <w:rsid w:val="009C3082"/>
    <w:rsid w:val="009C33B0"/>
    <w:rsid w:val="009D15DE"/>
    <w:rsid w:val="009F043B"/>
    <w:rsid w:val="009F16F0"/>
    <w:rsid w:val="009F341E"/>
    <w:rsid w:val="009F7970"/>
    <w:rsid w:val="00A21883"/>
    <w:rsid w:val="00A23028"/>
    <w:rsid w:val="00A25396"/>
    <w:rsid w:val="00A2622B"/>
    <w:rsid w:val="00A30070"/>
    <w:rsid w:val="00A4147F"/>
    <w:rsid w:val="00A42146"/>
    <w:rsid w:val="00A43CAA"/>
    <w:rsid w:val="00A51F97"/>
    <w:rsid w:val="00A570E2"/>
    <w:rsid w:val="00A620B3"/>
    <w:rsid w:val="00A66128"/>
    <w:rsid w:val="00A873B9"/>
    <w:rsid w:val="00AC7CDD"/>
    <w:rsid w:val="00AD04E1"/>
    <w:rsid w:val="00AE4992"/>
    <w:rsid w:val="00AF06D8"/>
    <w:rsid w:val="00B01CCA"/>
    <w:rsid w:val="00B04A6B"/>
    <w:rsid w:val="00B20131"/>
    <w:rsid w:val="00B30516"/>
    <w:rsid w:val="00B31BC7"/>
    <w:rsid w:val="00B521A9"/>
    <w:rsid w:val="00B52ACA"/>
    <w:rsid w:val="00B5434A"/>
    <w:rsid w:val="00B54436"/>
    <w:rsid w:val="00B73269"/>
    <w:rsid w:val="00B73D44"/>
    <w:rsid w:val="00BC279C"/>
    <w:rsid w:val="00BD3C23"/>
    <w:rsid w:val="00BE128F"/>
    <w:rsid w:val="00BE2CC2"/>
    <w:rsid w:val="00BE5965"/>
    <w:rsid w:val="00BE702A"/>
    <w:rsid w:val="00BF224E"/>
    <w:rsid w:val="00BF4CF9"/>
    <w:rsid w:val="00C06039"/>
    <w:rsid w:val="00C20F52"/>
    <w:rsid w:val="00C52668"/>
    <w:rsid w:val="00C601BE"/>
    <w:rsid w:val="00C60DF0"/>
    <w:rsid w:val="00C90309"/>
    <w:rsid w:val="00CA18A8"/>
    <w:rsid w:val="00CA3CDD"/>
    <w:rsid w:val="00CB5CD6"/>
    <w:rsid w:val="00CD0BC8"/>
    <w:rsid w:val="00CD0BE4"/>
    <w:rsid w:val="00CD4EFC"/>
    <w:rsid w:val="00CF3D65"/>
    <w:rsid w:val="00D053AC"/>
    <w:rsid w:val="00D0764C"/>
    <w:rsid w:val="00D159F4"/>
    <w:rsid w:val="00D406A2"/>
    <w:rsid w:val="00D4185F"/>
    <w:rsid w:val="00D432C9"/>
    <w:rsid w:val="00D45F1B"/>
    <w:rsid w:val="00D46ABF"/>
    <w:rsid w:val="00D55F4B"/>
    <w:rsid w:val="00D91E68"/>
    <w:rsid w:val="00D93525"/>
    <w:rsid w:val="00D95179"/>
    <w:rsid w:val="00D96B81"/>
    <w:rsid w:val="00DC37D8"/>
    <w:rsid w:val="00DC433C"/>
    <w:rsid w:val="00DE656B"/>
    <w:rsid w:val="00DE79B1"/>
    <w:rsid w:val="00DF012E"/>
    <w:rsid w:val="00DF39AA"/>
    <w:rsid w:val="00E02290"/>
    <w:rsid w:val="00E03745"/>
    <w:rsid w:val="00E06DFE"/>
    <w:rsid w:val="00E07C40"/>
    <w:rsid w:val="00E237D5"/>
    <w:rsid w:val="00E37DD4"/>
    <w:rsid w:val="00E4010C"/>
    <w:rsid w:val="00E40225"/>
    <w:rsid w:val="00E51A46"/>
    <w:rsid w:val="00E54283"/>
    <w:rsid w:val="00E61CAF"/>
    <w:rsid w:val="00E62E31"/>
    <w:rsid w:val="00E9190F"/>
    <w:rsid w:val="00E95106"/>
    <w:rsid w:val="00E95B6C"/>
    <w:rsid w:val="00EC535E"/>
    <w:rsid w:val="00ED2302"/>
    <w:rsid w:val="00ED5D33"/>
    <w:rsid w:val="00EE0A30"/>
    <w:rsid w:val="00EF1C9E"/>
    <w:rsid w:val="00F03308"/>
    <w:rsid w:val="00F0378F"/>
    <w:rsid w:val="00F128D5"/>
    <w:rsid w:val="00F204BD"/>
    <w:rsid w:val="00F71036"/>
    <w:rsid w:val="00F87EC5"/>
    <w:rsid w:val="00F90A8C"/>
    <w:rsid w:val="00F9589E"/>
    <w:rsid w:val="00F960D6"/>
    <w:rsid w:val="00FA0A06"/>
    <w:rsid w:val="00FA3570"/>
    <w:rsid w:val="00FB1BA5"/>
    <w:rsid w:val="00FF0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oNotEmbedSmartTags/>
  <w:decimalSymbol w:val="."/>
  <w:listSeparator w:val=","/>
  <w14:docId w14:val="399D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both"/>
      <w:outlineLvl w:val="1"/>
    </w:pPr>
    <w:rPr>
      <w:b/>
      <w:sz w:val="28"/>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sz w:val="24"/>
      <w:u w:val="single"/>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qFormat/>
    <w:pPr>
      <w:keepNext/>
      <w:jc w:val="both"/>
      <w:outlineLvl w:val="5"/>
    </w:pPr>
    <w:rPr>
      <w:b/>
      <w:sz w:val="24"/>
      <w:u w:val="single"/>
    </w:rPr>
  </w:style>
  <w:style w:type="paragraph" w:styleId="Heading7">
    <w:name w:val="heading 7"/>
    <w:basedOn w:val="Normal"/>
    <w:next w:val="Normal"/>
    <w:qFormat/>
    <w:pPr>
      <w:keepNext/>
      <w:ind w:left="851"/>
      <w:jc w:val="both"/>
      <w:outlineLvl w:val="6"/>
    </w:pPr>
    <w:rPr>
      <w:b/>
      <w:i/>
      <w:sz w:val="24"/>
    </w:rPr>
  </w:style>
  <w:style w:type="paragraph" w:styleId="Heading8">
    <w:name w:val="heading 8"/>
    <w:basedOn w:val="Normal"/>
    <w:next w:val="Normal"/>
    <w:qFormat/>
    <w:pPr>
      <w:keepNext/>
      <w:ind w:firstLine="720"/>
      <w:jc w:val="both"/>
      <w:outlineLvl w:val="7"/>
    </w:pPr>
    <w:rPr>
      <w:sz w:val="24"/>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jc w:val="both"/>
    </w:pPr>
    <w:rPr>
      <w:sz w:val="24"/>
    </w:rPr>
  </w:style>
  <w:style w:type="paragraph" w:styleId="BodyText2">
    <w:name w:val="Body Text 2"/>
    <w:basedOn w:val="Normal"/>
    <w:pPr>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jc w:val="both"/>
    </w:pPr>
    <w:rPr>
      <w:sz w:val="24"/>
    </w:rPr>
  </w:style>
  <w:style w:type="paragraph" w:styleId="BodyText3">
    <w:name w:val="Body Text 3"/>
    <w:basedOn w:val="Normal"/>
    <w:rPr>
      <w:strike/>
      <w:sz w:val="24"/>
    </w:rPr>
  </w:style>
  <w:style w:type="paragraph" w:styleId="BodyTextIndent2">
    <w:name w:val="Body Text Indent 2"/>
    <w:basedOn w:val="Normal"/>
    <w:pPr>
      <w:ind w:left="1440" w:hanging="1440"/>
      <w:jc w:val="both"/>
    </w:pPr>
    <w:rPr>
      <w:sz w:val="24"/>
    </w:rPr>
  </w:style>
  <w:style w:type="paragraph" w:styleId="Header">
    <w:name w:val="header"/>
    <w:basedOn w:val="Normal"/>
    <w:pPr>
      <w:tabs>
        <w:tab w:val="center" w:pos="4153"/>
        <w:tab w:val="right" w:pos="8306"/>
      </w:tabs>
    </w:pPr>
    <w:rPr>
      <w:sz w:val="24"/>
    </w:rPr>
  </w:style>
  <w:style w:type="paragraph" w:styleId="Footer">
    <w:name w:val="footer"/>
    <w:basedOn w:val="Normal"/>
    <w:link w:val="FooterChar"/>
    <w:pPr>
      <w:tabs>
        <w:tab w:val="center" w:pos="4153"/>
        <w:tab w:val="right" w:pos="8306"/>
      </w:tabs>
    </w:pPr>
    <w:rPr>
      <w:sz w:val="24"/>
      <w:lang w:val="en-GB"/>
    </w:rPr>
  </w:style>
  <w:style w:type="paragraph" w:styleId="BodyTextIndent3">
    <w:name w:val="Body Text Indent 3"/>
    <w:basedOn w:val="Normal"/>
    <w:pPr>
      <w:ind w:left="1418"/>
    </w:pPr>
    <w:rPr>
      <w:snapToGrid w:val="0"/>
      <w:sz w:val="24"/>
      <w:lang w:eastAsia="en-US"/>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Blockquote">
    <w:name w:val="Blockquote"/>
    <w:basedOn w:val="Normal"/>
    <w:pPr>
      <w:spacing w:before="100" w:after="100"/>
      <w:ind w:left="360" w:right="360"/>
    </w:pPr>
    <w:rPr>
      <w:snapToGrid w:val="0"/>
      <w:sz w:val="24"/>
      <w:lang w:eastAsia="en-US"/>
    </w:rPr>
  </w:style>
  <w:style w:type="paragraph" w:styleId="BlockText">
    <w:name w:val="Block Text"/>
    <w:basedOn w:val="Normal"/>
    <w:pPr>
      <w:ind w:left="567" w:right="766"/>
      <w:jc w:val="both"/>
    </w:pPr>
    <w:rPr>
      <w:i/>
      <w:sz w:val="23"/>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NormalIndent">
    <w:name w:val="Normal Indent"/>
    <w:basedOn w:val="Normal"/>
    <w:pPr>
      <w:spacing w:line="240" w:lineRule="atLeast"/>
      <w:ind w:left="720"/>
      <w:jc w:val="both"/>
    </w:pPr>
    <w:rPr>
      <w:sz w:val="26"/>
      <w:lang w:val="en-GB" w:eastAsia="en-US"/>
    </w:rPr>
  </w:style>
  <w:style w:type="paragraph" w:styleId="FootnoteText">
    <w:name w:val="footnote text"/>
    <w:basedOn w:val="Normal"/>
    <w:link w:val="FootnoteTextChar"/>
    <w:semiHidden/>
    <w:rPr>
      <w:rFonts w:ascii="Arial" w:hAnsi="Arial"/>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rsid w:val="006B7B6F"/>
    <w:pPr>
      <w:ind w:left="720"/>
      <w:contextualSpacing/>
    </w:pPr>
  </w:style>
  <w:style w:type="character" w:styleId="Strong">
    <w:name w:val="Strong"/>
    <w:basedOn w:val="DefaultParagraphFont"/>
    <w:qFormat/>
    <w:rsid w:val="006B7B6F"/>
    <w:rPr>
      <w:b/>
      <w:bCs/>
    </w:rPr>
  </w:style>
  <w:style w:type="paragraph" w:customStyle="1" w:styleId="Default">
    <w:name w:val="Default"/>
    <w:rsid w:val="009C33B0"/>
    <w:pPr>
      <w:autoSpaceDE w:val="0"/>
      <w:autoSpaceDN w:val="0"/>
      <w:adjustRightInd w:val="0"/>
    </w:pPr>
    <w:rPr>
      <w:color w:val="000000"/>
      <w:sz w:val="24"/>
      <w:szCs w:val="24"/>
    </w:rPr>
  </w:style>
  <w:style w:type="paragraph" w:styleId="TOC3">
    <w:name w:val="toc 3"/>
    <w:basedOn w:val="TOC2"/>
    <w:next w:val="Normal"/>
    <w:autoRedefine/>
    <w:uiPriority w:val="39"/>
    <w:rsid w:val="00C52668"/>
    <w:pPr>
      <w:keepNext/>
      <w:widowControl w:val="0"/>
      <w:tabs>
        <w:tab w:val="left" w:pos="1430"/>
        <w:tab w:val="right" w:leader="dot" w:pos="9072"/>
      </w:tabs>
      <w:spacing w:before="120" w:after="0" w:line="240" w:lineRule="atLeast"/>
      <w:ind w:left="425"/>
      <w:jc w:val="center"/>
    </w:pPr>
    <w:rPr>
      <w:rFonts w:ascii="Arial" w:hAnsi="Arial" w:cs="Arial"/>
      <w:noProof/>
      <w:sz w:val="22"/>
      <w:szCs w:val="22"/>
    </w:rPr>
  </w:style>
  <w:style w:type="paragraph" w:customStyle="1" w:styleId="FormTitle">
    <w:name w:val="Form Title"/>
    <w:rsid w:val="00437AB9"/>
    <w:pPr>
      <w:spacing w:before="420" w:after="140" w:line="280" w:lineRule="atLeast"/>
      <w:jc w:val="center"/>
    </w:pPr>
    <w:rPr>
      <w:rFonts w:ascii="Arial" w:hAnsi="Arial" w:cs="Arial"/>
      <w:b/>
      <w:caps/>
      <w:szCs w:val="22"/>
    </w:rPr>
  </w:style>
  <w:style w:type="paragraph" w:styleId="TOC2">
    <w:name w:val="toc 2"/>
    <w:basedOn w:val="Normal"/>
    <w:next w:val="Normal"/>
    <w:autoRedefine/>
    <w:uiPriority w:val="39"/>
    <w:unhideWhenUsed/>
    <w:rsid w:val="00437AB9"/>
    <w:pPr>
      <w:spacing w:after="100"/>
      <w:ind w:left="200"/>
    </w:pPr>
  </w:style>
  <w:style w:type="paragraph" w:styleId="TOC4">
    <w:name w:val="toc 4"/>
    <w:basedOn w:val="Normal"/>
    <w:next w:val="Normal"/>
    <w:autoRedefine/>
    <w:uiPriority w:val="39"/>
    <w:unhideWhenUsed/>
    <w:rsid w:val="00437AB9"/>
    <w:pPr>
      <w:spacing w:after="100"/>
      <w:ind w:left="600"/>
    </w:pPr>
  </w:style>
  <w:style w:type="paragraph" w:styleId="TOC5">
    <w:name w:val="toc 5"/>
    <w:basedOn w:val="Normal"/>
    <w:next w:val="Normal"/>
    <w:autoRedefine/>
    <w:uiPriority w:val="39"/>
    <w:unhideWhenUsed/>
    <w:rsid w:val="00437AB9"/>
    <w:pPr>
      <w:spacing w:after="100"/>
      <w:ind w:left="800"/>
    </w:pPr>
  </w:style>
  <w:style w:type="paragraph" w:styleId="TOC1">
    <w:name w:val="toc 1"/>
    <w:basedOn w:val="Normal"/>
    <w:next w:val="Normal"/>
    <w:autoRedefine/>
    <w:uiPriority w:val="39"/>
    <w:unhideWhenUsed/>
    <w:rsid w:val="00437AB9"/>
    <w:pPr>
      <w:spacing w:after="100"/>
    </w:pPr>
  </w:style>
  <w:style w:type="character" w:customStyle="1" w:styleId="FootnoteTextChar">
    <w:name w:val="Footnote Text Char"/>
    <w:basedOn w:val="DefaultParagraphFont"/>
    <w:link w:val="FootnoteText"/>
    <w:semiHidden/>
    <w:rsid w:val="00D55F4B"/>
    <w:rPr>
      <w:rFonts w:ascii="Arial" w:hAnsi="Arial"/>
    </w:rPr>
  </w:style>
  <w:style w:type="paragraph" w:styleId="Revision">
    <w:name w:val="Revision"/>
    <w:hidden/>
    <w:uiPriority w:val="99"/>
    <w:semiHidden/>
    <w:rsid w:val="003A6796"/>
  </w:style>
  <w:style w:type="character" w:customStyle="1" w:styleId="FooterChar">
    <w:name w:val="Footer Char"/>
    <w:basedOn w:val="DefaultParagraphFont"/>
    <w:link w:val="Footer"/>
    <w:locked/>
    <w:rsid w:val="00C52668"/>
    <w:rPr>
      <w:sz w:val="24"/>
      <w:lang w:val="en-GB"/>
    </w:rPr>
  </w:style>
  <w:style w:type="paragraph" w:customStyle="1" w:styleId="PartHeading">
    <w:name w:val="Part Heading"/>
    <w:next w:val="NumberLevel1"/>
    <w:rsid w:val="00C52668"/>
    <w:pPr>
      <w:keepNext/>
      <w:keepLines/>
      <w:numPr>
        <w:numId w:val="3"/>
      </w:numPr>
      <w:pBdr>
        <w:bottom w:val="single" w:sz="2" w:space="0" w:color="auto"/>
      </w:pBdr>
      <w:spacing w:before="420" w:after="140" w:line="280" w:lineRule="atLeast"/>
      <w:outlineLvl w:val="0"/>
    </w:pPr>
    <w:rPr>
      <w:rFonts w:ascii="Arial" w:hAnsi="Arial" w:cs="Arial"/>
      <w:b/>
      <w:caps/>
      <w:szCs w:val="22"/>
    </w:rPr>
  </w:style>
  <w:style w:type="paragraph" w:customStyle="1" w:styleId="NumberLevel1">
    <w:name w:val="Number Level 1"/>
    <w:basedOn w:val="Normal"/>
    <w:rsid w:val="00C52668"/>
    <w:pPr>
      <w:tabs>
        <w:tab w:val="num" w:pos="360"/>
      </w:tabs>
      <w:spacing w:before="140" w:after="140" w:line="280" w:lineRule="atLeast"/>
      <w:ind w:left="360" w:hanging="360"/>
      <w:outlineLvl w:val="0"/>
    </w:pPr>
    <w:rPr>
      <w:rFonts w:ascii="Arial" w:hAnsi="Arial" w:cs="Arial"/>
      <w:sz w:val="22"/>
      <w:szCs w:val="22"/>
    </w:rPr>
  </w:style>
  <w:style w:type="character" w:customStyle="1" w:styleId="BodyTextChar">
    <w:name w:val="Body Text Char"/>
    <w:basedOn w:val="DefaultParagraphFont"/>
    <w:link w:val="BodyText"/>
    <w:rsid w:val="00614DF1"/>
    <w:rPr>
      <w:sz w:val="24"/>
    </w:rPr>
  </w:style>
  <w:style w:type="paragraph" w:styleId="PlainText">
    <w:name w:val="Plain Text"/>
    <w:basedOn w:val="Normal"/>
    <w:link w:val="PlainTextChar"/>
    <w:uiPriority w:val="99"/>
    <w:unhideWhenUsed/>
    <w:rsid w:val="00614DF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14DF1"/>
    <w:rPr>
      <w:rFonts w:ascii="Calibri" w:eastAsiaTheme="minorHAnsi" w:hAnsi="Calibri" w:cstheme="minorBidi"/>
      <w:sz w:val="22"/>
      <w:szCs w:val="21"/>
      <w:lang w:eastAsia="en-US"/>
    </w:rPr>
  </w:style>
  <w:style w:type="paragraph" w:styleId="Quote">
    <w:name w:val="Quote"/>
    <w:basedOn w:val="Normal"/>
    <w:next w:val="Normal"/>
    <w:link w:val="QuoteChar"/>
    <w:uiPriority w:val="29"/>
    <w:qFormat/>
    <w:rsid w:val="00713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3FC3"/>
    <w:rPr>
      <w:i/>
      <w:iCs/>
      <w:color w:val="404040" w:themeColor="text1" w:themeTint="BF"/>
    </w:rPr>
  </w:style>
  <w:style w:type="paragraph" w:customStyle="1" w:styleId="paragraph">
    <w:name w:val="paragraph"/>
    <w:basedOn w:val="Normal"/>
    <w:rsid w:val="0055140C"/>
    <w:pPr>
      <w:spacing w:before="100" w:beforeAutospacing="1" w:after="100" w:afterAutospacing="1"/>
    </w:pPr>
    <w:rPr>
      <w:sz w:val="24"/>
      <w:szCs w:val="24"/>
    </w:rPr>
  </w:style>
  <w:style w:type="character" w:customStyle="1" w:styleId="normaltextrun">
    <w:name w:val="normaltextrun"/>
    <w:basedOn w:val="DefaultParagraphFont"/>
    <w:rsid w:val="0055140C"/>
  </w:style>
  <w:style w:type="character" w:customStyle="1" w:styleId="eop">
    <w:name w:val="eop"/>
    <w:basedOn w:val="DefaultParagraphFont"/>
    <w:rsid w:val="0055140C"/>
  </w:style>
  <w:style w:type="character" w:customStyle="1" w:styleId="superscript">
    <w:name w:val="superscript"/>
    <w:basedOn w:val="DefaultParagraphFont"/>
    <w:rsid w:val="002E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37280">
      <w:bodyDiv w:val="1"/>
      <w:marLeft w:val="0"/>
      <w:marRight w:val="0"/>
      <w:marTop w:val="0"/>
      <w:marBottom w:val="0"/>
      <w:divBdr>
        <w:top w:val="none" w:sz="0" w:space="0" w:color="auto"/>
        <w:left w:val="none" w:sz="0" w:space="0" w:color="auto"/>
        <w:bottom w:val="none" w:sz="0" w:space="0" w:color="auto"/>
        <w:right w:val="none" w:sz="0" w:space="0" w:color="auto"/>
      </w:divBdr>
    </w:div>
    <w:div w:id="757094342">
      <w:bodyDiv w:val="1"/>
      <w:marLeft w:val="0"/>
      <w:marRight w:val="0"/>
      <w:marTop w:val="0"/>
      <w:marBottom w:val="0"/>
      <w:divBdr>
        <w:top w:val="none" w:sz="0" w:space="0" w:color="auto"/>
        <w:left w:val="none" w:sz="0" w:space="0" w:color="auto"/>
        <w:bottom w:val="none" w:sz="0" w:space="0" w:color="auto"/>
        <w:right w:val="none" w:sz="0" w:space="0" w:color="auto"/>
      </w:divBdr>
      <w:divsChild>
        <w:div w:id="1781607679">
          <w:marLeft w:val="0"/>
          <w:marRight w:val="0"/>
          <w:marTop w:val="0"/>
          <w:marBottom w:val="0"/>
          <w:divBdr>
            <w:top w:val="none" w:sz="0" w:space="0" w:color="auto"/>
            <w:left w:val="none" w:sz="0" w:space="0" w:color="auto"/>
            <w:bottom w:val="none" w:sz="0" w:space="0" w:color="auto"/>
            <w:right w:val="none" w:sz="0" w:space="0" w:color="auto"/>
          </w:divBdr>
        </w:div>
        <w:div w:id="1258320420">
          <w:marLeft w:val="0"/>
          <w:marRight w:val="0"/>
          <w:marTop w:val="0"/>
          <w:marBottom w:val="0"/>
          <w:divBdr>
            <w:top w:val="none" w:sz="0" w:space="0" w:color="auto"/>
            <w:left w:val="none" w:sz="0" w:space="0" w:color="auto"/>
            <w:bottom w:val="none" w:sz="0" w:space="0" w:color="auto"/>
            <w:right w:val="none" w:sz="0" w:space="0" w:color="auto"/>
          </w:divBdr>
        </w:div>
        <w:div w:id="124587307">
          <w:marLeft w:val="0"/>
          <w:marRight w:val="0"/>
          <w:marTop w:val="0"/>
          <w:marBottom w:val="0"/>
          <w:divBdr>
            <w:top w:val="none" w:sz="0" w:space="0" w:color="auto"/>
            <w:left w:val="none" w:sz="0" w:space="0" w:color="auto"/>
            <w:bottom w:val="none" w:sz="0" w:space="0" w:color="auto"/>
            <w:right w:val="none" w:sz="0" w:space="0" w:color="auto"/>
          </w:divBdr>
        </w:div>
      </w:divsChild>
    </w:div>
    <w:div w:id="1658269494">
      <w:bodyDiv w:val="1"/>
      <w:marLeft w:val="0"/>
      <w:marRight w:val="0"/>
      <w:marTop w:val="0"/>
      <w:marBottom w:val="0"/>
      <w:divBdr>
        <w:top w:val="none" w:sz="0" w:space="0" w:color="auto"/>
        <w:left w:val="none" w:sz="0" w:space="0" w:color="auto"/>
        <w:bottom w:val="none" w:sz="0" w:space="0" w:color="auto"/>
        <w:right w:val="none" w:sz="0" w:space="0" w:color="auto"/>
      </w:divBdr>
      <w:divsChild>
        <w:div w:id="832723686">
          <w:marLeft w:val="0"/>
          <w:marRight w:val="0"/>
          <w:marTop w:val="0"/>
          <w:marBottom w:val="0"/>
          <w:divBdr>
            <w:top w:val="none" w:sz="0" w:space="0" w:color="auto"/>
            <w:left w:val="none" w:sz="0" w:space="0" w:color="auto"/>
            <w:bottom w:val="none" w:sz="0" w:space="0" w:color="auto"/>
            <w:right w:val="none" w:sz="0" w:space="0" w:color="auto"/>
          </w:divBdr>
        </w:div>
        <w:div w:id="1462308959">
          <w:marLeft w:val="0"/>
          <w:marRight w:val="0"/>
          <w:marTop w:val="0"/>
          <w:marBottom w:val="0"/>
          <w:divBdr>
            <w:top w:val="none" w:sz="0" w:space="0" w:color="auto"/>
            <w:left w:val="none" w:sz="0" w:space="0" w:color="auto"/>
            <w:bottom w:val="none" w:sz="0" w:space="0" w:color="auto"/>
            <w:right w:val="none" w:sz="0" w:space="0" w:color="auto"/>
          </w:divBdr>
        </w:div>
        <w:div w:id="571353073">
          <w:marLeft w:val="0"/>
          <w:marRight w:val="0"/>
          <w:marTop w:val="0"/>
          <w:marBottom w:val="0"/>
          <w:divBdr>
            <w:top w:val="none" w:sz="0" w:space="0" w:color="auto"/>
            <w:left w:val="none" w:sz="0" w:space="0" w:color="auto"/>
            <w:bottom w:val="none" w:sz="0" w:space="0" w:color="auto"/>
            <w:right w:val="none" w:sz="0" w:space="0" w:color="auto"/>
          </w:divBdr>
        </w:div>
      </w:divsChild>
    </w:div>
    <w:div w:id="1805537171">
      <w:bodyDiv w:val="1"/>
      <w:marLeft w:val="0"/>
      <w:marRight w:val="0"/>
      <w:marTop w:val="0"/>
      <w:marBottom w:val="0"/>
      <w:divBdr>
        <w:top w:val="none" w:sz="0" w:space="0" w:color="auto"/>
        <w:left w:val="none" w:sz="0" w:space="0" w:color="auto"/>
        <w:bottom w:val="none" w:sz="0" w:space="0" w:color="auto"/>
        <w:right w:val="none" w:sz="0" w:space="0" w:color="auto"/>
      </w:divBdr>
      <w:divsChild>
        <w:div w:id="250939494">
          <w:marLeft w:val="0"/>
          <w:marRight w:val="0"/>
          <w:marTop w:val="0"/>
          <w:marBottom w:val="0"/>
          <w:divBdr>
            <w:top w:val="none" w:sz="0" w:space="0" w:color="auto"/>
            <w:left w:val="none" w:sz="0" w:space="0" w:color="auto"/>
            <w:bottom w:val="none" w:sz="0" w:space="0" w:color="auto"/>
            <w:right w:val="none" w:sz="0" w:space="0" w:color="auto"/>
          </w:divBdr>
        </w:div>
        <w:div w:id="771096709">
          <w:marLeft w:val="0"/>
          <w:marRight w:val="0"/>
          <w:marTop w:val="0"/>
          <w:marBottom w:val="0"/>
          <w:divBdr>
            <w:top w:val="none" w:sz="0" w:space="0" w:color="auto"/>
            <w:left w:val="none" w:sz="0" w:space="0" w:color="auto"/>
            <w:bottom w:val="none" w:sz="0" w:space="0" w:color="auto"/>
            <w:right w:val="none" w:sz="0" w:space="0" w:color="auto"/>
          </w:divBdr>
        </w:div>
        <w:div w:id="1741248457">
          <w:marLeft w:val="0"/>
          <w:marRight w:val="0"/>
          <w:marTop w:val="0"/>
          <w:marBottom w:val="0"/>
          <w:divBdr>
            <w:top w:val="none" w:sz="0" w:space="0" w:color="auto"/>
            <w:left w:val="none" w:sz="0" w:space="0" w:color="auto"/>
            <w:bottom w:val="none" w:sz="0" w:space="0" w:color="auto"/>
            <w:right w:val="none" w:sz="0" w:space="0" w:color="auto"/>
          </w:divBdr>
        </w:div>
      </w:divsChild>
    </w:div>
    <w:div w:id="1816754808">
      <w:bodyDiv w:val="1"/>
      <w:marLeft w:val="0"/>
      <w:marRight w:val="0"/>
      <w:marTop w:val="0"/>
      <w:marBottom w:val="0"/>
      <w:divBdr>
        <w:top w:val="none" w:sz="0" w:space="0" w:color="auto"/>
        <w:left w:val="none" w:sz="0" w:space="0" w:color="auto"/>
        <w:bottom w:val="none" w:sz="0" w:space="0" w:color="auto"/>
        <w:right w:val="none" w:sz="0" w:space="0" w:color="auto"/>
      </w:divBdr>
      <w:divsChild>
        <w:div w:id="1878811196">
          <w:marLeft w:val="0"/>
          <w:marRight w:val="0"/>
          <w:marTop w:val="0"/>
          <w:marBottom w:val="0"/>
          <w:divBdr>
            <w:top w:val="none" w:sz="0" w:space="0" w:color="auto"/>
            <w:left w:val="none" w:sz="0" w:space="0" w:color="auto"/>
            <w:bottom w:val="none" w:sz="0" w:space="0" w:color="auto"/>
            <w:right w:val="none" w:sz="0" w:space="0" w:color="auto"/>
          </w:divBdr>
        </w:div>
        <w:div w:id="1055857450">
          <w:marLeft w:val="0"/>
          <w:marRight w:val="0"/>
          <w:marTop w:val="0"/>
          <w:marBottom w:val="0"/>
          <w:divBdr>
            <w:top w:val="none" w:sz="0" w:space="0" w:color="auto"/>
            <w:left w:val="none" w:sz="0" w:space="0" w:color="auto"/>
            <w:bottom w:val="none" w:sz="0" w:space="0" w:color="auto"/>
            <w:right w:val="none" w:sz="0" w:space="0" w:color="auto"/>
          </w:divBdr>
        </w:div>
        <w:div w:id="910891445">
          <w:marLeft w:val="0"/>
          <w:marRight w:val="0"/>
          <w:marTop w:val="0"/>
          <w:marBottom w:val="0"/>
          <w:divBdr>
            <w:top w:val="none" w:sz="0" w:space="0" w:color="auto"/>
            <w:left w:val="none" w:sz="0" w:space="0" w:color="auto"/>
            <w:bottom w:val="none" w:sz="0" w:space="0" w:color="auto"/>
            <w:right w:val="none" w:sz="0" w:space="0" w:color="auto"/>
          </w:divBdr>
        </w:div>
        <w:div w:id="900596492">
          <w:marLeft w:val="0"/>
          <w:marRight w:val="0"/>
          <w:marTop w:val="0"/>
          <w:marBottom w:val="0"/>
          <w:divBdr>
            <w:top w:val="none" w:sz="0" w:space="0" w:color="auto"/>
            <w:left w:val="none" w:sz="0" w:space="0" w:color="auto"/>
            <w:bottom w:val="none" w:sz="0" w:space="0" w:color="auto"/>
            <w:right w:val="none" w:sz="0" w:space="0" w:color="auto"/>
          </w:divBdr>
        </w:div>
        <w:div w:id="1592665238">
          <w:marLeft w:val="0"/>
          <w:marRight w:val="0"/>
          <w:marTop w:val="0"/>
          <w:marBottom w:val="0"/>
          <w:divBdr>
            <w:top w:val="none" w:sz="0" w:space="0" w:color="auto"/>
            <w:left w:val="none" w:sz="0" w:space="0" w:color="auto"/>
            <w:bottom w:val="none" w:sz="0" w:space="0" w:color="auto"/>
            <w:right w:val="none" w:sz="0" w:space="0" w:color="auto"/>
          </w:divBdr>
        </w:div>
        <w:div w:id="434011873">
          <w:marLeft w:val="0"/>
          <w:marRight w:val="0"/>
          <w:marTop w:val="0"/>
          <w:marBottom w:val="0"/>
          <w:divBdr>
            <w:top w:val="none" w:sz="0" w:space="0" w:color="auto"/>
            <w:left w:val="none" w:sz="0" w:space="0" w:color="auto"/>
            <w:bottom w:val="none" w:sz="0" w:space="0" w:color="auto"/>
            <w:right w:val="none" w:sz="0" w:space="0" w:color="auto"/>
          </w:divBdr>
        </w:div>
        <w:div w:id="865751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A5E4D-E9D9-4F5A-9755-FA9700AE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3203</Words>
  <Characters>17377</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2021-08-31T05:42:00Z</dcterms:created>
  <dcterms:modified xsi:type="dcterms:W3CDTF">2021-08-31T05:56:00Z</dcterms:modified>
</cp:coreProperties>
</file>