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7368" w14:textId="77777777" w:rsidR="005B3B4A" w:rsidRDefault="005B3B4A" w:rsidP="005B3B4A">
      <w:pPr>
        <w:pStyle w:val="FormTitle"/>
      </w:pPr>
      <w:bookmarkStart w:id="0" w:name="_GoBack"/>
      <w:r>
        <w:rPr>
          <w:noProof/>
        </w:rPr>
        <w:drawing>
          <wp:inline distT="0" distB="0" distL="0" distR="0" wp14:anchorId="33271B34" wp14:editId="7E4B6BDC">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bookmarkEnd w:id="0"/>
    </w:p>
    <w:p w14:paraId="35E9453B" w14:textId="77777777" w:rsidR="005B3B4A" w:rsidRDefault="005B3B4A" w:rsidP="005B3B4A">
      <w:pPr>
        <w:pStyle w:val="FormTitle"/>
        <w:rPr>
          <w:sz w:val="24"/>
          <w:szCs w:val="24"/>
        </w:rPr>
      </w:pPr>
    </w:p>
    <w:p w14:paraId="5111CA37" w14:textId="77777777" w:rsidR="005B3B4A" w:rsidRDefault="005B3B4A" w:rsidP="005B3B4A">
      <w:pPr>
        <w:pStyle w:val="FormTitle"/>
        <w:rPr>
          <w:sz w:val="24"/>
          <w:szCs w:val="24"/>
        </w:rPr>
      </w:pPr>
      <w:r>
        <w:rPr>
          <w:sz w:val="24"/>
          <w:szCs w:val="24"/>
        </w:rPr>
        <w:t xml:space="preserve">REPATRIATION MEDICAL AUTHORITY </w:t>
      </w:r>
    </w:p>
    <w:p w14:paraId="32877B65" w14:textId="77777777" w:rsidR="005B3B4A" w:rsidRDefault="005B3B4A" w:rsidP="005B3B4A">
      <w:pPr>
        <w:pStyle w:val="FormTitle"/>
        <w:rPr>
          <w:sz w:val="24"/>
          <w:szCs w:val="24"/>
        </w:rPr>
      </w:pPr>
      <w:r>
        <w:rPr>
          <w:sz w:val="24"/>
          <w:szCs w:val="24"/>
        </w:rPr>
        <w:t xml:space="preserve">Statement of Reasons </w:t>
      </w:r>
    </w:p>
    <w:p w14:paraId="12959C40" w14:textId="77777777" w:rsidR="005B3B4A" w:rsidRDefault="005B3B4A" w:rsidP="005B3B4A">
      <w:pPr>
        <w:pStyle w:val="FormTitle"/>
        <w:rPr>
          <w:i/>
          <w:sz w:val="24"/>
          <w:szCs w:val="24"/>
        </w:rPr>
      </w:pPr>
      <w:r>
        <w:rPr>
          <w:sz w:val="24"/>
          <w:szCs w:val="24"/>
        </w:rPr>
        <w:t xml:space="preserve">S </w:t>
      </w:r>
      <w:proofErr w:type="gramStart"/>
      <w:r>
        <w:rPr>
          <w:sz w:val="24"/>
          <w:szCs w:val="24"/>
        </w:rPr>
        <w:t>196B(</w:t>
      </w:r>
      <w:proofErr w:type="gramEnd"/>
      <w:r>
        <w:rPr>
          <w:sz w:val="24"/>
          <w:szCs w:val="24"/>
        </w:rPr>
        <w:t xml:space="preserve">9) </w:t>
      </w:r>
      <w:r>
        <w:rPr>
          <w:i/>
          <w:sz w:val="24"/>
          <w:szCs w:val="24"/>
        </w:rPr>
        <w:t>Veterans' Entitlements Act 1986</w:t>
      </w:r>
    </w:p>
    <w:p w14:paraId="2F5740F6" w14:textId="17940415" w:rsidR="005B3B4A" w:rsidRDefault="005B3B4A" w:rsidP="00597E44">
      <w:pPr>
        <w:pStyle w:val="FormTitle"/>
        <w:spacing w:after="0"/>
        <w:rPr>
          <w:rFonts w:ascii="Times New Roman" w:hAnsi="Times New Roman" w:cs="Times New Roman"/>
        </w:rPr>
      </w:pPr>
      <w:r>
        <w:rPr>
          <w:sz w:val="24"/>
          <w:szCs w:val="24"/>
        </w:rPr>
        <w:t xml:space="preserve">Decision not to amend the current Statement of Principles concerning </w:t>
      </w:r>
      <w:r w:rsidR="00132586">
        <w:rPr>
          <w:sz w:val="24"/>
          <w:szCs w:val="24"/>
        </w:rPr>
        <w:t>HYPERTENSION</w:t>
      </w:r>
      <w:r>
        <w:rPr>
          <w:sz w:val="24"/>
          <w:szCs w:val="24"/>
        </w:rPr>
        <w:t xml:space="preserve"> following a review </w:t>
      </w:r>
    </w:p>
    <w:p w14:paraId="7227F314" w14:textId="77777777" w:rsidR="00597E44" w:rsidRDefault="005B3B4A" w:rsidP="005B3B4A">
      <w:pPr>
        <w:pStyle w:val="TOC3"/>
        <w:jc w:val="center"/>
      </w:pPr>
      <w:r>
        <w:rPr>
          <w:sz w:val="22"/>
        </w:rPr>
        <w:t xml:space="preserve">Instrument No. </w:t>
      </w:r>
      <w:r w:rsidR="00132586">
        <w:rPr>
          <w:sz w:val="22"/>
        </w:rPr>
        <w:t>6</w:t>
      </w:r>
      <w:r>
        <w:rPr>
          <w:sz w:val="22"/>
        </w:rPr>
        <w:t>4 of 2013</w:t>
      </w:r>
      <w:r>
        <w:br w:type="page"/>
      </w:r>
      <w:r>
        <w:rPr>
          <w:rFonts w:ascii="Arial" w:hAnsi="Arial"/>
          <w:b/>
          <w:caps/>
          <w:szCs w:val="22"/>
        </w:rPr>
        <w:fldChar w:fldCharType="begin"/>
      </w:r>
      <w:r>
        <w:instrText xml:space="preserve"> TOC \h \z \t "Heading 2,4,Heading 3,5,Part Heading,3,Contents Heading,2,Alpha Heading,1" </w:instrText>
      </w:r>
      <w:r>
        <w:rPr>
          <w:rFonts w:ascii="Arial" w:hAnsi="Arial"/>
          <w:b/>
          <w:caps/>
          <w:szCs w:val="22"/>
        </w:rPr>
        <w:fldChar w:fldCharType="separate"/>
      </w:r>
    </w:p>
    <w:p w14:paraId="01A54439" w14:textId="23FE564E" w:rsidR="00597E44" w:rsidRDefault="00725836">
      <w:pPr>
        <w:pStyle w:val="TOC3"/>
        <w:rPr>
          <w:rFonts w:asciiTheme="minorHAnsi" w:eastAsiaTheme="minorEastAsia" w:hAnsiTheme="minorHAnsi" w:cstheme="minorBidi"/>
          <w:sz w:val="22"/>
          <w:szCs w:val="22"/>
        </w:rPr>
      </w:pPr>
      <w:hyperlink w:anchor="_Toc16844810" w:history="1">
        <w:r w:rsidR="00597E44" w:rsidRPr="00E14DC1">
          <w:rPr>
            <w:rStyle w:val="Hyperlink"/>
          </w:rPr>
          <w:t>Part  I</w:t>
        </w:r>
        <w:r w:rsidR="00597E44">
          <w:rPr>
            <w:rFonts w:asciiTheme="minorHAnsi" w:eastAsiaTheme="minorEastAsia" w:hAnsiTheme="minorHAnsi" w:cstheme="minorBidi"/>
            <w:sz w:val="22"/>
            <w:szCs w:val="22"/>
          </w:rPr>
          <w:tab/>
        </w:r>
        <w:r w:rsidR="00597E44" w:rsidRPr="00E14DC1">
          <w:rPr>
            <w:rStyle w:val="Hyperlink"/>
          </w:rPr>
          <w:t>Introduction</w:t>
        </w:r>
        <w:r w:rsidR="00597E44">
          <w:rPr>
            <w:webHidden/>
          </w:rPr>
          <w:tab/>
        </w:r>
        <w:r w:rsidR="00597E44">
          <w:rPr>
            <w:webHidden/>
          </w:rPr>
          <w:fldChar w:fldCharType="begin"/>
        </w:r>
        <w:r w:rsidR="00597E44">
          <w:rPr>
            <w:webHidden/>
          </w:rPr>
          <w:instrText xml:space="preserve"> PAGEREF _Toc16844810 \h </w:instrText>
        </w:r>
        <w:r w:rsidR="00597E44">
          <w:rPr>
            <w:webHidden/>
          </w:rPr>
        </w:r>
        <w:r w:rsidR="00597E44">
          <w:rPr>
            <w:webHidden/>
          </w:rPr>
          <w:fldChar w:fldCharType="separate"/>
        </w:r>
        <w:r>
          <w:rPr>
            <w:webHidden/>
          </w:rPr>
          <w:t>3</w:t>
        </w:r>
        <w:r w:rsidR="00597E44">
          <w:rPr>
            <w:webHidden/>
          </w:rPr>
          <w:fldChar w:fldCharType="end"/>
        </w:r>
      </w:hyperlink>
    </w:p>
    <w:p w14:paraId="3C36FF39" w14:textId="7A602AA1" w:rsidR="00597E44" w:rsidRDefault="00725836">
      <w:pPr>
        <w:pStyle w:val="TOC3"/>
        <w:rPr>
          <w:rFonts w:asciiTheme="minorHAnsi" w:eastAsiaTheme="minorEastAsia" w:hAnsiTheme="minorHAnsi" w:cstheme="minorBidi"/>
          <w:sz w:val="22"/>
          <w:szCs w:val="22"/>
        </w:rPr>
      </w:pPr>
      <w:hyperlink w:anchor="_Toc16844811" w:history="1">
        <w:r w:rsidR="00597E44" w:rsidRPr="00E14DC1">
          <w:rPr>
            <w:rStyle w:val="Hyperlink"/>
          </w:rPr>
          <w:t>Part  II</w:t>
        </w:r>
        <w:r w:rsidR="00597E44">
          <w:rPr>
            <w:rFonts w:asciiTheme="minorHAnsi" w:eastAsiaTheme="minorEastAsia" w:hAnsiTheme="minorHAnsi" w:cstheme="minorBidi"/>
            <w:sz w:val="22"/>
            <w:szCs w:val="22"/>
          </w:rPr>
          <w:tab/>
        </w:r>
        <w:r w:rsidR="00597E44" w:rsidRPr="00E14DC1">
          <w:rPr>
            <w:rStyle w:val="Hyperlink"/>
          </w:rPr>
          <w:t>Background to the Investigation</w:t>
        </w:r>
        <w:r w:rsidR="00597E44">
          <w:rPr>
            <w:webHidden/>
          </w:rPr>
          <w:tab/>
        </w:r>
        <w:r w:rsidR="00597E44">
          <w:rPr>
            <w:webHidden/>
          </w:rPr>
          <w:fldChar w:fldCharType="begin"/>
        </w:r>
        <w:r w:rsidR="00597E44">
          <w:rPr>
            <w:webHidden/>
          </w:rPr>
          <w:instrText xml:space="preserve"> PAGEREF _Toc16844811 \h </w:instrText>
        </w:r>
        <w:r w:rsidR="00597E44">
          <w:rPr>
            <w:webHidden/>
          </w:rPr>
        </w:r>
        <w:r w:rsidR="00597E44">
          <w:rPr>
            <w:webHidden/>
          </w:rPr>
          <w:fldChar w:fldCharType="separate"/>
        </w:r>
        <w:r>
          <w:rPr>
            <w:webHidden/>
          </w:rPr>
          <w:t>3</w:t>
        </w:r>
        <w:r w:rsidR="00597E44">
          <w:rPr>
            <w:webHidden/>
          </w:rPr>
          <w:fldChar w:fldCharType="end"/>
        </w:r>
      </w:hyperlink>
    </w:p>
    <w:p w14:paraId="24E9F03F" w14:textId="648DD5FB" w:rsidR="00597E44" w:rsidRDefault="00725836">
      <w:pPr>
        <w:pStyle w:val="TOC3"/>
        <w:rPr>
          <w:rFonts w:asciiTheme="minorHAnsi" w:eastAsiaTheme="minorEastAsia" w:hAnsiTheme="minorHAnsi" w:cstheme="minorBidi"/>
          <w:sz w:val="22"/>
          <w:szCs w:val="22"/>
        </w:rPr>
      </w:pPr>
      <w:hyperlink w:anchor="_Toc16844812" w:history="1">
        <w:r w:rsidR="00597E44" w:rsidRPr="00E14DC1">
          <w:rPr>
            <w:rStyle w:val="Hyperlink"/>
          </w:rPr>
          <w:t>Part  III</w:t>
        </w:r>
        <w:r w:rsidR="00597E44">
          <w:rPr>
            <w:rFonts w:asciiTheme="minorHAnsi" w:eastAsiaTheme="minorEastAsia" w:hAnsiTheme="minorHAnsi" w:cstheme="minorBidi"/>
            <w:sz w:val="22"/>
            <w:szCs w:val="22"/>
          </w:rPr>
          <w:tab/>
        </w:r>
        <w:r w:rsidR="00597E44" w:rsidRPr="00E14DC1">
          <w:rPr>
            <w:rStyle w:val="Hyperlink"/>
          </w:rPr>
          <w:t>Submissions received by the Authority pursuant to section 196F</w:t>
        </w:r>
        <w:r w:rsidR="00597E44">
          <w:rPr>
            <w:webHidden/>
          </w:rPr>
          <w:tab/>
        </w:r>
        <w:r w:rsidR="00597E44">
          <w:rPr>
            <w:webHidden/>
          </w:rPr>
          <w:fldChar w:fldCharType="begin"/>
        </w:r>
        <w:r w:rsidR="00597E44">
          <w:rPr>
            <w:webHidden/>
          </w:rPr>
          <w:instrText xml:space="preserve"> PAGEREF _Toc16844812 \h </w:instrText>
        </w:r>
        <w:r w:rsidR="00597E44">
          <w:rPr>
            <w:webHidden/>
          </w:rPr>
        </w:r>
        <w:r w:rsidR="00597E44">
          <w:rPr>
            <w:webHidden/>
          </w:rPr>
          <w:fldChar w:fldCharType="separate"/>
        </w:r>
        <w:r>
          <w:rPr>
            <w:webHidden/>
          </w:rPr>
          <w:t>3</w:t>
        </w:r>
        <w:r w:rsidR="00597E44">
          <w:rPr>
            <w:webHidden/>
          </w:rPr>
          <w:fldChar w:fldCharType="end"/>
        </w:r>
      </w:hyperlink>
    </w:p>
    <w:p w14:paraId="3DB26B37" w14:textId="107EBAC6" w:rsidR="00597E44" w:rsidRDefault="00725836">
      <w:pPr>
        <w:pStyle w:val="TOC3"/>
        <w:rPr>
          <w:rFonts w:asciiTheme="minorHAnsi" w:eastAsiaTheme="minorEastAsia" w:hAnsiTheme="minorHAnsi" w:cstheme="minorBidi"/>
          <w:sz w:val="22"/>
          <w:szCs w:val="22"/>
        </w:rPr>
      </w:pPr>
      <w:hyperlink w:anchor="_Toc16844813" w:history="1">
        <w:r w:rsidR="00597E44" w:rsidRPr="00E14DC1">
          <w:rPr>
            <w:rStyle w:val="Hyperlink"/>
          </w:rPr>
          <w:t>Part  IV</w:t>
        </w:r>
        <w:r w:rsidR="00597E44">
          <w:rPr>
            <w:rFonts w:asciiTheme="minorHAnsi" w:eastAsiaTheme="minorEastAsia" w:hAnsiTheme="minorHAnsi" w:cstheme="minorBidi"/>
            <w:sz w:val="22"/>
            <w:szCs w:val="22"/>
          </w:rPr>
          <w:tab/>
        </w:r>
        <w:r w:rsidR="00597E44" w:rsidRPr="00E14DC1">
          <w:rPr>
            <w:rStyle w:val="Hyperlink"/>
          </w:rPr>
          <w:t>Evidence/Information Available to the Repatriation Medical Authority</w:t>
        </w:r>
        <w:r w:rsidR="00597E44">
          <w:rPr>
            <w:webHidden/>
          </w:rPr>
          <w:tab/>
        </w:r>
        <w:r w:rsidR="00597E44">
          <w:rPr>
            <w:webHidden/>
          </w:rPr>
          <w:fldChar w:fldCharType="begin"/>
        </w:r>
        <w:r w:rsidR="00597E44">
          <w:rPr>
            <w:webHidden/>
          </w:rPr>
          <w:instrText xml:space="preserve"> PAGEREF _Toc16844813 \h </w:instrText>
        </w:r>
        <w:r w:rsidR="00597E44">
          <w:rPr>
            <w:webHidden/>
          </w:rPr>
        </w:r>
        <w:r w:rsidR="00597E44">
          <w:rPr>
            <w:webHidden/>
          </w:rPr>
          <w:fldChar w:fldCharType="separate"/>
        </w:r>
        <w:r>
          <w:rPr>
            <w:webHidden/>
          </w:rPr>
          <w:t>3</w:t>
        </w:r>
        <w:r w:rsidR="00597E44">
          <w:rPr>
            <w:webHidden/>
          </w:rPr>
          <w:fldChar w:fldCharType="end"/>
        </w:r>
      </w:hyperlink>
    </w:p>
    <w:p w14:paraId="00C7FE04" w14:textId="0F2D34C6" w:rsidR="00597E44" w:rsidRDefault="00725836">
      <w:pPr>
        <w:pStyle w:val="TOC3"/>
        <w:rPr>
          <w:rFonts w:asciiTheme="minorHAnsi" w:eastAsiaTheme="minorEastAsia" w:hAnsiTheme="minorHAnsi" w:cstheme="minorBidi"/>
          <w:sz w:val="22"/>
          <w:szCs w:val="22"/>
        </w:rPr>
      </w:pPr>
      <w:hyperlink w:anchor="_Toc16844814" w:history="1">
        <w:r w:rsidR="00597E44" w:rsidRPr="00E14DC1">
          <w:rPr>
            <w:rStyle w:val="Hyperlink"/>
          </w:rPr>
          <w:t>Part  V</w:t>
        </w:r>
        <w:r w:rsidR="00597E44">
          <w:rPr>
            <w:rFonts w:asciiTheme="minorHAnsi" w:eastAsiaTheme="minorEastAsia" w:hAnsiTheme="minorHAnsi" w:cstheme="minorBidi"/>
            <w:sz w:val="22"/>
            <w:szCs w:val="22"/>
          </w:rPr>
          <w:tab/>
        </w:r>
        <w:r w:rsidR="00597E44" w:rsidRPr="00E14DC1">
          <w:rPr>
            <w:rStyle w:val="Hyperlink"/>
          </w:rPr>
          <w:t>Sound medical-scientific evidence</w:t>
        </w:r>
        <w:r w:rsidR="00597E44">
          <w:rPr>
            <w:webHidden/>
          </w:rPr>
          <w:tab/>
        </w:r>
        <w:r w:rsidR="00597E44">
          <w:rPr>
            <w:webHidden/>
          </w:rPr>
          <w:fldChar w:fldCharType="begin"/>
        </w:r>
        <w:r w:rsidR="00597E44">
          <w:rPr>
            <w:webHidden/>
          </w:rPr>
          <w:instrText xml:space="preserve"> PAGEREF _Toc16844814 \h </w:instrText>
        </w:r>
        <w:r w:rsidR="00597E44">
          <w:rPr>
            <w:webHidden/>
          </w:rPr>
        </w:r>
        <w:r w:rsidR="00597E44">
          <w:rPr>
            <w:webHidden/>
          </w:rPr>
          <w:fldChar w:fldCharType="separate"/>
        </w:r>
        <w:r>
          <w:rPr>
            <w:webHidden/>
          </w:rPr>
          <w:t>4</w:t>
        </w:r>
        <w:r w:rsidR="00597E44">
          <w:rPr>
            <w:webHidden/>
          </w:rPr>
          <w:fldChar w:fldCharType="end"/>
        </w:r>
      </w:hyperlink>
    </w:p>
    <w:p w14:paraId="13689B8C" w14:textId="5796F44F" w:rsidR="00597E44" w:rsidRDefault="00725836">
      <w:pPr>
        <w:pStyle w:val="TOC3"/>
        <w:rPr>
          <w:rFonts w:asciiTheme="minorHAnsi" w:eastAsiaTheme="minorEastAsia" w:hAnsiTheme="minorHAnsi" w:cstheme="minorBidi"/>
          <w:sz w:val="22"/>
          <w:szCs w:val="22"/>
        </w:rPr>
      </w:pPr>
      <w:hyperlink w:anchor="_Toc16844815" w:history="1">
        <w:r w:rsidR="00597E44" w:rsidRPr="00E14DC1">
          <w:rPr>
            <w:rStyle w:val="Hyperlink"/>
          </w:rPr>
          <w:t>Part  VI</w:t>
        </w:r>
        <w:r w:rsidR="00597E44">
          <w:rPr>
            <w:rFonts w:asciiTheme="minorHAnsi" w:eastAsiaTheme="minorEastAsia" w:hAnsiTheme="minorHAnsi" w:cstheme="minorBidi"/>
            <w:sz w:val="22"/>
            <w:szCs w:val="22"/>
          </w:rPr>
          <w:tab/>
        </w:r>
        <w:r w:rsidR="00597E44" w:rsidRPr="00E14DC1">
          <w:rPr>
            <w:rStyle w:val="Hyperlink"/>
          </w:rPr>
          <w:t>Reasons for the decision</w:t>
        </w:r>
        <w:r w:rsidR="00597E44">
          <w:rPr>
            <w:webHidden/>
          </w:rPr>
          <w:tab/>
        </w:r>
        <w:r w:rsidR="00597E44">
          <w:rPr>
            <w:webHidden/>
          </w:rPr>
          <w:fldChar w:fldCharType="begin"/>
        </w:r>
        <w:r w:rsidR="00597E44">
          <w:rPr>
            <w:webHidden/>
          </w:rPr>
          <w:instrText xml:space="preserve"> PAGEREF _Toc16844815 \h </w:instrText>
        </w:r>
        <w:r w:rsidR="00597E44">
          <w:rPr>
            <w:webHidden/>
          </w:rPr>
        </w:r>
        <w:r w:rsidR="00597E44">
          <w:rPr>
            <w:webHidden/>
          </w:rPr>
          <w:fldChar w:fldCharType="separate"/>
        </w:r>
        <w:r>
          <w:rPr>
            <w:webHidden/>
          </w:rPr>
          <w:t>4</w:t>
        </w:r>
        <w:r w:rsidR="00597E44">
          <w:rPr>
            <w:webHidden/>
          </w:rPr>
          <w:fldChar w:fldCharType="end"/>
        </w:r>
      </w:hyperlink>
    </w:p>
    <w:p w14:paraId="2F241743" w14:textId="61B4DA5D" w:rsidR="00597E44" w:rsidRDefault="00725836">
      <w:pPr>
        <w:pStyle w:val="TOC3"/>
        <w:rPr>
          <w:rFonts w:asciiTheme="minorHAnsi" w:eastAsiaTheme="minorEastAsia" w:hAnsiTheme="minorHAnsi" w:cstheme="minorBidi"/>
          <w:sz w:val="22"/>
          <w:szCs w:val="22"/>
        </w:rPr>
      </w:pPr>
      <w:hyperlink w:anchor="_Toc16844816" w:history="1">
        <w:r w:rsidR="00597E44" w:rsidRPr="00E14DC1">
          <w:rPr>
            <w:rStyle w:val="Hyperlink"/>
          </w:rPr>
          <w:t>Part  VII</w:t>
        </w:r>
        <w:r w:rsidR="00597E44">
          <w:rPr>
            <w:rFonts w:asciiTheme="minorHAnsi" w:eastAsiaTheme="minorEastAsia" w:hAnsiTheme="minorHAnsi" w:cstheme="minorBidi"/>
            <w:sz w:val="22"/>
            <w:szCs w:val="22"/>
          </w:rPr>
          <w:tab/>
        </w:r>
        <w:r w:rsidR="00597E44" w:rsidRPr="00E14DC1">
          <w:rPr>
            <w:rStyle w:val="Hyperlink"/>
          </w:rPr>
          <w:t>Summary and conclusions</w:t>
        </w:r>
        <w:r w:rsidR="00597E44">
          <w:rPr>
            <w:webHidden/>
          </w:rPr>
          <w:tab/>
        </w:r>
        <w:r w:rsidR="00597E44">
          <w:rPr>
            <w:webHidden/>
          </w:rPr>
          <w:fldChar w:fldCharType="begin"/>
        </w:r>
        <w:r w:rsidR="00597E44">
          <w:rPr>
            <w:webHidden/>
          </w:rPr>
          <w:instrText xml:space="preserve"> PAGEREF _Toc16844816 \h </w:instrText>
        </w:r>
        <w:r w:rsidR="00597E44">
          <w:rPr>
            <w:webHidden/>
          </w:rPr>
        </w:r>
        <w:r w:rsidR="00597E44">
          <w:rPr>
            <w:webHidden/>
          </w:rPr>
          <w:fldChar w:fldCharType="separate"/>
        </w:r>
        <w:r>
          <w:rPr>
            <w:webHidden/>
          </w:rPr>
          <w:t>6</w:t>
        </w:r>
        <w:r w:rsidR="00597E44">
          <w:rPr>
            <w:webHidden/>
          </w:rPr>
          <w:fldChar w:fldCharType="end"/>
        </w:r>
      </w:hyperlink>
    </w:p>
    <w:p w14:paraId="169D3CAC" w14:textId="507E9119" w:rsidR="00597E44" w:rsidRDefault="00725836">
      <w:pPr>
        <w:pStyle w:val="TOC3"/>
        <w:rPr>
          <w:rFonts w:asciiTheme="minorHAnsi" w:eastAsiaTheme="minorEastAsia" w:hAnsiTheme="minorHAnsi" w:cstheme="minorBidi"/>
          <w:sz w:val="22"/>
          <w:szCs w:val="22"/>
        </w:rPr>
      </w:pPr>
      <w:hyperlink w:anchor="_Toc16844817" w:history="1">
        <w:r w:rsidR="00597E44" w:rsidRPr="00E14DC1">
          <w:rPr>
            <w:rStyle w:val="Hyperlink"/>
          </w:rPr>
          <w:t>Part  VIII</w:t>
        </w:r>
        <w:r w:rsidR="00597E44">
          <w:rPr>
            <w:rFonts w:asciiTheme="minorHAnsi" w:eastAsiaTheme="minorEastAsia" w:hAnsiTheme="minorHAnsi" w:cstheme="minorBidi"/>
            <w:sz w:val="22"/>
            <w:szCs w:val="22"/>
          </w:rPr>
          <w:tab/>
        </w:r>
        <w:r w:rsidR="00597E44" w:rsidRPr="00E14DC1">
          <w:rPr>
            <w:rStyle w:val="Hyperlink"/>
          </w:rPr>
          <w:t>Decision not to amend Instrument No. 64 of 2013</w:t>
        </w:r>
        <w:r w:rsidR="00597E44">
          <w:rPr>
            <w:webHidden/>
          </w:rPr>
          <w:tab/>
        </w:r>
        <w:r w:rsidR="00597E44">
          <w:rPr>
            <w:webHidden/>
          </w:rPr>
          <w:fldChar w:fldCharType="begin"/>
        </w:r>
        <w:r w:rsidR="00597E44">
          <w:rPr>
            <w:webHidden/>
          </w:rPr>
          <w:instrText xml:space="preserve"> PAGEREF _Toc16844817 \h </w:instrText>
        </w:r>
        <w:r w:rsidR="00597E44">
          <w:rPr>
            <w:webHidden/>
          </w:rPr>
        </w:r>
        <w:r w:rsidR="00597E44">
          <w:rPr>
            <w:webHidden/>
          </w:rPr>
          <w:fldChar w:fldCharType="separate"/>
        </w:r>
        <w:r>
          <w:rPr>
            <w:webHidden/>
          </w:rPr>
          <w:t>7</w:t>
        </w:r>
        <w:r w:rsidR="00597E44">
          <w:rPr>
            <w:webHidden/>
          </w:rPr>
          <w:fldChar w:fldCharType="end"/>
        </w:r>
      </w:hyperlink>
    </w:p>
    <w:p w14:paraId="292D4DB8" w14:textId="39D284CE" w:rsidR="00597E44" w:rsidRDefault="00725836">
      <w:pPr>
        <w:pStyle w:val="TOC3"/>
        <w:rPr>
          <w:rFonts w:asciiTheme="minorHAnsi" w:eastAsiaTheme="minorEastAsia" w:hAnsiTheme="minorHAnsi" w:cstheme="minorBidi"/>
          <w:sz w:val="22"/>
          <w:szCs w:val="22"/>
        </w:rPr>
      </w:pPr>
      <w:hyperlink w:anchor="_Toc16844818" w:history="1">
        <w:r w:rsidR="00597E44" w:rsidRPr="00E14DC1">
          <w:rPr>
            <w:rStyle w:val="Hyperlink"/>
          </w:rPr>
          <w:t>Part  IX</w:t>
        </w:r>
        <w:r w:rsidR="00597E44">
          <w:rPr>
            <w:rFonts w:asciiTheme="minorHAnsi" w:eastAsiaTheme="minorEastAsia" w:hAnsiTheme="minorHAnsi" w:cstheme="minorBidi"/>
            <w:sz w:val="22"/>
            <w:szCs w:val="22"/>
          </w:rPr>
          <w:tab/>
        </w:r>
        <w:r w:rsidR="00597E44" w:rsidRPr="00E14DC1">
          <w:rPr>
            <w:rStyle w:val="Hyperlink"/>
          </w:rPr>
          <w:t>Bibliography</w:t>
        </w:r>
        <w:r w:rsidR="00597E44">
          <w:rPr>
            <w:webHidden/>
          </w:rPr>
          <w:tab/>
        </w:r>
        <w:r w:rsidR="00597E44">
          <w:rPr>
            <w:webHidden/>
          </w:rPr>
          <w:fldChar w:fldCharType="begin"/>
        </w:r>
        <w:r w:rsidR="00597E44">
          <w:rPr>
            <w:webHidden/>
          </w:rPr>
          <w:instrText xml:space="preserve"> PAGEREF _Toc16844818 \h </w:instrText>
        </w:r>
        <w:r w:rsidR="00597E44">
          <w:rPr>
            <w:webHidden/>
          </w:rPr>
        </w:r>
        <w:r w:rsidR="00597E44">
          <w:rPr>
            <w:webHidden/>
          </w:rPr>
          <w:fldChar w:fldCharType="separate"/>
        </w:r>
        <w:r>
          <w:rPr>
            <w:webHidden/>
          </w:rPr>
          <w:t>8</w:t>
        </w:r>
        <w:r w:rsidR="00597E44">
          <w:rPr>
            <w:webHidden/>
          </w:rPr>
          <w:fldChar w:fldCharType="end"/>
        </w:r>
      </w:hyperlink>
    </w:p>
    <w:p w14:paraId="139A361B" w14:textId="77777777" w:rsidR="005B3B4A" w:rsidRDefault="005B3B4A" w:rsidP="005B3B4A">
      <w:r>
        <w:fldChar w:fldCharType="end"/>
      </w:r>
    </w:p>
    <w:p w14:paraId="1E1A72CB" w14:textId="77777777" w:rsidR="005B3B4A" w:rsidRDefault="005B3B4A" w:rsidP="005B3B4A">
      <w:pPr>
        <w:pStyle w:val="FormTitle"/>
      </w:pPr>
    </w:p>
    <w:p w14:paraId="77B28612" w14:textId="77777777" w:rsidR="005B3B4A" w:rsidRDefault="005B3B4A" w:rsidP="005B3B4A">
      <w:pPr>
        <w:pStyle w:val="FormTitle"/>
      </w:pPr>
    </w:p>
    <w:p w14:paraId="16CE66D0" w14:textId="77777777" w:rsidR="005B3B4A" w:rsidRDefault="005B3B4A" w:rsidP="005B3B4A">
      <w:pPr>
        <w:pStyle w:val="FormTitle"/>
      </w:pPr>
      <w:r>
        <w:rPr>
          <w:b w:val="0"/>
          <w:caps w:val="0"/>
        </w:rPr>
        <w:br w:type="page"/>
      </w:r>
    </w:p>
    <w:p w14:paraId="074B0039" w14:textId="77777777" w:rsidR="005B3B4A" w:rsidRDefault="005B3B4A" w:rsidP="005B3B4A">
      <w:pPr>
        <w:pStyle w:val="PartHeading"/>
        <w:numPr>
          <w:ilvl w:val="0"/>
          <w:numId w:val="16"/>
        </w:numPr>
      </w:pPr>
      <w:bookmarkStart w:id="1" w:name="InsertFileHere"/>
      <w:bookmarkStart w:id="2" w:name="TOC"/>
      <w:bookmarkStart w:id="3" w:name="_Toc16844810"/>
      <w:bookmarkEnd w:id="1"/>
      <w:bookmarkEnd w:id="2"/>
      <w:r>
        <w:lastRenderedPageBreak/>
        <w:t>INTRODUCTION</w:t>
      </w:r>
      <w:bookmarkEnd w:id="3"/>
    </w:p>
    <w:p w14:paraId="72C8DF80" w14:textId="77777777" w:rsidR="004D78C0" w:rsidRDefault="004D78C0" w:rsidP="004D78C0">
      <w:pPr>
        <w:pStyle w:val="NumberLevel1"/>
        <w:numPr>
          <w:ilvl w:val="0"/>
          <w:numId w:val="17"/>
        </w:numPr>
        <w:jc w:val="both"/>
      </w:pPr>
      <w:r>
        <w:t xml:space="preserve">The Repatriation Medical Authority (the Authority) pursuant to subsection 196B(9) of the </w:t>
      </w:r>
      <w:r>
        <w:rPr>
          <w:i/>
        </w:rPr>
        <w:t>Veterans' Entitlements Act 1986</w:t>
      </w:r>
      <w:r>
        <w:t xml:space="preserve"> (the VEA), has decided not to amend Statement of Principles concerning hypertension, Instrument No. 64 of 2013, following an investigation which was notified in the </w:t>
      </w:r>
      <w:r>
        <w:rPr>
          <w:i/>
        </w:rPr>
        <w:t>Commonwealth of Australia Gazette</w:t>
      </w:r>
      <w:r>
        <w:t xml:space="preserve"> on 8 January 2019.</w:t>
      </w:r>
    </w:p>
    <w:p w14:paraId="1F331695" w14:textId="77777777" w:rsidR="004D78C0" w:rsidRDefault="004D78C0" w:rsidP="004D78C0">
      <w:pPr>
        <w:pStyle w:val="NumberLevel1"/>
        <w:numPr>
          <w:ilvl w:val="0"/>
          <w:numId w:val="17"/>
        </w:numPr>
        <w:jc w:val="both"/>
      </w:pPr>
      <w:r>
        <w:t xml:space="preserve">Having carried out the investigation as notified, the Authority concluded that the sound medical-scientific evidence available to it, </w:t>
      </w:r>
      <w:r w:rsidRPr="00B95069">
        <w:t>including the new sound medical-scientific evidence</w:t>
      </w:r>
      <w:r>
        <w:t xml:space="preserve">, is sufficient to justify the inclusion of factors relating to </w:t>
      </w:r>
      <w:r w:rsidRPr="00132586">
        <w:t xml:space="preserve">exposure to </w:t>
      </w:r>
      <w:proofErr w:type="spellStart"/>
      <w:r w:rsidRPr="00132586">
        <w:t>phenoxyherbicides</w:t>
      </w:r>
      <w:proofErr w:type="spellEnd"/>
      <w:r w:rsidRPr="00132586">
        <w:t>/dioxin (Agent Orange)</w:t>
      </w:r>
      <w:r>
        <w:t xml:space="preserve"> in Statement of Principles Instrument No. 63 of 2013. However the sound medical-scientific evidence available to it, </w:t>
      </w:r>
      <w:r w:rsidRPr="00B95069">
        <w:t>including the new sound medical-scientific evidence,</w:t>
      </w:r>
      <w:r>
        <w:t xml:space="preserve"> is insufficient to justify inclusion of factors concerning </w:t>
      </w:r>
      <w:r w:rsidRPr="00132586">
        <w:t xml:space="preserve">exposure to </w:t>
      </w:r>
      <w:proofErr w:type="spellStart"/>
      <w:r w:rsidRPr="00132586">
        <w:t>phenoxyherbicides</w:t>
      </w:r>
      <w:proofErr w:type="spellEnd"/>
      <w:r w:rsidRPr="00132586">
        <w:t>/dioxin (Agent Orange)</w:t>
      </w:r>
      <w:r>
        <w:t xml:space="preserve"> in Statement of Principles Instrument No. 64 of 2013.</w:t>
      </w:r>
    </w:p>
    <w:p w14:paraId="05F606F5" w14:textId="77777777" w:rsidR="004D78C0" w:rsidRDefault="004D78C0" w:rsidP="004D78C0">
      <w:pPr>
        <w:pStyle w:val="PartHeading"/>
        <w:numPr>
          <w:ilvl w:val="0"/>
          <w:numId w:val="16"/>
        </w:numPr>
        <w:spacing w:before="360"/>
      </w:pPr>
      <w:bookmarkStart w:id="4" w:name="_Toc14446403"/>
      <w:bookmarkStart w:id="5" w:name="_Toc16844811"/>
      <w:r>
        <w:t>Background to the Investigation</w:t>
      </w:r>
      <w:bookmarkEnd w:id="4"/>
      <w:bookmarkEnd w:id="5"/>
      <w:r>
        <w:t xml:space="preserve"> </w:t>
      </w:r>
    </w:p>
    <w:p w14:paraId="4A759AA7" w14:textId="77777777" w:rsidR="004D78C0" w:rsidRDefault="004D78C0" w:rsidP="004D78C0">
      <w:pPr>
        <w:pStyle w:val="NumberLevel1"/>
        <w:numPr>
          <w:ilvl w:val="0"/>
          <w:numId w:val="17"/>
        </w:numPr>
      </w:pPr>
      <w:r>
        <w:t xml:space="preserve">The Authority decided on its own initiative to notify a review of the contents of the Statements of Principles concerning hypertension, </w:t>
      </w:r>
      <w:r>
        <w:rPr>
          <w:lang w:val="en"/>
        </w:rPr>
        <w:t xml:space="preserve">based on the recently published United States National Academies of Sciences, Engineering, and Medicines’ </w:t>
      </w:r>
      <w:r w:rsidRPr="000209E6">
        <w:rPr>
          <w:i/>
          <w:lang w:val="en"/>
        </w:rPr>
        <w:t>Veterans and Agent Orange: Update 11 (2018)</w:t>
      </w:r>
      <w:r>
        <w:rPr>
          <w:lang w:val="en"/>
        </w:rPr>
        <w:t xml:space="preserve">. The review was </w:t>
      </w:r>
      <w:r>
        <w:t>restricted to consideration of "</w:t>
      </w:r>
      <w:r w:rsidRPr="00132586">
        <w:t xml:space="preserve">exposure to </w:t>
      </w:r>
      <w:proofErr w:type="spellStart"/>
      <w:r w:rsidRPr="00132586">
        <w:t>phenoxyherbicides</w:t>
      </w:r>
      <w:proofErr w:type="spellEnd"/>
      <w:r w:rsidRPr="00132586">
        <w:t>/dioxin (Agent Orange)</w:t>
      </w:r>
      <w:r>
        <w:t xml:space="preserve">" as a causal factor.  </w:t>
      </w:r>
    </w:p>
    <w:p w14:paraId="1CBAD49C" w14:textId="1E7DBDE1" w:rsidR="004D78C0" w:rsidRDefault="004D78C0" w:rsidP="004D78C0">
      <w:pPr>
        <w:pStyle w:val="NumberLevel1"/>
        <w:numPr>
          <w:ilvl w:val="0"/>
          <w:numId w:val="17"/>
        </w:numPr>
        <w:jc w:val="both"/>
      </w:pPr>
      <w:r>
        <w:t>On 12 December 2018, the Authority, under s 196B(7A) of the VEA, decided to review the contents of the Statements of Principles, Instrument Nos. 63 and 64 of 2013, to find out if there was new information in respect of "</w:t>
      </w:r>
      <w:r w:rsidRPr="00132586">
        <w:t xml:space="preserve">exposure to </w:t>
      </w:r>
      <w:proofErr w:type="spellStart"/>
      <w:r w:rsidRPr="00132586">
        <w:t>phenoxyherbicides</w:t>
      </w:r>
      <w:proofErr w:type="spellEnd"/>
      <w:r w:rsidRPr="00132586">
        <w:t>/dioxin (Agent Orange)</w:t>
      </w:r>
      <w:r>
        <w:t>" as a factor in hypertension.</w:t>
      </w:r>
    </w:p>
    <w:p w14:paraId="467B1347" w14:textId="0398024B" w:rsidR="004D78C0" w:rsidRDefault="004D78C0" w:rsidP="004D78C0">
      <w:pPr>
        <w:pStyle w:val="NumberLevel1"/>
        <w:numPr>
          <w:ilvl w:val="0"/>
          <w:numId w:val="17"/>
        </w:numPr>
        <w:jc w:val="both"/>
      </w:pPr>
      <w:r>
        <w:t xml:space="preserve">The investigation notice was signed by the Chairperson of the Authority on 21 December 2018 and was gazetted in accordance with s 196G of the VEA in the </w:t>
      </w:r>
      <w:r>
        <w:rPr>
          <w:i/>
        </w:rPr>
        <w:t>Commonwealth of Australia Gazette</w:t>
      </w:r>
      <w:r>
        <w:t xml:space="preserve"> on 8 January 2019. Submissions were invited from persons and organisations wishing to make a submission by 18 March 2019.</w:t>
      </w:r>
    </w:p>
    <w:p w14:paraId="7A9F63E1" w14:textId="77777777" w:rsidR="004D78C0" w:rsidRDefault="004D78C0" w:rsidP="004D78C0">
      <w:pPr>
        <w:pStyle w:val="PartHeading"/>
        <w:numPr>
          <w:ilvl w:val="0"/>
          <w:numId w:val="16"/>
        </w:numPr>
        <w:spacing w:before="360"/>
      </w:pPr>
      <w:bookmarkStart w:id="6" w:name="_Toc14446404"/>
      <w:bookmarkStart w:id="7" w:name="_Toc16844812"/>
      <w:r>
        <w:t>Submissions received by the Authority pursuant to section 196F</w:t>
      </w:r>
      <w:bookmarkEnd w:id="6"/>
      <w:bookmarkEnd w:id="7"/>
    </w:p>
    <w:p w14:paraId="4FC7ADD1" w14:textId="472BA60E" w:rsidR="004D78C0" w:rsidRDefault="004D78C0" w:rsidP="004D78C0">
      <w:pPr>
        <w:pStyle w:val="NumberLevel1"/>
        <w:numPr>
          <w:ilvl w:val="0"/>
          <w:numId w:val="17"/>
        </w:numPr>
        <w:jc w:val="both"/>
        <w:rPr>
          <w:rFonts w:ascii="Times New Roman" w:hAnsi="Times New Roman" w:cs="Times New Roman"/>
          <w:sz w:val="24"/>
          <w:szCs w:val="24"/>
        </w:rPr>
      </w:pPr>
      <w:r>
        <w:t>Following notification of its investigation, the Authority did not receive any information from persons eligible to make submissions pursuant to s 196F of the VEA.</w:t>
      </w:r>
    </w:p>
    <w:p w14:paraId="3A64072A" w14:textId="77777777" w:rsidR="004D78C0" w:rsidRDefault="004D78C0" w:rsidP="004D78C0">
      <w:pPr>
        <w:pStyle w:val="PartHeading"/>
        <w:numPr>
          <w:ilvl w:val="0"/>
          <w:numId w:val="16"/>
        </w:numPr>
        <w:spacing w:before="360"/>
      </w:pPr>
      <w:bookmarkStart w:id="8" w:name="_Toc14446405"/>
      <w:bookmarkStart w:id="9" w:name="_Toc16844813"/>
      <w:r>
        <w:t>Evidence/Information Available to the Repatriation Medical Authority</w:t>
      </w:r>
      <w:bookmarkEnd w:id="8"/>
      <w:bookmarkEnd w:id="9"/>
      <w:r>
        <w:t xml:space="preserve"> </w:t>
      </w:r>
    </w:p>
    <w:p w14:paraId="2A73A0BD" w14:textId="77777777" w:rsidR="004D78C0" w:rsidRDefault="004D78C0" w:rsidP="004D78C0">
      <w:pPr>
        <w:pStyle w:val="NumberLevel1"/>
        <w:keepNext/>
        <w:keepLines/>
        <w:numPr>
          <w:ilvl w:val="0"/>
          <w:numId w:val="17"/>
        </w:numPr>
        <w:jc w:val="both"/>
      </w:pPr>
      <w:r>
        <w:t>The following information was available to the Authority:</w:t>
      </w:r>
    </w:p>
    <w:p w14:paraId="30EA3B44" w14:textId="77777777" w:rsidR="004D78C0" w:rsidRDefault="004D78C0" w:rsidP="004D78C0">
      <w:pPr>
        <w:pStyle w:val="NumberLevel2"/>
        <w:numPr>
          <w:ilvl w:val="1"/>
          <w:numId w:val="17"/>
        </w:numPr>
        <w:jc w:val="both"/>
      </w:pPr>
      <w:r>
        <w:t>The information held by the Authority and obtained during its previous considerations leading to the determination of Statements of Principles concerning hypertension, Instrument Nos. 63 and 64 of 2013.</w:t>
      </w:r>
    </w:p>
    <w:p w14:paraId="5F465A59" w14:textId="350406F4" w:rsidR="000209E6" w:rsidRDefault="004D78C0" w:rsidP="000209E6">
      <w:pPr>
        <w:pStyle w:val="NumberLevel2"/>
        <w:numPr>
          <w:ilvl w:val="1"/>
          <w:numId w:val="17"/>
        </w:numPr>
        <w:jc w:val="both"/>
      </w:pPr>
      <w:r>
        <w:lastRenderedPageBreak/>
        <w:t>A PubMed search was conducted on 11 February 2019 using the search terms ("hypertension"[</w:t>
      </w:r>
      <w:proofErr w:type="spellStart"/>
      <w:r>
        <w:t>MeSH</w:t>
      </w:r>
      <w:proofErr w:type="spellEnd"/>
      <w:r>
        <w:t xml:space="preserve"> Terms] OR "hypertension"[All Fields]) AND ("herbicides"[Pharmacological Action] OR "herbicides"[</w:t>
      </w:r>
      <w:proofErr w:type="spellStart"/>
      <w:r>
        <w:t>MeSH</w:t>
      </w:r>
      <w:proofErr w:type="spellEnd"/>
      <w:r>
        <w:t xml:space="preserve"> Terms] OR "herbicides"[All Fields] OR "herbicide"[All Fields]).  A total of 127 references was generated.  A further PubMed search using the search terms ("hypertension"[</w:t>
      </w:r>
      <w:proofErr w:type="spellStart"/>
      <w:r>
        <w:t>MeSH</w:t>
      </w:r>
      <w:proofErr w:type="spellEnd"/>
      <w:r>
        <w:t xml:space="preserve"> Terms] OR "hypertension"[All Fields]) AND ("pesticides"[Pharmacological Action] OR "pesticides"[</w:t>
      </w:r>
      <w:proofErr w:type="spellStart"/>
      <w:r>
        <w:t>MeSH</w:t>
      </w:r>
      <w:proofErr w:type="spellEnd"/>
      <w:r>
        <w:t xml:space="preserve"> Terms] OR "pesticides"[All Fields] OR "pesticide"[All Fields]) generated a total of 989 references, while using the search terms ("dioxins"[</w:t>
      </w:r>
      <w:proofErr w:type="spellStart"/>
      <w:r>
        <w:t>MeSH</w:t>
      </w:r>
      <w:proofErr w:type="spellEnd"/>
      <w:r>
        <w:t xml:space="preserve"> Terms] OR "dioxins"[All Fields] OR "dioxin"[All Fields]) AND "humans"[</w:t>
      </w:r>
      <w:proofErr w:type="spellStart"/>
      <w:r>
        <w:t>MeSH</w:t>
      </w:r>
      <w:proofErr w:type="spellEnd"/>
      <w:r>
        <w:t xml:space="preserve"> Terms] generated a total of 21 references.  Articles were selected based on relevance, study quality, reliability and journal authority.  The above searches were supplemented by internet searches, manual searches of reference lists, review of citations and consideration of relevant sections of textbooks.</w:t>
      </w:r>
    </w:p>
    <w:p w14:paraId="3881FA86" w14:textId="0C281136" w:rsidR="004D78C0" w:rsidRDefault="004D78C0" w:rsidP="00F45B51">
      <w:pPr>
        <w:pStyle w:val="NumberLevel2"/>
        <w:numPr>
          <w:ilvl w:val="1"/>
          <w:numId w:val="17"/>
        </w:numPr>
        <w:jc w:val="both"/>
      </w:pPr>
      <w:r>
        <w:t>Medical or scientific publications as set out in the bibliography attached hereto</w:t>
      </w:r>
      <w:r w:rsidR="00F45B51">
        <w:t xml:space="preserve"> (including </w:t>
      </w:r>
      <w:r w:rsidR="00F45B51">
        <w:rPr>
          <w:lang w:val="en"/>
        </w:rPr>
        <w:t xml:space="preserve">United States National Academies of Sciences, Engineering, and Medicines’ </w:t>
      </w:r>
      <w:r w:rsidR="00F45B51" w:rsidRPr="000209E6">
        <w:rPr>
          <w:i/>
          <w:lang w:val="en"/>
        </w:rPr>
        <w:t>Veterans and Agent Orange: Update 11 (2018)</w:t>
      </w:r>
      <w:r w:rsidR="00F45B51">
        <w:rPr>
          <w:lang w:val="en"/>
        </w:rPr>
        <w:t>).</w:t>
      </w:r>
    </w:p>
    <w:p w14:paraId="6D74AB76" w14:textId="77777777" w:rsidR="004D78C0" w:rsidRDefault="004D78C0" w:rsidP="004D78C0">
      <w:pPr>
        <w:pStyle w:val="NumberLevel2"/>
        <w:numPr>
          <w:ilvl w:val="1"/>
          <w:numId w:val="17"/>
        </w:numPr>
        <w:jc w:val="both"/>
      </w:pPr>
      <w:r>
        <w:t>A briefing paper concerning hypertension prepared for presentation to the Authority by a Medical Researcher of the Secretariat.</w:t>
      </w:r>
    </w:p>
    <w:p w14:paraId="2FE2C455" w14:textId="77777777" w:rsidR="004D78C0" w:rsidRDefault="004D78C0" w:rsidP="004D78C0">
      <w:pPr>
        <w:pStyle w:val="PartHeading"/>
        <w:numPr>
          <w:ilvl w:val="0"/>
          <w:numId w:val="16"/>
        </w:numPr>
        <w:spacing w:before="360"/>
      </w:pPr>
      <w:bookmarkStart w:id="10" w:name="_Toc14446406"/>
      <w:bookmarkStart w:id="11" w:name="_Toc16844814"/>
      <w:r>
        <w:t>Sound medical-scientific evidence</w:t>
      </w:r>
      <w:bookmarkEnd w:id="10"/>
      <w:bookmarkEnd w:id="11"/>
    </w:p>
    <w:p w14:paraId="2992AB1A" w14:textId="0929E00A" w:rsidR="004D78C0" w:rsidRDefault="004D78C0" w:rsidP="004D78C0">
      <w:pPr>
        <w:pStyle w:val="NumberLevel1"/>
        <w:numPr>
          <w:ilvl w:val="0"/>
          <w:numId w:val="17"/>
        </w:numPr>
        <w:jc w:val="both"/>
      </w:pPr>
      <w:r>
        <w:t>The Statements of Principles are determined on the basis of the available "sound medical-scientific evidence" as defined in s 5AB(2) of the VEA which states:</w:t>
      </w:r>
    </w:p>
    <w:p w14:paraId="7ABABD16" w14:textId="77777777" w:rsidR="004D78C0" w:rsidRDefault="004D78C0" w:rsidP="004D78C0">
      <w:pPr>
        <w:ind w:left="720" w:right="567"/>
        <w:jc w:val="both"/>
        <w:rPr>
          <w:i/>
          <w:sz w:val="21"/>
          <w:szCs w:val="21"/>
        </w:rPr>
      </w:pPr>
      <w:r>
        <w:rPr>
          <w:sz w:val="21"/>
          <w:szCs w:val="21"/>
        </w:rPr>
        <w:t>"</w:t>
      </w:r>
      <w:r>
        <w:rPr>
          <w:i/>
          <w:sz w:val="21"/>
          <w:szCs w:val="21"/>
        </w:rPr>
        <w:t>Information about a particular kind of injury, disease or death is taken to be</w:t>
      </w:r>
      <w:r>
        <w:rPr>
          <w:b/>
          <w:i/>
          <w:sz w:val="21"/>
          <w:szCs w:val="21"/>
        </w:rPr>
        <w:t xml:space="preserve"> sound</w:t>
      </w:r>
      <w:r>
        <w:rPr>
          <w:i/>
          <w:sz w:val="21"/>
          <w:szCs w:val="21"/>
        </w:rPr>
        <w:t xml:space="preserve"> </w:t>
      </w:r>
      <w:r>
        <w:rPr>
          <w:b/>
          <w:i/>
          <w:sz w:val="21"/>
          <w:szCs w:val="21"/>
        </w:rPr>
        <w:t>medical-scientific evidence</w:t>
      </w:r>
      <w:r>
        <w:rPr>
          <w:i/>
          <w:sz w:val="21"/>
          <w:szCs w:val="21"/>
        </w:rPr>
        <w:t xml:space="preserve"> if:</w:t>
      </w:r>
    </w:p>
    <w:p w14:paraId="68F5017B" w14:textId="77777777" w:rsidR="004D78C0" w:rsidRDefault="004D78C0" w:rsidP="004D78C0">
      <w:pPr>
        <w:spacing w:before="120"/>
        <w:ind w:left="1134" w:right="567" w:hanging="414"/>
        <w:jc w:val="both"/>
        <w:rPr>
          <w:i/>
          <w:sz w:val="21"/>
          <w:szCs w:val="21"/>
        </w:rPr>
      </w:pPr>
      <w:r>
        <w:rPr>
          <w:i/>
          <w:sz w:val="21"/>
          <w:szCs w:val="21"/>
        </w:rPr>
        <w:t>(a)</w:t>
      </w:r>
      <w:r>
        <w:rPr>
          <w:i/>
          <w:sz w:val="21"/>
          <w:szCs w:val="21"/>
        </w:rPr>
        <w:tab/>
      </w:r>
      <w:proofErr w:type="gramStart"/>
      <w:r>
        <w:rPr>
          <w:i/>
          <w:sz w:val="21"/>
          <w:szCs w:val="21"/>
        </w:rPr>
        <w:t>the</w:t>
      </w:r>
      <w:proofErr w:type="gramEnd"/>
      <w:r>
        <w:rPr>
          <w:i/>
          <w:sz w:val="21"/>
          <w:szCs w:val="21"/>
        </w:rPr>
        <w:t xml:space="preserve"> information:</w:t>
      </w:r>
    </w:p>
    <w:p w14:paraId="1A46BBB4" w14:textId="77777777" w:rsidR="004D78C0" w:rsidRDefault="004D78C0" w:rsidP="004D78C0">
      <w:pPr>
        <w:ind w:left="2160" w:right="567" w:hanging="720"/>
        <w:jc w:val="both"/>
        <w:rPr>
          <w:i/>
          <w:sz w:val="21"/>
          <w:szCs w:val="21"/>
        </w:rPr>
      </w:pPr>
      <w:r>
        <w:rPr>
          <w:i/>
          <w:sz w:val="21"/>
          <w:szCs w:val="21"/>
        </w:rPr>
        <w:t>(</w:t>
      </w:r>
      <w:proofErr w:type="spellStart"/>
      <w:r>
        <w:rPr>
          <w:i/>
          <w:sz w:val="21"/>
          <w:szCs w:val="21"/>
        </w:rPr>
        <w:t>i</w:t>
      </w:r>
      <w:proofErr w:type="spellEnd"/>
      <w:r>
        <w:rPr>
          <w:i/>
          <w:sz w:val="21"/>
          <w:szCs w:val="21"/>
        </w:rPr>
        <w:t>)</w:t>
      </w:r>
      <w:r>
        <w:rPr>
          <w:i/>
          <w:sz w:val="21"/>
          <w:szCs w:val="21"/>
        </w:rPr>
        <w:tab/>
        <w:t xml:space="preserve">is consistent with material relating to medical science that has been published in a medical or scientific publication and has been, in the opinion of the Repatriation Medical Authority, subjected to a peer review process; or </w:t>
      </w:r>
    </w:p>
    <w:p w14:paraId="269BB113" w14:textId="77777777" w:rsidR="004D78C0" w:rsidRDefault="004D78C0" w:rsidP="004D78C0">
      <w:pPr>
        <w:ind w:left="2160" w:right="567" w:hanging="720"/>
        <w:jc w:val="both"/>
        <w:rPr>
          <w:i/>
          <w:sz w:val="21"/>
          <w:szCs w:val="21"/>
        </w:rPr>
      </w:pPr>
      <w:r>
        <w:rPr>
          <w:i/>
          <w:sz w:val="21"/>
          <w:szCs w:val="21"/>
        </w:rPr>
        <w:t>(ii)</w:t>
      </w:r>
      <w:r>
        <w:rPr>
          <w:i/>
          <w:sz w:val="21"/>
          <w:szCs w:val="21"/>
        </w:rPr>
        <w:tab/>
      </w:r>
      <w:proofErr w:type="gramStart"/>
      <w:r>
        <w:rPr>
          <w:i/>
          <w:sz w:val="21"/>
          <w:szCs w:val="21"/>
        </w:rPr>
        <w:t>in</w:t>
      </w:r>
      <w:proofErr w:type="gramEnd"/>
      <w:r>
        <w:rPr>
          <w:i/>
          <w:sz w:val="21"/>
          <w:szCs w:val="21"/>
        </w:rPr>
        <w:t xml:space="preserve"> accordance with generally accepted medical practice, would serve as the basis for the diagnosis and management of a medical condition; and</w:t>
      </w:r>
    </w:p>
    <w:p w14:paraId="3DE4E0B9" w14:textId="77777777" w:rsidR="004D78C0" w:rsidRDefault="004D78C0" w:rsidP="004D78C0">
      <w:pPr>
        <w:ind w:left="1134" w:right="567" w:hanging="414"/>
        <w:jc w:val="both"/>
        <w:rPr>
          <w:sz w:val="21"/>
          <w:szCs w:val="21"/>
        </w:rPr>
      </w:pPr>
      <w:r>
        <w:rPr>
          <w:i/>
          <w:sz w:val="21"/>
          <w:szCs w:val="21"/>
        </w:rPr>
        <w:t>(b)</w:t>
      </w:r>
      <w:r>
        <w:rPr>
          <w:i/>
          <w:sz w:val="21"/>
          <w:szCs w:val="21"/>
        </w:rPr>
        <w:tab/>
      </w:r>
      <w:proofErr w:type="gramStart"/>
      <w:r>
        <w:rPr>
          <w:i/>
          <w:sz w:val="21"/>
          <w:szCs w:val="21"/>
        </w:rPr>
        <w:t>in</w:t>
      </w:r>
      <w:proofErr w:type="gramEnd"/>
      <w:r>
        <w:rPr>
          <w:i/>
          <w:sz w:val="21"/>
          <w:szCs w:val="21"/>
        </w:rPr>
        <w:t xml:space="preserve"> the case of information about how that kind of injury, disease or death may be caused - meets the applicable criteria for assessing causation currently applied in the field of epidemiology.</w:t>
      </w:r>
      <w:r>
        <w:rPr>
          <w:sz w:val="21"/>
          <w:szCs w:val="21"/>
        </w:rPr>
        <w:t>"</w:t>
      </w:r>
    </w:p>
    <w:p w14:paraId="108DE33D" w14:textId="77777777" w:rsidR="004D78C0" w:rsidRDefault="004D78C0" w:rsidP="004D78C0">
      <w:pPr>
        <w:pStyle w:val="PartHeading"/>
        <w:numPr>
          <w:ilvl w:val="0"/>
          <w:numId w:val="16"/>
        </w:numPr>
        <w:spacing w:before="360"/>
      </w:pPr>
      <w:bookmarkStart w:id="12" w:name="_Toc156722918"/>
      <w:bookmarkStart w:id="13" w:name="_Toc14446407"/>
      <w:bookmarkStart w:id="14" w:name="_Toc16844815"/>
      <w:bookmarkEnd w:id="12"/>
      <w:r>
        <w:t>Reasons for the decision</w:t>
      </w:r>
      <w:bookmarkEnd w:id="13"/>
      <w:bookmarkEnd w:id="14"/>
    </w:p>
    <w:p w14:paraId="2E536052" w14:textId="77777777" w:rsidR="004D78C0" w:rsidRDefault="004D78C0" w:rsidP="004D78C0">
      <w:pPr>
        <w:pStyle w:val="NumberLevel1"/>
        <w:numPr>
          <w:ilvl w:val="0"/>
          <w:numId w:val="17"/>
        </w:numPr>
        <w:jc w:val="both"/>
        <w:rPr>
          <w:lang w:val="en"/>
        </w:rPr>
      </w:pPr>
      <w:bookmarkStart w:id="15" w:name="_Toc156722920"/>
      <w:bookmarkEnd w:id="15"/>
      <w:r>
        <w:rPr>
          <w:lang w:val="en"/>
        </w:rPr>
        <w:t xml:space="preserve">The Authority initiated an investigation into </w:t>
      </w:r>
      <w:proofErr w:type="spellStart"/>
      <w:r>
        <w:rPr>
          <w:lang w:val="en"/>
        </w:rPr>
        <w:t>phenoxy</w:t>
      </w:r>
      <w:proofErr w:type="spellEnd"/>
      <w:r>
        <w:rPr>
          <w:lang w:val="en"/>
        </w:rPr>
        <w:t xml:space="preserve"> herbicides/dioxin based on the recently published United States National Academies of Sciences, Engineering, and Medicines’ </w:t>
      </w:r>
      <w:r w:rsidRPr="000209E6">
        <w:rPr>
          <w:i/>
          <w:lang w:val="en"/>
        </w:rPr>
        <w:t>Veterans and Agent Orange: Update 11 (2018)</w:t>
      </w:r>
      <w:r>
        <w:rPr>
          <w:lang w:val="en"/>
        </w:rPr>
        <w:t xml:space="preserve">, the eleventh biennial update on the health effects in Vietnam veterans of exposure to herbicides. The Veterans and Agent Orange publication is considered an authoritative source of information on the association between </w:t>
      </w:r>
      <w:proofErr w:type="spellStart"/>
      <w:r>
        <w:rPr>
          <w:lang w:val="en"/>
        </w:rPr>
        <w:t>phenoxy</w:t>
      </w:r>
      <w:proofErr w:type="spellEnd"/>
      <w:r>
        <w:rPr>
          <w:lang w:val="en"/>
        </w:rPr>
        <w:t xml:space="preserve"> herbicides or dioxin and various diseases. </w:t>
      </w:r>
    </w:p>
    <w:p w14:paraId="4FA2F65D" w14:textId="77777777" w:rsidR="004D78C0" w:rsidRPr="00AE11E6" w:rsidRDefault="004D78C0" w:rsidP="004D78C0">
      <w:pPr>
        <w:pStyle w:val="NumberLevel1"/>
        <w:numPr>
          <w:ilvl w:val="0"/>
          <w:numId w:val="17"/>
        </w:numPr>
        <w:jc w:val="both"/>
        <w:rPr>
          <w:lang w:val="en"/>
        </w:rPr>
      </w:pPr>
      <w:r w:rsidRPr="00AE11E6">
        <w:rPr>
          <w:lang w:val="en"/>
        </w:rPr>
        <w:t xml:space="preserve">The Veterans and Agent Orange </w:t>
      </w:r>
      <w:r>
        <w:rPr>
          <w:lang w:val="en"/>
        </w:rPr>
        <w:t>committee</w:t>
      </w:r>
      <w:r w:rsidRPr="00AE11E6">
        <w:rPr>
          <w:lang w:val="en"/>
        </w:rPr>
        <w:t xml:space="preserve"> upgraded </w:t>
      </w:r>
      <w:r>
        <w:rPr>
          <w:lang w:val="en"/>
        </w:rPr>
        <w:t xml:space="preserve">its </w:t>
      </w:r>
      <w:r w:rsidRPr="00AE11E6">
        <w:rPr>
          <w:lang w:val="en"/>
        </w:rPr>
        <w:t>classifi</w:t>
      </w:r>
      <w:r>
        <w:rPr>
          <w:lang w:val="en"/>
        </w:rPr>
        <w:t>cation of</w:t>
      </w:r>
      <w:r w:rsidRPr="00AE11E6">
        <w:rPr>
          <w:lang w:val="en"/>
        </w:rPr>
        <w:t xml:space="preserve"> the evidence for </w:t>
      </w:r>
      <w:r>
        <w:rPr>
          <w:lang w:val="en"/>
        </w:rPr>
        <w:t>the</w:t>
      </w:r>
      <w:r w:rsidRPr="00AE11E6">
        <w:rPr>
          <w:lang w:val="en"/>
        </w:rPr>
        <w:t xml:space="preserve"> association between </w:t>
      </w:r>
      <w:r>
        <w:rPr>
          <w:lang w:val="en"/>
        </w:rPr>
        <w:t xml:space="preserve">the </w:t>
      </w:r>
      <w:r w:rsidRPr="00AE11E6">
        <w:rPr>
          <w:lang w:val="en"/>
        </w:rPr>
        <w:t>herbicides</w:t>
      </w:r>
      <w:r>
        <w:rPr>
          <w:lang w:val="en"/>
        </w:rPr>
        <w:t xml:space="preserve"> of interest</w:t>
      </w:r>
      <w:r w:rsidRPr="00AE11E6">
        <w:rPr>
          <w:lang w:val="en"/>
        </w:rPr>
        <w:t>, including 2</w:t>
      </w:r>
      <w:proofErr w:type="gramStart"/>
      <w:r w:rsidRPr="00AE11E6">
        <w:rPr>
          <w:lang w:val="en"/>
        </w:rPr>
        <w:t>,3,7,8</w:t>
      </w:r>
      <w:proofErr w:type="gramEnd"/>
      <w:r w:rsidRPr="00AE11E6">
        <w:rPr>
          <w:lang w:val="en"/>
        </w:rPr>
        <w:t>-</w:t>
      </w:r>
      <w:r w:rsidRPr="00AE11E6">
        <w:rPr>
          <w:lang w:val="en"/>
        </w:rPr>
        <w:lastRenderedPageBreak/>
        <w:t xml:space="preserve">tetrachlorodibenzo-para-dioxin (TCDD), </w:t>
      </w:r>
      <w:r>
        <w:rPr>
          <w:lang w:val="en"/>
        </w:rPr>
        <w:t xml:space="preserve">and </w:t>
      </w:r>
      <w:r w:rsidRPr="00AE11E6">
        <w:rPr>
          <w:lang w:val="en"/>
        </w:rPr>
        <w:t xml:space="preserve">hypertension </w:t>
      </w:r>
      <w:r>
        <w:rPr>
          <w:lang w:val="en"/>
        </w:rPr>
        <w:t xml:space="preserve">from </w:t>
      </w:r>
      <w:r w:rsidRPr="00AE11E6">
        <w:rPr>
          <w:lang w:val="en"/>
        </w:rPr>
        <w:t xml:space="preserve">limited or suggestive evidence of an association in </w:t>
      </w:r>
      <w:r>
        <w:rPr>
          <w:lang w:val="en"/>
        </w:rPr>
        <w:t xml:space="preserve">its </w:t>
      </w:r>
      <w:r w:rsidRPr="00AE11E6">
        <w:rPr>
          <w:lang w:val="en"/>
        </w:rPr>
        <w:t>2014</w:t>
      </w:r>
      <w:r>
        <w:rPr>
          <w:lang w:val="en"/>
        </w:rPr>
        <w:t xml:space="preserve"> update</w:t>
      </w:r>
      <w:r w:rsidRPr="00AE11E6">
        <w:rPr>
          <w:lang w:val="en"/>
        </w:rPr>
        <w:t xml:space="preserve">, to sufficient evidence of an association in </w:t>
      </w:r>
      <w:r>
        <w:rPr>
          <w:lang w:val="en"/>
        </w:rPr>
        <w:t xml:space="preserve">its </w:t>
      </w:r>
      <w:r w:rsidRPr="00AE11E6">
        <w:rPr>
          <w:lang w:val="en"/>
        </w:rPr>
        <w:t>2018</w:t>
      </w:r>
      <w:r>
        <w:rPr>
          <w:lang w:val="en"/>
        </w:rPr>
        <w:t xml:space="preserve"> update</w:t>
      </w:r>
      <w:r w:rsidRPr="00AE11E6">
        <w:rPr>
          <w:lang w:val="en"/>
        </w:rPr>
        <w:t xml:space="preserve">. The upgrading of the association between </w:t>
      </w:r>
      <w:r>
        <w:rPr>
          <w:lang w:val="en"/>
        </w:rPr>
        <w:t xml:space="preserve">the </w:t>
      </w:r>
      <w:r w:rsidRPr="00AE11E6">
        <w:rPr>
          <w:lang w:val="en"/>
        </w:rPr>
        <w:t>herbicides</w:t>
      </w:r>
      <w:r>
        <w:rPr>
          <w:lang w:val="en"/>
        </w:rPr>
        <w:t xml:space="preserve"> of interest</w:t>
      </w:r>
      <w:r w:rsidRPr="00AE11E6">
        <w:rPr>
          <w:lang w:val="en"/>
        </w:rPr>
        <w:t xml:space="preserve">, including TCDD, and hypertension was based largely on the recent, large cross-sectional study by </w:t>
      </w:r>
      <w:proofErr w:type="spellStart"/>
      <w:r w:rsidRPr="00AE11E6">
        <w:rPr>
          <w:lang w:val="en"/>
        </w:rPr>
        <w:t>Cypel</w:t>
      </w:r>
      <w:proofErr w:type="spellEnd"/>
      <w:r w:rsidRPr="00AE11E6">
        <w:rPr>
          <w:lang w:val="en"/>
        </w:rPr>
        <w:t xml:space="preserve"> et al (2016) of the US Army Chemical Corps Vietnam veterans. The study found that herbicide sprayers compared with </w:t>
      </w:r>
      <w:proofErr w:type="spellStart"/>
      <w:r w:rsidRPr="00AE11E6">
        <w:rPr>
          <w:lang w:val="en"/>
        </w:rPr>
        <w:t>nonsprayers</w:t>
      </w:r>
      <w:proofErr w:type="spellEnd"/>
      <w:r w:rsidRPr="00AE11E6">
        <w:rPr>
          <w:lang w:val="en"/>
        </w:rPr>
        <w:t xml:space="preserve"> had a significantly elevated risk of self-reported hypertension after adjustment for relevant potential confounders (OR 1.74, 95% CI 1.44-2.11), and some evidence of a positive dose response with likely exposure levels. </w:t>
      </w:r>
    </w:p>
    <w:p w14:paraId="39D2400D" w14:textId="77777777" w:rsidR="004D78C0" w:rsidRDefault="004D78C0" w:rsidP="004D78C0">
      <w:pPr>
        <w:pStyle w:val="NumberLevel1"/>
        <w:numPr>
          <w:ilvl w:val="0"/>
          <w:numId w:val="17"/>
        </w:numPr>
        <w:jc w:val="both"/>
        <w:rPr>
          <w:lang w:val="en"/>
        </w:rPr>
      </w:pPr>
      <w:r w:rsidRPr="00327957">
        <w:rPr>
          <w:lang w:val="en"/>
        </w:rPr>
        <w:t xml:space="preserve">There were five other new studies which the Veterans and Agent Orange update considered with respect to hypertension since the </w:t>
      </w:r>
      <w:r>
        <w:rPr>
          <w:lang w:val="en"/>
        </w:rPr>
        <w:t>previous</w:t>
      </w:r>
      <w:r w:rsidRPr="00327957">
        <w:rPr>
          <w:lang w:val="en"/>
        </w:rPr>
        <w:t xml:space="preserve"> update in 2014. The additional studies comprised two occupational studies (</w:t>
      </w:r>
      <w:proofErr w:type="spellStart"/>
      <w:r w:rsidRPr="00327957">
        <w:rPr>
          <w:lang w:val="en"/>
        </w:rPr>
        <w:t>Cappeletti</w:t>
      </w:r>
      <w:proofErr w:type="spellEnd"/>
      <w:r w:rsidRPr="00327957">
        <w:rPr>
          <w:lang w:val="en"/>
        </w:rPr>
        <w:t xml:space="preserve"> et al 2016, Yamamoto et al 2015) and three environmental exposure investigations (Lind et al 2014, Shiue et al 2014, </w:t>
      </w:r>
      <w:proofErr w:type="gramStart"/>
      <w:r w:rsidRPr="00327957">
        <w:rPr>
          <w:lang w:val="en"/>
        </w:rPr>
        <w:t>Van</w:t>
      </w:r>
      <w:proofErr w:type="gramEnd"/>
      <w:r w:rsidRPr="00327957">
        <w:rPr>
          <w:lang w:val="en"/>
        </w:rPr>
        <w:t xml:space="preserve"> </w:t>
      </w:r>
      <w:proofErr w:type="spellStart"/>
      <w:r w:rsidRPr="00327957">
        <w:rPr>
          <w:lang w:val="en"/>
        </w:rPr>
        <w:t>Larebeke</w:t>
      </w:r>
      <w:proofErr w:type="spellEnd"/>
      <w:r w:rsidRPr="00327957">
        <w:rPr>
          <w:lang w:val="en"/>
        </w:rPr>
        <w:t xml:space="preserve"> et al 2015). Each of these studies ha</w:t>
      </w:r>
      <w:r>
        <w:rPr>
          <w:lang w:val="en"/>
        </w:rPr>
        <w:t>d</w:t>
      </w:r>
      <w:r w:rsidRPr="00327957">
        <w:rPr>
          <w:lang w:val="en"/>
        </w:rPr>
        <w:t xml:space="preserve"> significant study design deficiencies and would not be adequate to change the level of association individually. However, the </w:t>
      </w:r>
      <w:r>
        <w:rPr>
          <w:lang w:val="en"/>
        </w:rPr>
        <w:t>Veterans and Agent Orange committee</w:t>
      </w:r>
      <w:r w:rsidRPr="00327957">
        <w:rPr>
          <w:lang w:val="en"/>
        </w:rPr>
        <w:t xml:space="preserve"> concluded that they corroborate</w:t>
      </w:r>
      <w:r>
        <w:rPr>
          <w:lang w:val="en"/>
        </w:rPr>
        <w:t>d</w:t>
      </w:r>
      <w:r w:rsidRPr="00327957">
        <w:rPr>
          <w:lang w:val="en"/>
        </w:rPr>
        <w:t xml:space="preserve"> an elevated risk between exposure to the compounds of interest and hypertension using a variety of study designs, populations, and measurements of exposure.</w:t>
      </w:r>
      <w:r>
        <w:rPr>
          <w:lang w:val="en"/>
        </w:rPr>
        <w:t xml:space="preserve"> The committee found that this new research, in addition to the earlier research, demonstrated a consistency in the direction and magnitude of an association between herbicides and hypertension. Additional data from animal and human cell culture models supported the hypothesis that TCDD activation of aryl hydrocarbon receptors increases the development of hypertension, providing a plausible biological mechanism for causation. </w:t>
      </w:r>
    </w:p>
    <w:p w14:paraId="51F00CA3" w14:textId="77777777" w:rsidR="004D78C0" w:rsidRDefault="004D78C0" w:rsidP="004D78C0">
      <w:pPr>
        <w:pStyle w:val="NumberLevel1"/>
        <w:numPr>
          <w:ilvl w:val="0"/>
          <w:numId w:val="17"/>
        </w:numPr>
        <w:jc w:val="both"/>
        <w:rPr>
          <w:lang w:val="en"/>
        </w:rPr>
      </w:pPr>
      <w:r>
        <w:rPr>
          <w:lang w:val="en"/>
        </w:rPr>
        <w:t xml:space="preserve">There are no prospective cohort studies that affirm an association of exposure to dioxin or </w:t>
      </w:r>
      <w:proofErr w:type="spellStart"/>
      <w:r>
        <w:rPr>
          <w:lang w:val="en"/>
        </w:rPr>
        <w:t>phenoxy</w:t>
      </w:r>
      <w:proofErr w:type="spellEnd"/>
      <w:r>
        <w:rPr>
          <w:lang w:val="en"/>
        </w:rPr>
        <w:t xml:space="preserve"> herbicides and the clinical onset or clinical worsening of hypertension, and the available studies are likely subject to varying degrees of exposure misclassification and confounding by other multiple chemicals. No evidence confirms a dose response relationship. </w:t>
      </w:r>
    </w:p>
    <w:p w14:paraId="0121A1DC" w14:textId="77777777" w:rsidR="004D78C0" w:rsidRDefault="004D78C0" w:rsidP="004D78C0">
      <w:pPr>
        <w:pStyle w:val="NumberLevel1"/>
        <w:numPr>
          <w:ilvl w:val="0"/>
          <w:numId w:val="17"/>
        </w:numPr>
        <w:jc w:val="both"/>
      </w:pPr>
      <w:r>
        <w:t>I</w:t>
      </w:r>
      <w:r w:rsidRPr="004B4AFB">
        <w:t xml:space="preserve">n </w:t>
      </w:r>
      <w:r>
        <w:t xml:space="preserve">a </w:t>
      </w:r>
      <w:r w:rsidRPr="004B4AFB">
        <w:t xml:space="preserve">Flemish biomonitoring program, dioxin-like activity showed a positive association with risk of “hypertension”, significantly for both sexes together, and marginally significantly for men separately (Van </w:t>
      </w:r>
      <w:proofErr w:type="spellStart"/>
      <w:r w:rsidRPr="004B4AFB">
        <w:t>Larebeke</w:t>
      </w:r>
      <w:proofErr w:type="spellEnd"/>
      <w:r w:rsidRPr="004B4AFB">
        <w:t xml:space="preserve"> et al 2015).  In</w:t>
      </w:r>
      <w:r>
        <w:t xml:space="preserve"> the</w:t>
      </w:r>
      <w:r w:rsidRPr="004B4AFB">
        <w:t xml:space="preserve"> Canary Islands, dioxin-like PCBs were not associated with hypertension (</w:t>
      </w:r>
      <w:proofErr w:type="spellStart"/>
      <w:r w:rsidRPr="004B4AFB">
        <w:t>Henríquez</w:t>
      </w:r>
      <w:proofErr w:type="spellEnd"/>
      <w:r w:rsidRPr="004B4AFB">
        <w:t>-Hernández et al 2014). In Uppsala, Sweden, none of dioxin-like PCBs were significantly associated with prevalent hypertension (Lind et al 2014).</w:t>
      </w:r>
      <w:r>
        <w:t xml:space="preserve"> </w:t>
      </w:r>
    </w:p>
    <w:p w14:paraId="024B23D5" w14:textId="77777777" w:rsidR="004D78C0" w:rsidRDefault="004D78C0" w:rsidP="004D78C0">
      <w:pPr>
        <w:pStyle w:val="NumberLevel1"/>
        <w:numPr>
          <w:ilvl w:val="0"/>
          <w:numId w:val="17"/>
        </w:numPr>
        <w:jc w:val="both"/>
      </w:pPr>
      <w:r>
        <w:t xml:space="preserve">There was </w:t>
      </w:r>
      <w:r w:rsidRPr="004D0A74">
        <w:t xml:space="preserve">no evidence of higher rates of self-reported hypertension in </w:t>
      </w:r>
      <w:r>
        <w:t>an</w:t>
      </w:r>
      <w:r w:rsidRPr="004D0A74">
        <w:t xml:space="preserve"> environmental study of long-term health outcomes in </w:t>
      </w:r>
      <w:proofErr w:type="spellStart"/>
      <w:r w:rsidRPr="004D0A74">
        <w:t>Yusho</w:t>
      </w:r>
      <w:proofErr w:type="spellEnd"/>
      <w:r w:rsidRPr="004D0A74">
        <w:t xml:space="preserve"> survivors (</w:t>
      </w:r>
      <w:proofErr w:type="spellStart"/>
      <w:r w:rsidRPr="004D0A74">
        <w:t>Akahane</w:t>
      </w:r>
      <w:proofErr w:type="spellEnd"/>
      <w:r w:rsidRPr="004D0A74">
        <w:t xml:space="preserve"> et al. 2017)</w:t>
      </w:r>
      <w:r>
        <w:t>, who were</w:t>
      </w:r>
      <w:r w:rsidRPr="004D0A74">
        <w:t xml:space="preserve"> exposed to </w:t>
      </w:r>
      <w:r w:rsidRPr="005868F2">
        <w:t>polychlorinated biphenyls</w:t>
      </w:r>
      <w:r w:rsidRPr="004D0A74">
        <w:t xml:space="preserve"> </w:t>
      </w:r>
      <w:r>
        <w:t>(</w:t>
      </w:r>
      <w:r w:rsidRPr="004D0A74">
        <w:t>PCBs</w:t>
      </w:r>
      <w:r>
        <w:t>)</w:t>
      </w:r>
      <w:r w:rsidRPr="004D0A74">
        <w:t>, dioxins (e.g.,</w:t>
      </w:r>
      <w:r>
        <w:t xml:space="preserve"> p</w:t>
      </w:r>
      <w:r w:rsidRPr="0017192C">
        <w:t xml:space="preserve">olychlorinated </w:t>
      </w:r>
      <w:proofErr w:type="spellStart"/>
      <w:r w:rsidRPr="0017192C">
        <w:t>dibenzo</w:t>
      </w:r>
      <w:proofErr w:type="spellEnd"/>
      <w:r w:rsidRPr="0017192C">
        <w:t>-p-dioxins</w:t>
      </w:r>
      <w:r>
        <w:t xml:space="preserve"> (</w:t>
      </w:r>
      <w:r w:rsidRPr="004D0A74">
        <w:t>PCDD</w:t>
      </w:r>
      <w:r>
        <w:t>s)</w:t>
      </w:r>
      <w:r w:rsidRPr="004D0A74">
        <w:t>/</w:t>
      </w:r>
      <w:r w:rsidRPr="0017192C">
        <w:t>polychlorinated dibenzofurans</w:t>
      </w:r>
      <w:r>
        <w:t xml:space="preserve"> (PCDF</w:t>
      </w:r>
      <w:r w:rsidRPr="004D0A74">
        <w:t>s)</w:t>
      </w:r>
      <w:r>
        <w:t>)</w:t>
      </w:r>
      <w:r w:rsidRPr="004D0A74">
        <w:t>, and dioxin-like chemicals through the ingestio</w:t>
      </w:r>
      <w:r>
        <w:t>n of contaminated rice bran oil. I</w:t>
      </w:r>
      <w:r w:rsidRPr="004D0A74">
        <w:t xml:space="preserve">n </w:t>
      </w:r>
      <w:r>
        <w:t xml:space="preserve">an </w:t>
      </w:r>
      <w:r w:rsidRPr="004D0A74">
        <w:t xml:space="preserve">occupational study from Japan, </w:t>
      </w:r>
      <w:proofErr w:type="spellStart"/>
      <w:r w:rsidRPr="004D0A74">
        <w:t>Yamamato</w:t>
      </w:r>
      <w:proofErr w:type="spellEnd"/>
      <w:r w:rsidRPr="004D0A74">
        <w:t xml:space="preserve"> et al (2015) found that serum levels of PCDFs and total dioxins were significantly associated with prevalence of hypertension, but analysis suggested that something other than dioxin may be contributing to increased risk for hypertension in younger population. It was likely that occupational exposure to present levels of dioxins did not contribute to health outcomes in incinerator workers.</w:t>
      </w:r>
      <w:r>
        <w:t xml:space="preserve"> </w:t>
      </w:r>
      <w:r w:rsidRPr="00E15510">
        <w:t xml:space="preserve">In Japan, </w:t>
      </w:r>
      <w:r>
        <w:t>toxic equivalent quotients</w:t>
      </w:r>
      <w:r w:rsidRPr="00E15510">
        <w:t xml:space="preserve"> of PCDDs, PCDFs, and </w:t>
      </w:r>
      <w:r>
        <w:t>dioxin-like</w:t>
      </w:r>
      <w:r w:rsidRPr="00E15510">
        <w:t>-PCBs were asso</w:t>
      </w:r>
      <w:r>
        <w:t xml:space="preserve">ciated with high blood </w:t>
      </w:r>
      <w:r>
        <w:lastRenderedPageBreak/>
        <w:t>pressure and</w:t>
      </w:r>
      <w:r w:rsidRPr="00E15510">
        <w:t xml:space="preserve"> tests of trend were all </w:t>
      </w:r>
      <w:r>
        <w:t xml:space="preserve">statistically </w:t>
      </w:r>
      <w:r w:rsidRPr="00E15510">
        <w:t>significant (</w:t>
      </w:r>
      <w:proofErr w:type="spellStart"/>
      <w:r w:rsidRPr="00E15510">
        <w:t>Uemara</w:t>
      </w:r>
      <w:proofErr w:type="spellEnd"/>
      <w:r w:rsidRPr="00E15510">
        <w:t xml:space="preserve"> et al 2009). Both serum dioxin-like and </w:t>
      </w:r>
      <w:proofErr w:type="spellStart"/>
      <w:r w:rsidRPr="00E15510">
        <w:t>nondioxin</w:t>
      </w:r>
      <w:proofErr w:type="spellEnd"/>
      <w:r w:rsidRPr="00E15510">
        <w:t xml:space="preserve">-like PCBs tended to be positively associated with hypertension, mostly in men in NHANES cross-sectional study of adults, but the associations were not correlated with toxic equivalency factors (Ha et al 2009). </w:t>
      </w:r>
    </w:p>
    <w:p w14:paraId="17AA4A9F" w14:textId="37726B61" w:rsidR="004D78C0" w:rsidRDefault="004D78C0" w:rsidP="004D78C0">
      <w:pPr>
        <w:pStyle w:val="NumberLevel1"/>
        <w:numPr>
          <w:ilvl w:val="0"/>
          <w:numId w:val="17"/>
        </w:numPr>
        <w:jc w:val="both"/>
      </w:pPr>
      <w:r>
        <w:t>There is a</w:t>
      </w:r>
      <w:r w:rsidRPr="004B4AFB">
        <w:t xml:space="preserve"> very limited</w:t>
      </w:r>
      <w:r>
        <w:t xml:space="preserve"> and </w:t>
      </w:r>
      <w:r w:rsidRPr="004B4AFB">
        <w:t xml:space="preserve">inconsistent </w:t>
      </w:r>
      <w:r>
        <w:t>body of</w:t>
      </w:r>
      <w:r w:rsidRPr="004B4AFB">
        <w:t xml:space="preserve"> evidence linking dioxins and other persistent organic pollutants to </w:t>
      </w:r>
      <w:r>
        <w:t xml:space="preserve">the prevalence of </w:t>
      </w:r>
      <w:r w:rsidRPr="004B4AFB">
        <w:t>hypertension as a component of ‘metabolic’ syndrome’ in cross-sectional population stud</w:t>
      </w:r>
      <w:r>
        <w:t>ies</w:t>
      </w:r>
      <w:r w:rsidRPr="004B4AFB">
        <w:t xml:space="preserve"> (e.g.</w:t>
      </w:r>
      <w:r>
        <w:t>,</w:t>
      </w:r>
      <w:r w:rsidRPr="004B4AFB">
        <w:t xml:space="preserve"> Chang et al 2010). The few available studies on non-occupationally-exposed subgroups show inconsistent results, both in the associations found </w:t>
      </w:r>
      <w:r>
        <w:t>and in the chemicals responsible</w:t>
      </w:r>
      <w:r w:rsidRPr="004B4AFB">
        <w:t xml:space="preserve"> for the observed</w:t>
      </w:r>
      <w:r>
        <w:t xml:space="preserve"> </w:t>
      </w:r>
      <w:r w:rsidRPr="004B4AFB">
        <w:t>effects</w:t>
      </w:r>
      <w:r>
        <w:t xml:space="preserve"> in relation to prevalent and incident hypertension in relation to measures of exposure to </w:t>
      </w:r>
      <w:r w:rsidRPr="004B4AFB">
        <w:t>both dioxin and non-dioxin like PCBs</w:t>
      </w:r>
      <w:r>
        <w:t xml:space="preserve">. </w:t>
      </w:r>
      <w:r w:rsidRPr="00935FB4">
        <w:t>Several cross-sectional studies have linked different environmental contaminan</w:t>
      </w:r>
      <w:r>
        <w:t>ts to metabolic syndrome,</w:t>
      </w:r>
      <w:r w:rsidRPr="00935FB4">
        <w:t xml:space="preserve"> but mixture effects have not been investigated, and no prospective studies exist regarding environmental contaminants and metabolic syndrome or its specific components, including hypertension. Positive associations between PCBs and individual components of metabolic syndrome, including</w:t>
      </w:r>
      <w:r>
        <w:t xml:space="preserve"> prevalence of</w:t>
      </w:r>
      <w:r w:rsidRPr="00935FB4">
        <w:t xml:space="preserve"> elevated blood pressure, were reported in analyses of Anniston cohort (</w:t>
      </w:r>
      <w:proofErr w:type="spellStart"/>
      <w:r w:rsidRPr="00935FB4">
        <w:t>Goncharov</w:t>
      </w:r>
      <w:proofErr w:type="spellEnd"/>
      <w:r w:rsidRPr="00935FB4">
        <w:t xml:space="preserve"> et al </w:t>
      </w:r>
      <w:r>
        <w:t>2010</w:t>
      </w:r>
      <w:r w:rsidR="00591BD7">
        <w:t xml:space="preserve">, </w:t>
      </w:r>
      <w:proofErr w:type="spellStart"/>
      <w:r w:rsidR="00591BD7" w:rsidRPr="00935FB4">
        <w:t>Goncharov</w:t>
      </w:r>
      <w:proofErr w:type="spellEnd"/>
      <w:r w:rsidR="00591BD7" w:rsidRPr="00935FB4">
        <w:t xml:space="preserve"> et al </w:t>
      </w:r>
      <w:r w:rsidRPr="00935FB4">
        <w:t xml:space="preserve">2011; </w:t>
      </w:r>
      <w:proofErr w:type="spellStart"/>
      <w:r w:rsidRPr="00935FB4">
        <w:t>Aminov</w:t>
      </w:r>
      <w:proofErr w:type="spellEnd"/>
      <w:r w:rsidRPr="00935FB4">
        <w:t xml:space="preserve"> et al 2013), but </w:t>
      </w:r>
      <w:r>
        <w:t xml:space="preserve">there is </w:t>
      </w:r>
      <w:r w:rsidRPr="00935FB4">
        <w:t xml:space="preserve">no data specifically about </w:t>
      </w:r>
      <w:r>
        <w:t>the association of hypertension with potent dioxin-</w:t>
      </w:r>
      <w:r w:rsidRPr="00935FB4">
        <w:t>like PCBs.</w:t>
      </w:r>
      <w:r>
        <w:t xml:space="preserve"> </w:t>
      </w:r>
      <w:r w:rsidRPr="00E15510">
        <w:t xml:space="preserve">In </w:t>
      </w:r>
      <w:r>
        <w:t xml:space="preserve">a study in the </w:t>
      </w:r>
      <w:r w:rsidRPr="00E15510">
        <w:t xml:space="preserve">Taiwanese population, PCDD/Fs were linked to </w:t>
      </w:r>
      <w:r>
        <w:t>metabolic syndrome</w:t>
      </w:r>
      <w:r w:rsidRPr="00E15510">
        <w:t xml:space="preserve"> through shared correlations with high diastolic blood pressure, but not systolic </w:t>
      </w:r>
      <w:r>
        <w:t>blood pressure</w:t>
      </w:r>
      <w:r w:rsidRPr="00E15510">
        <w:t xml:space="preserve"> (Chang et al 2010).</w:t>
      </w:r>
    </w:p>
    <w:p w14:paraId="7AFD6320" w14:textId="40585CA5" w:rsidR="004D78C0" w:rsidRDefault="004D78C0" w:rsidP="004D78C0">
      <w:pPr>
        <w:pStyle w:val="NumberLevel1"/>
        <w:numPr>
          <w:ilvl w:val="0"/>
          <w:numId w:val="17"/>
        </w:numPr>
        <w:jc w:val="both"/>
      </w:pPr>
      <w:r>
        <w:t>Previous investigations of hypertension by the Authority have examined the published cohort</w:t>
      </w:r>
      <w:r w:rsidRPr="000B6536">
        <w:t xml:space="preserve"> studies </w:t>
      </w:r>
      <w:r>
        <w:t xml:space="preserve">from </w:t>
      </w:r>
      <w:r w:rsidRPr="000B6536">
        <w:t>Seveso (Italy)</w:t>
      </w:r>
      <w:r>
        <w:t xml:space="preserve"> which </w:t>
      </w:r>
      <w:r w:rsidRPr="000B6536">
        <w:t>have reported dif</w:t>
      </w:r>
      <w:r>
        <w:t>ferent health effects by sex</w:t>
      </w:r>
      <w:r w:rsidRPr="000B6536">
        <w:t xml:space="preserve"> in a population heavily accidentally exposed to 2,3,7,8-TCDD</w:t>
      </w:r>
      <w:r>
        <w:t>. There have not been any recent updates from this population in relation to hypertension. Only women, not men, showed a higher risk of mortality related to hypertensive diseases (</w:t>
      </w:r>
      <w:proofErr w:type="spellStart"/>
      <w:r>
        <w:t>Pesatori</w:t>
      </w:r>
      <w:proofErr w:type="spellEnd"/>
      <w:r>
        <w:t xml:space="preserve"> et al 1998). </w:t>
      </w:r>
      <w:r w:rsidRPr="000B6536">
        <w:t xml:space="preserve">Sex differences in the response to TCDD have been also observed in animal studies. </w:t>
      </w:r>
    </w:p>
    <w:p w14:paraId="65D0BE5E" w14:textId="77777777" w:rsidR="004D78C0" w:rsidRDefault="004D78C0" w:rsidP="004D78C0">
      <w:pPr>
        <w:pStyle w:val="NumberLevel1"/>
        <w:numPr>
          <w:ilvl w:val="0"/>
          <w:numId w:val="17"/>
        </w:numPr>
        <w:jc w:val="both"/>
        <w:rPr>
          <w:lang w:val="en"/>
        </w:rPr>
      </w:pPr>
      <w:r>
        <w:t>A description of clinical status in chemical workers who were heavily exposed to dioxins in a Czech factory (</w:t>
      </w:r>
      <w:proofErr w:type="spellStart"/>
      <w:r>
        <w:t>Pelcl</w:t>
      </w:r>
      <w:proofErr w:type="spellEnd"/>
      <w:r>
        <w:t xml:space="preserve"> et al 2018) found that the prevalence of arterial hypertension was 87.5% in the exposed group and 71.8% in the unexposed population. The patient with the highest TCCD burden showed multiple signs of metabolic impairment, more severe than patients with lower TCDD levels. </w:t>
      </w:r>
      <w:proofErr w:type="spellStart"/>
      <w:r>
        <w:t>Pelcl</w:t>
      </w:r>
      <w:proofErr w:type="spellEnd"/>
      <w:r>
        <w:t xml:space="preserve"> et al suggested that TCDD played a role in the development of metabolic impairment and vascular changes in exposed subjects, although the nature of the study precluded a causal interpretation of the data.</w:t>
      </w:r>
    </w:p>
    <w:p w14:paraId="1424086C" w14:textId="77777777" w:rsidR="004D78C0" w:rsidRDefault="004D78C0" w:rsidP="004D78C0">
      <w:pPr>
        <w:pStyle w:val="PartHeading"/>
        <w:numPr>
          <w:ilvl w:val="0"/>
          <w:numId w:val="16"/>
        </w:numPr>
        <w:spacing w:before="360"/>
      </w:pPr>
      <w:bookmarkStart w:id="16" w:name="_Toc14446408"/>
      <w:bookmarkStart w:id="17" w:name="_Toc16844816"/>
      <w:r>
        <w:t>Summary and conclusions</w:t>
      </w:r>
      <w:bookmarkEnd w:id="16"/>
      <w:bookmarkEnd w:id="17"/>
    </w:p>
    <w:p w14:paraId="4563DCC5" w14:textId="77777777" w:rsidR="004D78C0" w:rsidRDefault="004D78C0" w:rsidP="004D78C0">
      <w:pPr>
        <w:pStyle w:val="NumberLevel1"/>
        <w:numPr>
          <w:ilvl w:val="0"/>
          <w:numId w:val="17"/>
        </w:numPr>
        <w:jc w:val="both"/>
      </w:pPr>
      <w:r w:rsidRPr="001C4A04">
        <w:rPr>
          <w:lang w:val="en"/>
        </w:rPr>
        <w:t xml:space="preserve">Overall, results of the available studies </w:t>
      </w:r>
      <w:bookmarkStart w:id="18" w:name="_Toc415058139"/>
      <w:r>
        <w:rPr>
          <w:lang w:val="en"/>
        </w:rPr>
        <w:t>indicate that</w:t>
      </w:r>
      <w:r>
        <w:t xml:space="preserve"> </w:t>
      </w:r>
      <w:bookmarkEnd w:id="18"/>
      <w:r>
        <w:t>t</w:t>
      </w:r>
      <w:r w:rsidRPr="00794812">
        <w:t>he evidence is too limited to permit a judgement of a probable or convincing causal relationship</w:t>
      </w:r>
      <w:r>
        <w:t xml:space="preserve"> between hypertension and exposure to dioxins and dioxin-contaminated compounds, including </w:t>
      </w:r>
      <w:proofErr w:type="spellStart"/>
      <w:r>
        <w:t>phenoxy</w:t>
      </w:r>
      <w:proofErr w:type="spellEnd"/>
      <w:r>
        <w:t xml:space="preserve"> herbicides,</w:t>
      </w:r>
      <w:r w:rsidRPr="00794812">
        <w:t xml:space="preserve"> but supports a judgement of a possible causal relationship</w:t>
      </w:r>
      <w:r>
        <w:t xml:space="preserve">. </w:t>
      </w:r>
      <w:r w:rsidRPr="00794812">
        <w:t>A</w:t>
      </w:r>
      <w:r>
        <w:t>n</w:t>
      </w:r>
      <w:r w:rsidRPr="00794812">
        <w:t xml:space="preserve"> association has been observed between exposure to </w:t>
      </w:r>
      <w:r>
        <w:t>these chemicals</w:t>
      </w:r>
      <w:r w:rsidRPr="00794812">
        <w:t xml:space="preserve"> and </w:t>
      </w:r>
      <w:r>
        <w:t>hypertension</w:t>
      </w:r>
      <w:r w:rsidRPr="00794812">
        <w:t xml:space="preserve">, but the evidence is limited in quality or quantity. </w:t>
      </w:r>
      <w:r>
        <w:t xml:space="preserve">This conclusion is based primarily on the </w:t>
      </w:r>
      <w:r w:rsidRPr="00794812">
        <w:t xml:space="preserve">finding of a significantly increased relative risk </w:t>
      </w:r>
      <w:r>
        <w:t>by the</w:t>
      </w:r>
      <w:r w:rsidRPr="00794812">
        <w:t xml:space="preserve"> high quality </w:t>
      </w:r>
      <w:r>
        <w:t xml:space="preserve">cross-sectional </w:t>
      </w:r>
      <w:r w:rsidRPr="00794812">
        <w:t>study</w:t>
      </w:r>
      <w:r>
        <w:t xml:space="preserve"> by </w:t>
      </w:r>
      <w:proofErr w:type="spellStart"/>
      <w:r>
        <w:t>Cypel</w:t>
      </w:r>
      <w:proofErr w:type="spellEnd"/>
      <w:r>
        <w:t xml:space="preserve"> et al (2016)</w:t>
      </w:r>
      <w:r w:rsidRPr="00794812">
        <w:t xml:space="preserve">, </w:t>
      </w:r>
      <w:r>
        <w:t>with</w:t>
      </w:r>
      <w:r w:rsidRPr="00794812">
        <w:t xml:space="preserve"> n</w:t>
      </w:r>
      <w:r>
        <w:t xml:space="preserve">o obvious biases or confounding, and some suggestion of a dose </w:t>
      </w:r>
      <w:r>
        <w:lastRenderedPageBreak/>
        <w:t xml:space="preserve">response. Other descriptive and analytical studies provided some signals of an association, </w:t>
      </w:r>
      <w:r w:rsidRPr="00794812">
        <w:t>but with evidence of bias or confounding</w:t>
      </w:r>
      <w:r>
        <w:t>, and a lack of specificity for dioxins</w:t>
      </w:r>
      <w:r w:rsidRPr="00794812">
        <w:t>.</w:t>
      </w:r>
      <w:r>
        <w:t xml:space="preserve"> </w:t>
      </w:r>
    </w:p>
    <w:p w14:paraId="23193AA0" w14:textId="1DBE3275" w:rsidR="004D78C0" w:rsidRDefault="004D78C0" w:rsidP="004D78C0">
      <w:pPr>
        <w:pStyle w:val="NumberLevel1"/>
        <w:numPr>
          <w:ilvl w:val="0"/>
          <w:numId w:val="17"/>
        </w:numPr>
        <w:jc w:val="both"/>
      </w:pPr>
      <w:r>
        <w:rPr>
          <w:lang w:val="en"/>
        </w:rPr>
        <w:t xml:space="preserve">The VEA requires that the same body of evidence be assessed according to two different standards of proof. For assessment under the reasonable hypothesis standard (s 196B(2)) the VEA requires that the </w:t>
      </w:r>
      <w:r>
        <w:t>sound medical-scientific evidence</w:t>
      </w:r>
      <w:r>
        <w:rPr>
          <w:lang w:val="en"/>
        </w:rPr>
        <w:t xml:space="preserve"> must indicate or point to a causal association between a risk factor </w:t>
      </w:r>
      <w:r w:rsidR="00811579">
        <w:rPr>
          <w:lang w:val="en"/>
        </w:rPr>
        <w:t>related to t</w:t>
      </w:r>
      <w:r w:rsidR="00811579">
        <w:rPr>
          <w:rFonts w:ascii="Helvetica" w:hAnsi="Helvetica" w:cs="Helvetica"/>
          <w:color w:val="333333"/>
          <w:shd w:val="clear" w:color="auto" w:fill="FFFFFF"/>
        </w:rPr>
        <w:t>he circumstances of service</w:t>
      </w:r>
      <w:r w:rsidR="00811579">
        <w:rPr>
          <w:lang w:val="en"/>
        </w:rPr>
        <w:t xml:space="preserve"> </w:t>
      </w:r>
      <w:r>
        <w:rPr>
          <w:lang w:val="en"/>
        </w:rPr>
        <w:t xml:space="preserve">and the disease in question. On the other hand, for the balance of probabilities standard (s </w:t>
      </w:r>
      <w:proofErr w:type="gramStart"/>
      <w:r>
        <w:rPr>
          <w:lang w:val="en"/>
        </w:rPr>
        <w:t>196B(</w:t>
      </w:r>
      <w:proofErr w:type="gramEnd"/>
      <w:r>
        <w:rPr>
          <w:lang w:val="en"/>
        </w:rPr>
        <w:t xml:space="preserve">3)), the </w:t>
      </w:r>
      <w:r>
        <w:t>sound medical-scientific evidence</w:t>
      </w:r>
      <w:r>
        <w:rPr>
          <w:lang w:val="en"/>
        </w:rPr>
        <w:t xml:space="preserve"> must show that it is more probable than not that there is a causal association between a risk factor </w:t>
      </w:r>
      <w:r w:rsidR="00811579">
        <w:rPr>
          <w:lang w:val="en"/>
        </w:rPr>
        <w:t>related to t</w:t>
      </w:r>
      <w:r w:rsidR="00811579">
        <w:rPr>
          <w:rFonts w:ascii="Helvetica" w:hAnsi="Helvetica" w:cs="Helvetica"/>
          <w:color w:val="333333"/>
          <w:shd w:val="clear" w:color="auto" w:fill="FFFFFF"/>
        </w:rPr>
        <w:t>he circumstances of service</w:t>
      </w:r>
      <w:r w:rsidR="00811579">
        <w:rPr>
          <w:lang w:val="en"/>
        </w:rPr>
        <w:t xml:space="preserve"> </w:t>
      </w:r>
      <w:r>
        <w:rPr>
          <w:lang w:val="en"/>
        </w:rPr>
        <w:t xml:space="preserve">and the disease. In this matter the distinction between those standards of proof is significant. </w:t>
      </w:r>
    </w:p>
    <w:p w14:paraId="19EAC36D" w14:textId="77777777" w:rsidR="004D78C0" w:rsidRDefault="004D78C0" w:rsidP="004D78C0">
      <w:pPr>
        <w:pStyle w:val="NumberLevel1"/>
        <w:numPr>
          <w:ilvl w:val="0"/>
          <w:numId w:val="17"/>
        </w:numPr>
        <w:jc w:val="both"/>
      </w:pPr>
      <w:r>
        <w:t>The available sound medical-scientific evidence</w:t>
      </w:r>
      <w:r w:rsidRPr="00B95069">
        <w:rPr>
          <w:lang w:val="en"/>
        </w:rPr>
        <w:t xml:space="preserve"> indicates or points to a causal association between </w:t>
      </w:r>
      <w:r>
        <w:t>"</w:t>
      </w:r>
      <w:r w:rsidRPr="00B95069">
        <w:t xml:space="preserve">exposure to </w:t>
      </w:r>
      <w:proofErr w:type="spellStart"/>
      <w:r w:rsidRPr="00B95069">
        <w:t>phenoxyherbicides</w:t>
      </w:r>
      <w:proofErr w:type="spellEnd"/>
      <w:r w:rsidRPr="00B95069">
        <w:t>/dioxin (Agent Orange)</w:t>
      </w:r>
      <w:r>
        <w:t>" and hypertension, such being sufficient to support a judgement of a possible causal association. The reasonable hypothesis standard is met and factors will be included in that Statement of Principles.</w:t>
      </w:r>
    </w:p>
    <w:p w14:paraId="5E57E205" w14:textId="77777777" w:rsidR="004D78C0" w:rsidRDefault="004D78C0" w:rsidP="004D78C0">
      <w:pPr>
        <w:pStyle w:val="NumberLevel1"/>
        <w:numPr>
          <w:ilvl w:val="0"/>
          <w:numId w:val="17"/>
        </w:numPr>
        <w:jc w:val="both"/>
      </w:pPr>
      <w:r>
        <w:t>However, as detailed in the reasons set out above, the sound medical-scientific evidence</w:t>
      </w:r>
      <w:r>
        <w:rPr>
          <w:lang w:val="en"/>
        </w:rPr>
        <w:t xml:space="preserve"> does not show that it is more probable than not that there is a causal association between </w:t>
      </w:r>
      <w:r>
        <w:t>"</w:t>
      </w:r>
      <w:r w:rsidRPr="00132586">
        <w:t xml:space="preserve">exposure to </w:t>
      </w:r>
      <w:proofErr w:type="spellStart"/>
      <w:r w:rsidRPr="00132586">
        <w:t>phenoxyherbicides</w:t>
      </w:r>
      <w:proofErr w:type="spellEnd"/>
      <w:r w:rsidRPr="00132586">
        <w:t>/dioxin (Agent Orange)</w:t>
      </w:r>
      <w:r>
        <w:t>" and hypertension. The available evidence is therefore insufficient to support a judgement of a probable causal association between "</w:t>
      </w:r>
      <w:r w:rsidRPr="00132586">
        <w:t xml:space="preserve">exposure to </w:t>
      </w:r>
      <w:proofErr w:type="spellStart"/>
      <w:r w:rsidRPr="00132586">
        <w:t>phenoxyherbicides</w:t>
      </w:r>
      <w:proofErr w:type="spellEnd"/>
      <w:r w:rsidRPr="00132586">
        <w:t>/dioxin (Agent Orange)</w:t>
      </w:r>
      <w:r>
        <w:t>" and hypertension, and the balance of probabilities standard cannot be met. In these circumstances no factors can be included in that Statement of Principles.</w:t>
      </w:r>
    </w:p>
    <w:p w14:paraId="6C86C736" w14:textId="77777777" w:rsidR="004D78C0" w:rsidRDefault="004D78C0" w:rsidP="004D78C0">
      <w:pPr>
        <w:pStyle w:val="PartHeading"/>
        <w:numPr>
          <w:ilvl w:val="0"/>
          <w:numId w:val="16"/>
        </w:numPr>
        <w:spacing w:before="360"/>
      </w:pPr>
      <w:bookmarkStart w:id="19" w:name="_Toc14446409"/>
      <w:bookmarkStart w:id="20" w:name="_Toc16844817"/>
      <w:r>
        <w:t>Decision not to amend Instrument No. 64 of 2013</w:t>
      </w:r>
      <w:bookmarkEnd w:id="19"/>
      <w:bookmarkEnd w:id="20"/>
    </w:p>
    <w:p w14:paraId="099543F4" w14:textId="4FDE0655" w:rsidR="004D78C0" w:rsidRDefault="004D78C0" w:rsidP="004D78C0">
      <w:pPr>
        <w:pStyle w:val="NumberLevel1"/>
        <w:keepNext/>
        <w:keepLines/>
        <w:numPr>
          <w:ilvl w:val="0"/>
          <w:numId w:val="17"/>
        </w:numPr>
        <w:jc w:val="both"/>
      </w:pPr>
      <w:r>
        <w:t xml:space="preserve">At its meeting on 7 August 2019 the Authority decided not to amend the balance of probabilities Statement of Principles in respect of hypertension for the purposes of subsections 196B(3) and (8) of the VEA as the Authority concluded, for the reasons set out above, that the sound medical-scientific evidence available to it, </w:t>
      </w:r>
      <w:r w:rsidRPr="00B95069">
        <w:t>including the new sound medical-scientific evidence</w:t>
      </w:r>
      <w:r>
        <w:t xml:space="preserve">, is insufficient to justify the inclusion of factors relating to </w:t>
      </w:r>
      <w:r w:rsidRPr="00B95069">
        <w:t xml:space="preserve">exposure to </w:t>
      </w:r>
      <w:proofErr w:type="spellStart"/>
      <w:r w:rsidRPr="00B95069">
        <w:t>phenoxyherbicides</w:t>
      </w:r>
      <w:proofErr w:type="spellEnd"/>
      <w:r w:rsidRPr="00B95069">
        <w:t>/dioxin (Agent Orange)</w:t>
      </w:r>
      <w:r>
        <w:t xml:space="preserve"> in the balance of probabilities Statement of Principles already determined in respect of hypertension.</w:t>
      </w:r>
    </w:p>
    <w:p w14:paraId="3E5C9952" w14:textId="77777777" w:rsidR="004D78C0" w:rsidRPr="000C3083" w:rsidRDefault="004D78C0" w:rsidP="004D78C0"/>
    <w:p w14:paraId="0172A2AE" w14:textId="4F464248" w:rsidR="004D78C0" w:rsidRDefault="00591BD7" w:rsidP="004D78C0">
      <w:r>
        <w:rPr>
          <w:noProof/>
        </w:rPr>
        <w:drawing>
          <wp:anchor distT="0" distB="0" distL="114300" distR="114300" simplePos="0" relativeHeight="251659264" behindDoc="1" locked="0" layoutInCell="1" allowOverlap="1" wp14:anchorId="6CB67895" wp14:editId="03DBD2D8">
            <wp:simplePos x="0" y="0"/>
            <wp:positionH relativeFrom="margin">
              <wp:align>left</wp:align>
            </wp:positionH>
            <wp:positionV relativeFrom="paragraph">
              <wp:posOffset>5715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14:paraId="7003DED5" w14:textId="5EE7C1C8" w:rsidR="004D78C0" w:rsidRDefault="004D78C0" w:rsidP="00591BD7"/>
    <w:p w14:paraId="7C021149" w14:textId="45CC7235" w:rsidR="00591BD7" w:rsidRDefault="00591BD7" w:rsidP="00591BD7"/>
    <w:p w14:paraId="5B1148E1" w14:textId="77777777" w:rsidR="00591BD7" w:rsidRPr="00591BD7" w:rsidRDefault="00591BD7" w:rsidP="00591BD7"/>
    <w:p w14:paraId="5F888E35" w14:textId="77777777" w:rsidR="004D78C0" w:rsidRPr="00591BD7" w:rsidRDefault="004D78C0" w:rsidP="00591BD7"/>
    <w:p w14:paraId="14C478C6" w14:textId="77777777" w:rsidR="004D78C0" w:rsidRDefault="004D78C0" w:rsidP="004D78C0">
      <w:pPr>
        <w:keepNext/>
        <w:outlineLvl w:val="0"/>
        <w:rPr>
          <w:rFonts w:ascii="Arial" w:hAnsi="Arial" w:cs="Arial"/>
          <w:sz w:val="22"/>
          <w:szCs w:val="22"/>
        </w:rPr>
      </w:pPr>
      <w:r>
        <w:rPr>
          <w:rFonts w:ascii="Arial" w:hAnsi="Arial" w:cs="Arial"/>
          <w:sz w:val="22"/>
          <w:szCs w:val="22"/>
        </w:rPr>
        <w:t>Professor Nicholas Saunders AO</w:t>
      </w:r>
    </w:p>
    <w:p w14:paraId="5059FE86" w14:textId="77777777" w:rsidR="004D78C0" w:rsidRDefault="004D78C0" w:rsidP="004D78C0">
      <w:pPr>
        <w:outlineLvl w:val="0"/>
        <w:rPr>
          <w:rFonts w:ascii="Arial" w:hAnsi="Arial" w:cs="Arial"/>
          <w:sz w:val="22"/>
          <w:szCs w:val="22"/>
        </w:rPr>
      </w:pPr>
      <w:r>
        <w:rPr>
          <w:rFonts w:ascii="Arial" w:hAnsi="Arial" w:cs="Arial"/>
          <w:sz w:val="22"/>
          <w:szCs w:val="22"/>
        </w:rPr>
        <w:t>Chairperson</w:t>
      </w:r>
    </w:p>
    <w:p w14:paraId="2786362B" w14:textId="77777777" w:rsidR="004D78C0" w:rsidRDefault="004D78C0" w:rsidP="004D78C0">
      <w:pPr>
        <w:rPr>
          <w:rFonts w:ascii="Arial" w:hAnsi="Arial" w:cs="Arial"/>
          <w:sz w:val="22"/>
          <w:szCs w:val="22"/>
        </w:rPr>
      </w:pPr>
      <w:r>
        <w:rPr>
          <w:rFonts w:ascii="Arial" w:hAnsi="Arial" w:cs="Arial"/>
          <w:sz w:val="22"/>
          <w:szCs w:val="22"/>
        </w:rPr>
        <w:t>Repatriation Medical Authority</w:t>
      </w:r>
    </w:p>
    <w:p w14:paraId="62D8E124" w14:textId="77777777" w:rsidR="004D78C0" w:rsidRDefault="004D78C0" w:rsidP="004D78C0">
      <w:pPr>
        <w:jc w:val="both"/>
        <w:rPr>
          <w:rFonts w:ascii="Arial" w:hAnsi="Arial" w:cs="Arial"/>
          <w:sz w:val="22"/>
          <w:szCs w:val="22"/>
        </w:rPr>
      </w:pPr>
    </w:p>
    <w:p w14:paraId="354213E5" w14:textId="6DB8F6BB" w:rsidR="004D78C0" w:rsidRDefault="004D78C0" w:rsidP="004D78C0">
      <w:pPr>
        <w:keepNext/>
        <w:jc w:val="both"/>
        <w:outlineLvl w:val="8"/>
      </w:pPr>
      <w:r>
        <w:rPr>
          <w:rFonts w:ascii="Arial" w:hAnsi="Arial" w:cs="Arial"/>
          <w:sz w:val="22"/>
          <w:szCs w:val="22"/>
        </w:rPr>
        <w:t>2</w:t>
      </w:r>
      <w:r w:rsidR="009B6843">
        <w:rPr>
          <w:rFonts w:ascii="Arial" w:hAnsi="Arial" w:cs="Arial"/>
          <w:sz w:val="22"/>
          <w:szCs w:val="22"/>
        </w:rPr>
        <w:t>3</w:t>
      </w:r>
      <w:r>
        <w:rPr>
          <w:rFonts w:ascii="Arial" w:hAnsi="Arial" w:cs="Arial"/>
          <w:sz w:val="22"/>
          <w:szCs w:val="22"/>
        </w:rPr>
        <w:t xml:space="preserve"> August 2019</w:t>
      </w:r>
    </w:p>
    <w:p w14:paraId="43020EA9" w14:textId="77777777" w:rsidR="004D78C0" w:rsidRDefault="004D78C0" w:rsidP="004D78C0">
      <w:pPr>
        <w:pStyle w:val="PartHeading"/>
        <w:numPr>
          <w:ilvl w:val="0"/>
          <w:numId w:val="16"/>
        </w:numPr>
        <w:tabs>
          <w:tab w:val="clear" w:pos="1134"/>
          <w:tab w:val="num" w:pos="1238"/>
        </w:tabs>
        <w:spacing w:line="480" w:lineRule="auto"/>
        <w:ind w:left="1238"/>
        <w:rPr>
          <w:szCs w:val="20"/>
        </w:rPr>
      </w:pPr>
      <w:r>
        <w:rPr>
          <w:rFonts w:ascii="Palatino Linotype" w:hAnsi="Palatino Linotype"/>
          <w:b w:val="0"/>
          <w:caps w:val="0"/>
        </w:rPr>
        <w:br w:type="page"/>
      </w:r>
      <w:bookmarkStart w:id="21" w:name="_Toc135439896"/>
      <w:r>
        <w:rPr>
          <w:szCs w:val="20"/>
        </w:rPr>
        <w:lastRenderedPageBreak/>
        <w:t xml:space="preserve"> </w:t>
      </w:r>
      <w:r>
        <w:rPr>
          <w:szCs w:val="20"/>
        </w:rPr>
        <w:tab/>
      </w:r>
      <w:bookmarkStart w:id="22" w:name="_Toc14446410"/>
      <w:bookmarkStart w:id="23" w:name="_Toc16844818"/>
      <w:r>
        <w:rPr>
          <w:szCs w:val="20"/>
        </w:rPr>
        <w:t>Bibliography</w:t>
      </w:r>
      <w:bookmarkEnd w:id="21"/>
      <w:bookmarkEnd w:id="22"/>
      <w:bookmarkEnd w:id="23"/>
    </w:p>
    <w:p w14:paraId="40F93466" w14:textId="77777777" w:rsidR="004D78C0" w:rsidRDefault="004D78C0" w:rsidP="004D78C0">
      <w:pPr>
        <w:jc w:val="both"/>
        <w:rPr>
          <w:rFonts w:ascii="Arial" w:hAnsi="Arial" w:cs="Arial"/>
          <w:sz w:val="22"/>
          <w:szCs w:val="22"/>
        </w:rPr>
      </w:pPr>
    </w:p>
    <w:p w14:paraId="335C0014"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Akahane</w:t>
      </w:r>
      <w:proofErr w:type="spellEnd"/>
      <w:r w:rsidRPr="005868F2">
        <w:rPr>
          <w:rFonts w:ascii="Arial" w:hAnsi="Arial" w:cs="Arial"/>
          <w:sz w:val="22"/>
          <w:szCs w:val="22"/>
        </w:rPr>
        <w:t xml:space="preserve"> M, Matsumoto S, Kanagawa Y et al (2018)</w:t>
      </w:r>
      <w:r>
        <w:rPr>
          <w:rFonts w:ascii="Arial" w:hAnsi="Arial" w:cs="Arial"/>
          <w:sz w:val="22"/>
          <w:szCs w:val="22"/>
        </w:rPr>
        <w:t>.</w:t>
      </w:r>
      <w:r w:rsidRPr="005868F2">
        <w:rPr>
          <w:rFonts w:ascii="Arial" w:hAnsi="Arial" w:cs="Arial"/>
          <w:sz w:val="22"/>
          <w:szCs w:val="22"/>
        </w:rPr>
        <w:t xml:space="preserve"> Long-term health effects of PCBs and related compounds: a comparative analysis of patients suffering from </w:t>
      </w:r>
      <w:proofErr w:type="spellStart"/>
      <w:r w:rsidRPr="005868F2">
        <w:rPr>
          <w:rFonts w:ascii="Arial" w:hAnsi="Arial" w:cs="Arial"/>
          <w:sz w:val="22"/>
          <w:szCs w:val="22"/>
        </w:rPr>
        <w:t>Yusho</w:t>
      </w:r>
      <w:proofErr w:type="spellEnd"/>
      <w:r w:rsidRPr="005868F2">
        <w:rPr>
          <w:rFonts w:ascii="Arial" w:hAnsi="Arial" w:cs="Arial"/>
          <w:sz w:val="22"/>
          <w:szCs w:val="22"/>
        </w:rPr>
        <w:t xml:space="preserve"> and the general population</w:t>
      </w:r>
      <w:r>
        <w:rPr>
          <w:rFonts w:ascii="Arial" w:hAnsi="Arial" w:cs="Arial"/>
          <w:sz w:val="22"/>
          <w:szCs w:val="22"/>
        </w:rPr>
        <w:t>.</w:t>
      </w:r>
      <w:r w:rsidRPr="005868F2">
        <w:rPr>
          <w:rFonts w:ascii="Arial" w:hAnsi="Arial" w:cs="Arial"/>
          <w:sz w:val="22"/>
          <w:szCs w:val="22"/>
        </w:rPr>
        <w:t xml:space="preserve"> Archives of Environmental Contamination &amp; Toxicology</w:t>
      </w:r>
      <w:r>
        <w:rPr>
          <w:rFonts w:ascii="Arial" w:hAnsi="Arial" w:cs="Arial"/>
          <w:sz w:val="22"/>
          <w:szCs w:val="22"/>
        </w:rPr>
        <w:t>,</w:t>
      </w:r>
      <w:r w:rsidRPr="005868F2">
        <w:rPr>
          <w:rFonts w:ascii="Arial" w:hAnsi="Arial" w:cs="Arial"/>
          <w:sz w:val="22"/>
          <w:szCs w:val="22"/>
        </w:rPr>
        <w:t xml:space="preserve"> 74(2): 203-17</w:t>
      </w:r>
      <w:r>
        <w:rPr>
          <w:rFonts w:ascii="Arial" w:hAnsi="Arial" w:cs="Arial"/>
          <w:sz w:val="22"/>
          <w:szCs w:val="22"/>
        </w:rPr>
        <w:t>.</w:t>
      </w:r>
    </w:p>
    <w:p w14:paraId="6B7BBCA1"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Arrebola</w:t>
      </w:r>
      <w:proofErr w:type="spellEnd"/>
      <w:r w:rsidRPr="005868F2">
        <w:rPr>
          <w:rFonts w:ascii="Arial" w:hAnsi="Arial" w:cs="Arial"/>
          <w:sz w:val="22"/>
          <w:szCs w:val="22"/>
        </w:rPr>
        <w:t xml:space="preserve"> JP, </w:t>
      </w:r>
      <w:proofErr w:type="spellStart"/>
      <w:r w:rsidRPr="005868F2">
        <w:rPr>
          <w:rFonts w:ascii="Arial" w:hAnsi="Arial" w:cs="Arial"/>
          <w:sz w:val="22"/>
          <w:szCs w:val="22"/>
        </w:rPr>
        <w:t>Fernández</w:t>
      </w:r>
      <w:proofErr w:type="spellEnd"/>
      <w:r w:rsidRPr="005868F2">
        <w:rPr>
          <w:rFonts w:ascii="Arial" w:hAnsi="Arial" w:cs="Arial"/>
          <w:sz w:val="22"/>
          <w:szCs w:val="22"/>
        </w:rPr>
        <w:t xml:space="preserve"> MF, Martin-</w:t>
      </w:r>
      <w:proofErr w:type="spellStart"/>
      <w:r w:rsidRPr="005868F2">
        <w:rPr>
          <w:rFonts w:ascii="Arial" w:hAnsi="Arial" w:cs="Arial"/>
          <w:sz w:val="22"/>
          <w:szCs w:val="22"/>
        </w:rPr>
        <w:t>Olmedo</w:t>
      </w:r>
      <w:proofErr w:type="spellEnd"/>
      <w:r w:rsidRPr="005868F2">
        <w:rPr>
          <w:rFonts w:ascii="Arial" w:hAnsi="Arial" w:cs="Arial"/>
          <w:sz w:val="22"/>
          <w:szCs w:val="22"/>
        </w:rPr>
        <w:t xml:space="preserve"> P, et al (2015)  Historical exposure to persistent organic pollutants and risk of incident hypertension. Environ Res</w:t>
      </w:r>
      <w:r>
        <w:rPr>
          <w:rFonts w:ascii="Arial" w:hAnsi="Arial" w:cs="Arial"/>
          <w:sz w:val="22"/>
          <w:szCs w:val="22"/>
        </w:rPr>
        <w:t>,</w:t>
      </w:r>
      <w:r w:rsidRPr="005868F2">
        <w:rPr>
          <w:rFonts w:ascii="Arial" w:hAnsi="Arial" w:cs="Arial"/>
          <w:sz w:val="22"/>
          <w:szCs w:val="22"/>
        </w:rPr>
        <w:t xml:space="preserve"> 138: 217-23.</w:t>
      </w:r>
    </w:p>
    <w:p w14:paraId="050063A1"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Cappelletti</w:t>
      </w:r>
      <w:proofErr w:type="spellEnd"/>
      <w:r w:rsidRPr="005868F2">
        <w:rPr>
          <w:rFonts w:ascii="Arial" w:hAnsi="Arial" w:cs="Arial"/>
          <w:sz w:val="22"/>
          <w:szCs w:val="22"/>
        </w:rPr>
        <w:t xml:space="preserve"> R, </w:t>
      </w:r>
      <w:proofErr w:type="spellStart"/>
      <w:r w:rsidRPr="005868F2">
        <w:rPr>
          <w:rFonts w:ascii="Arial" w:hAnsi="Arial" w:cs="Arial"/>
          <w:sz w:val="22"/>
          <w:szCs w:val="22"/>
        </w:rPr>
        <w:t>Ceppi</w:t>
      </w:r>
      <w:proofErr w:type="spellEnd"/>
      <w:r w:rsidRPr="005868F2">
        <w:rPr>
          <w:rFonts w:ascii="Arial" w:hAnsi="Arial" w:cs="Arial"/>
          <w:sz w:val="22"/>
          <w:szCs w:val="22"/>
        </w:rPr>
        <w:t xml:space="preserve"> M, </w:t>
      </w:r>
      <w:proofErr w:type="spellStart"/>
      <w:r w:rsidRPr="005868F2">
        <w:rPr>
          <w:rFonts w:ascii="Arial" w:hAnsi="Arial" w:cs="Arial"/>
          <w:sz w:val="22"/>
          <w:szCs w:val="22"/>
        </w:rPr>
        <w:t>Claudatus</w:t>
      </w:r>
      <w:proofErr w:type="spellEnd"/>
      <w:r w:rsidRPr="005868F2">
        <w:rPr>
          <w:rFonts w:ascii="Arial" w:hAnsi="Arial" w:cs="Arial"/>
          <w:sz w:val="22"/>
          <w:szCs w:val="22"/>
        </w:rPr>
        <w:t xml:space="preserve"> J</w:t>
      </w:r>
      <w:r>
        <w:rPr>
          <w:rFonts w:ascii="Arial" w:hAnsi="Arial" w:cs="Arial"/>
          <w:sz w:val="22"/>
          <w:szCs w:val="22"/>
        </w:rPr>
        <w:t>,</w:t>
      </w:r>
      <w:r w:rsidRPr="005868F2">
        <w:rPr>
          <w:rFonts w:ascii="Arial" w:hAnsi="Arial" w:cs="Arial"/>
          <w:sz w:val="22"/>
          <w:szCs w:val="22"/>
        </w:rPr>
        <w:t xml:space="preserve"> </w:t>
      </w:r>
      <w:proofErr w:type="spellStart"/>
      <w:r w:rsidRPr="005868F2">
        <w:rPr>
          <w:rFonts w:ascii="Arial" w:hAnsi="Arial" w:cs="Arial"/>
          <w:sz w:val="22"/>
          <w:szCs w:val="22"/>
        </w:rPr>
        <w:t>Gennaro</w:t>
      </w:r>
      <w:proofErr w:type="spellEnd"/>
      <w:r w:rsidRPr="005868F2">
        <w:rPr>
          <w:rFonts w:ascii="Arial" w:hAnsi="Arial" w:cs="Arial"/>
          <w:sz w:val="22"/>
          <w:szCs w:val="22"/>
        </w:rPr>
        <w:t xml:space="preserve"> V (2016). Health status of male steel workers at an electric arc furnace (EAF) in Trentino, Italy. Journal of Occupational Medicine and Toxicology</w:t>
      </w:r>
      <w:r>
        <w:rPr>
          <w:rFonts w:ascii="Arial" w:hAnsi="Arial" w:cs="Arial"/>
          <w:sz w:val="22"/>
          <w:szCs w:val="22"/>
        </w:rPr>
        <w:t>,</w:t>
      </w:r>
      <w:r w:rsidRPr="005868F2">
        <w:rPr>
          <w:rFonts w:ascii="Arial" w:hAnsi="Arial" w:cs="Arial"/>
          <w:sz w:val="22"/>
          <w:szCs w:val="22"/>
        </w:rPr>
        <w:t xml:space="preserve"> 11(1):</w:t>
      </w:r>
      <w:r>
        <w:rPr>
          <w:rFonts w:ascii="Arial" w:hAnsi="Arial" w:cs="Arial"/>
          <w:sz w:val="22"/>
          <w:szCs w:val="22"/>
        </w:rPr>
        <w:t xml:space="preserve"> </w:t>
      </w:r>
      <w:r w:rsidRPr="005868F2">
        <w:rPr>
          <w:rFonts w:ascii="Arial" w:hAnsi="Arial" w:cs="Arial"/>
          <w:sz w:val="22"/>
          <w:szCs w:val="22"/>
        </w:rPr>
        <w:t>7.</w:t>
      </w:r>
    </w:p>
    <w:p w14:paraId="7AFAC3C5"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Chang JW, </w:t>
      </w:r>
      <w:proofErr w:type="spellStart"/>
      <w:r w:rsidRPr="005868F2">
        <w:rPr>
          <w:rFonts w:ascii="Arial" w:hAnsi="Arial" w:cs="Arial"/>
          <w:sz w:val="22"/>
          <w:szCs w:val="22"/>
        </w:rPr>
        <w:t>Ou</w:t>
      </w:r>
      <w:proofErr w:type="spellEnd"/>
      <w:r w:rsidRPr="005868F2">
        <w:rPr>
          <w:rFonts w:ascii="Arial" w:hAnsi="Arial" w:cs="Arial"/>
          <w:sz w:val="22"/>
          <w:szCs w:val="22"/>
        </w:rPr>
        <w:t xml:space="preserve"> HY, Chen HL, et al (2010). Interrelationship between exposure to PCDD/Fs and hypertension in metabolic syndrome in Taiwanese living near a highly contaminated area. Chemosphere</w:t>
      </w:r>
      <w:r>
        <w:rPr>
          <w:rFonts w:ascii="Arial" w:hAnsi="Arial" w:cs="Arial"/>
          <w:sz w:val="22"/>
          <w:szCs w:val="22"/>
        </w:rPr>
        <w:t>,</w:t>
      </w:r>
      <w:r w:rsidRPr="005868F2">
        <w:rPr>
          <w:rFonts w:ascii="Arial" w:hAnsi="Arial" w:cs="Arial"/>
          <w:sz w:val="22"/>
          <w:szCs w:val="22"/>
        </w:rPr>
        <w:t xml:space="preserve"> 81: 1027–32.</w:t>
      </w:r>
    </w:p>
    <w:p w14:paraId="013543D2"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Cypel</w:t>
      </w:r>
      <w:proofErr w:type="spellEnd"/>
      <w:r w:rsidRPr="005868F2">
        <w:rPr>
          <w:rFonts w:ascii="Arial" w:hAnsi="Arial" w:cs="Arial"/>
          <w:sz w:val="22"/>
          <w:szCs w:val="22"/>
        </w:rPr>
        <w:t xml:space="preserve"> YS, Kress AM, Eber SM, </w:t>
      </w:r>
      <w:r>
        <w:rPr>
          <w:rFonts w:ascii="Arial" w:hAnsi="Arial" w:cs="Arial"/>
          <w:sz w:val="22"/>
          <w:szCs w:val="22"/>
        </w:rPr>
        <w:t>et al</w:t>
      </w:r>
      <w:r w:rsidRPr="005868F2">
        <w:rPr>
          <w:rFonts w:ascii="Arial" w:hAnsi="Arial" w:cs="Arial"/>
          <w:sz w:val="22"/>
          <w:szCs w:val="22"/>
        </w:rPr>
        <w:t xml:space="preserve"> (2016). Herbicide </w:t>
      </w:r>
      <w:r>
        <w:rPr>
          <w:rFonts w:ascii="Arial" w:hAnsi="Arial" w:cs="Arial"/>
          <w:sz w:val="22"/>
          <w:szCs w:val="22"/>
        </w:rPr>
        <w:t>e</w:t>
      </w:r>
      <w:r w:rsidRPr="005868F2">
        <w:rPr>
          <w:rFonts w:ascii="Arial" w:hAnsi="Arial" w:cs="Arial"/>
          <w:sz w:val="22"/>
          <w:szCs w:val="22"/>
        </w:rPr>
        <w:t xml:space="preserve">xposure, Vietnam </w:t>
      </w:r>
      <w:r>
        <w:rPr>
          <w:rFonts w:ascii="Arial" w:hAnsi="Arial" w:cs="Arial"/>
          <w:sz w:val="22"/>
          <w:szCs w:val="22"/>
        </w:rPr>
        <w:t>s</w:t>
      </w:r>
      <w:r w:rsidRPr="005868F2">
        <w:rPr>
          <w:rFonts w:ascii="Arial" w:hAnsi="Arial" w:cs="Arial"/>
          <w:sz w:val="22"/>
          <w:szCs w:val="22"/>
        </w:rPr>
        <w:t xml:space="preserve">ervice, and </w:t>
      </w:r>
      <w:r>
        <w:rPr>
          <w:rFonts w:ascii="Arial" w:hAnsi="Arial" w:cs="Arial"/>
          <w:sz w:val="22"/>
          <w:szCs w:val="22"/>
        </w:rPr>
        <w:t>h</w:t>
      </w:r>
      <w:r w:rsidRPr="005868F2">
        <w:rPr>
          <w:rFonts w:ascii="Arial" w:hAnsi="Arial" w:cs="Arial"/>
          <w:sz w:val="22"/>
          <w:szCs w:val="22"/>
        </w:rPr>
        <w:t xml:space="preserve">ypertension </w:t>
      </w:r>
      <w:r>
        <w:rPr>
          <w:rFonts w:ascii="Arial" w:hAnsi="Arial" w:cs="Arial"/>
          <w:sz w:val="22"/>
          <w:szCs w:val="22"/>
        </w:rPr>
        <w:t>r</w:t>
      </w:r>
      <w:r w:rsidRPr="005868F2">
        <w:rPr>
          <w:rFonts w:ascii="Arial" w:hAnsi="Arial" w:cs="Arial"/>
          <w:sz w:val="22"/>
          <w:szCs w:val="22"/>
        </w:rPr>
        <w:t xml:space="preserve">isk in Army Chemical Corps Veterans. J </w:t>
      </w:r>
      <w:proofErr w:type="spellStart"/>
      <w:r w:rsidRPr="005868F2">
        <w:rPr>
          <w:rFonts w:ascii="Arial" w:hAnsi="Arial" w:cs="Arial"/>
          <w:sz w:val="22"/>
          <w:szCs w:val="22"/>
        </w:rPr>
        <w:t>Occup</w:t>
      </w:r>
      <w:proofErr w:type="spellEnd"/>
      <w:r w:rsidRPr="005868F2">
        <w:rPr>
          <w:rFonts w:ascii="Arial" w:hAnsi="Arial" w:cs="Arial"/>
          <w:sz w:val="22"/>
          <w:szCs w:val="22"/>
        </w:rPr>
        <w:t xml:space="preserve"> Environ Med</w:t>
      </w:r>
      <w:r>
        <w:rPr>
          <w:rFonts w:ascii="Arial" w:hAnsi="Arial" w:cs="Arial"/>
          <w:sz w:val="22"/>
          <w:szCs w:val="22"/>
        </w:rPr>
        <w:t xml:space="preserve">, </w:t>
      </w:r>
      <w:r w:rsidRPr="005868F2">
        <w:rPr>
          <w:rFonts w:ascii="Arial" w:hAnsi="Arial" w:cs="Arial"/>
          <w:sz w:val="22"/>
          <w:szCs w:val="22"/>
        </w:rPr>
        <w:t>58(11):</w:t>
      </w:r>
      <w:r>
        <w:rPr>
          <w:rFonts w:ascii="Arial" w:hAnsi="Arial" w:cs="Arial"/>
          <w:sz w:val="22"/>
          <w:szCs w:val="22"/>
        </w:rPr>
        <w:t xml:space="preserve"> </w:t>
      </w:r>
      <w:r w:rsidRPr="005868F2">
        <w:rPr>
          <w:rFonts w:ascii="Arial" w:hAnsi="Arial" w:cs="Arial"/>
          <w:sz w:val="22"/>
          <w:szCs w:val="22"/>
        </w:rPr>
        <w:t>1127-36</w:t>
      </w:r>
      <w:r>
        <w:rPr>
          <w:rFonts w:ascii="Arial" w:hAnsi="Arial" w:cs="Arial"/>
          <w:sz w:val="22"/>
          <w:szCs w:val="22"/>
        </w:rPr>
        <w:t>.</w:t>
      </w:r>
    </w:p>
    <w:p w14:paraId="73778E73"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Goncharov</w:t>
      </w:r>
      <w:proofErr w:type="spellEnd"/>
      <w:r w:rsidRPr="005868F2">
        <w:rPr>
          <w:rFonts w:ascii="Arial" w:hAnsi="Arial" w:cs="Arial"/>
          <w:sz w:val="22"/>
          <w:szCs w:val="22"/>
        </w:rPr>
        <w:t xml:space="preserve"> A, Bloom M, </w:t>
      </w:r>
      <w:proofErr w:type="spellStart"/>
      <w:r w:rsidRPr="005868F2">
        <w:rPr>
          <w:rFonts w:ascii="Arial" w:hAnsi="Arial" w:cs="Arial"/>
          <w:sz w:val="22"/>
          <w:szCs w:val="22"/>
        </w:rPr>
        <w:t>Pavuk</w:t>
      </w:r>
      <w:proofErr w:type="spellEnd"/>
      <w:r w:rsidRPr="005868F2">
        <w:rPr>
          <w:rFonts w:ascii="Arial" w:hAnsi="Arial" w:cs="Arial"/>
          <w:sz w:val="22"/>
          <w:szCs w:val="22"/>
        </w:rPr>
        <w:t xml:space="preserve"> M, et al (2010)</w:t>
      </w:r>
      <w:r>
        <w:rPr>
          <w:rFonts w:ascii="Arial" w:hAnsi="Arial" w:cs="Arial"/>
          <w:sz w:val="22"/>
          <w:szCs w:val="22"/>
        </w:rPr>
        <w:t>.</w:t>
      </w:r>
      <w:r w:rsidRPr="005868F2">
        <w:rPr>
          <w:rFonts w:ascii="Arial" w:hAnsi="Arial" w:cs="Arial"/>
          <w:sz w:val="22"/>
          <w:szCs w:val="22"/>
        </w:rPr>
        <w:t xml:space="preserve"> Blood pressure and hypertension in relation to levels of serum polychlorinated biphenyls in residents of Anniston, Alabama. J </w:t>
      </w:r>
      <w:proofErr w:type="spellStart"/>
      <w:r w:rsidRPr="005868F2">
        <w:rPr>
          <w:rFonts w:ascii="Arial" w:hAnsi="Arial" w:cs="Arial"/>
          <w:sz w:val="22"/>
          <w:szCs w:val="22"/>
        </w:rPr>
        <w:t>Hypertens</w:t>
      </w:r>
      <w:proofErr w:type="spellEnd"/>
      <w:r w:rsidRPr="005868F2">
        <w:rPr>
          <w:rFonts w:ascii="Arial" w:hAnsi="Arial" w:cs="Arial"/>
          <w:sz w:val="22"/>
          <w:szCs w:val="22"/>
        </w:rPr>
        <w:t>, 28:</w:t>
      </w:r>
      <w:r>
        <w:rPr>
          <w:rFonts w:ascii="Arial" w:hAnsi="Arial" w:cs="Arial"/>
          <w:sz w:val="22"/>
          <w:szCs w:val="22"/>
        </w:rPr>
        <w:t xml:space="preserve"> </w:t>
      </w:r>
      <w:r w:rsidRPr="005868F2">
        <w:rPr>
          <w:rFonts w:ascii="Arial" w:hAnsi="Arial" w:cs="Arial"/>
          <w:sz w:val="22"/>
          <w:szCs w:val="22"/>
        </w:rPr>
        <w:t>2053–60.</w:t>
      </w:r>
    </w:p>
    <w:p w14:paraId="4CA0D6B3"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Goncharov</w:t>
      </w:r>
      <w:proofErr w:type="spellEnd"/>
      <w:r w:rsidRPr="005868F2">
        <w:rPr>
          <w:rFonts w:ascii="Arial" w:hAnsi="Arial" w:cs="Arial"/>
          <w:sz w:val="22"/>
          <w:szCs w:val="22"/>
        </w:rPr>
        <w:t xml:space="preserve"> A, </w:t>
      </w:r>
      <w:proofErr w:type="spellStart"/>
      <w:r w:rsidRPr="005868F2">
        <w:rPr>
          <w:rFonts w:ascii="Arial" w:hAnsi="Arial" w:cs="Arial"/>
          <w:sz w:val="22"/>
          <w:szCs w:val="22"/>
        </w:rPr>
        <w:t>Pavuk</w:t>
      </w:r>
      <w:proofErr w:type="spellEnd"/>
      <w:r w:rsidRPr="005868F2">
        <w:rPr>
          <w:rFonts w:ascii="Arial" w:hAnsi="Arial" w:cs="Arial"/>
          <w:sz w:val="22"/>
          <w:szCs w:val="22"/>
        </w:rPr>
        <w:t xml:space="preserve"> M, </w:t>
      </w:r>
      <w:proofErr w:type="spellStart"/>
      <w:r w:rsidRPr="005868F2">
        <w:rPr>
          <w:rFonts w:ascii="Arial" w:hAnsi="Arial" w:cs="Arial"/>
          <w:sz w:val="22"/>
          <w:szCs w:val="22"/>
        </w:rPr>
        <w:t>Foushee</w:t>
      </w:r>
      <w:proofErr w:type="spellEnd"/>
      <w:r w:rsidRPr="005868F2">
        <w:rPr>
          <w:rFonts w:ascii="Arial" w:hAnsi="Arial" w:cs="Arial"/>
          <w:sz w:val="22"/>
          <w:szCs w:val="22"/>
        </w:rPr>
        <w:t xml:space="preserve"> HR, et al (2011)</w:t>
      </w:r>
      <w:r>
        <w:rPr>
          <w:rFonts w:ascii="Arial" w:hAnsi="Arial" w:cs="Arial"/>
          <w:sz w:val="22"/>
          <w:szCs w:val="22"/>
        </w:rPr>
        <w:t>.</w:t>
      </w:r>
      <w:r w:rsidRPr="005868F2">
        <w:rPr>
          <w:rFonts w:ascii="Arial" w:hAnsi="Arial" w:cs="Arial"/>
          <w:sz w:val="22"/>
          <w:szCs w:val="22"/>
        </w:rPr>
        <w:t xml:space="preserve"> Blood pressure in relation to concentrations of PCB congeners and chlorinated pesticides. Environ Health </w:t>
      </w:r>
      <w:proofErr w:type="spellStart"/>
      <w:r w:rsidRPr="005868F2">
        <w:rPr>
          <w:rFonts w:ascii="Arial" w:hAnsi="Arial" w:cs="Arial"/>
          <w:sz w:val="22"/>
          <w:szCs w:val="22"/>
        </w:rPr>
        <w:t>Perspect</w:t>
      </w:r>
      <w:proofErr w:type="spellEnd"/>
      <w:r>
        <w:rPr>
          <w:rFonts w:ascii="Arial" w:hAnsi="Arial" w:cs="Arial"/>
          <w:sz w:val="22"/>
          <w:szCs w:val="22"/>
        </w:rPr>
        <w:t>,</w:t>
      </w:r>
      <w:r w:rsidRPr="005868F2">
        <w:rPr>
          <w:rFonts w:ascii="Arial" w:hAnsi="Arial" w:cs="Arial"/>
          <w:sz w:val="22"/>
          <w:szCs w:val="22"/>
        </w:rPr>
        <w:t xml:space="preserve"> 119(3): 319–25.</w:t>
      </w:r>
    </w:p>
    <w:p w14:paraId="51597F3F"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Ha MH, Lee DH, Son HK, et al (2009)</w:t>
      </w:r>
      <w:r>
        <w:rPr>
          <w:rFonts w:ascii="Arial" w:hAnsi="Arial" w:cs="Arial"/>
          <w:sz w:val="22"/>
          <w:szCs w:val="22"/>
        </w:rPr>
        <w:t>.</w:t>
      </w:r>
      <w:r w:rsidRPr="005868F2">
        <w:rPr>
          <w:rFonts w:ascii="Arial" w:hAnsi="Arial" w:cs="Arial"/>
          <w:sz w:val="22"/>
          <w:szCs w:val="22"/>
        </w:rPr>
        <w:t xml:space="preserve"> Association between serum concentrations of persistent organic pollutants and prevalence of newly diagnosed hypertension: results from the National Health and Nutrition Examination Survey 1999–2002. J Hum </w:t>
      </w:r>
      <w:proofErr w:type="spellStart"/>
      <w:r w:rsidRPr="005868F2">
        <w:rPr>
          <w:rFonts w:ascii="Arial" w:hAnsi="Arial" w:cs="Arial"/>
          <w:sz w:val="22"/>
          <w:szCs w:val="22"/>
        </w:rPr>
        <w:t>Hyperten</w:t>
      </w:r>
      <w:proofErr w:type="spellEnd"/>
      <w:r>
        <w:rPr>
          <w:rFonts w:ascii="Arial" w:hAnsi="Arial" w:cs="Arial"/>
          <w:sz w:val="22"/>
          <w:szCs w:val="22"/>
        </w:rPr>
        <w:t>,</w:t>
      </w:r>
      <w:r w:rsidRPr="005868F2">
        <w:rPr>
          <w:rFonts w:ascii="Arial" w:hAnsi="Arial" w:cs="Arial"/>
          <w:sz w:val="22"/>
          <w:szCs w:val="22"/>
        </w:rPr>
        <w:t xml:space="preserve"> 23: 274–86.</w:t>
      </w:r>
    </w:p>
    <w:p w14:paraId="71737524"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Henríquez</w:t>
      </w:r>
      <w:proofErr w:type="spellEnd"/>
      <w:r w:rsidRPr="005868F2">
        <w:rPr>
          <w:rFonts w:ascii="Arial" w:hAnsi="Arial" w:cs="Arial"/>
          <w:sz w:val="22"/>
          <w:szCs w:val="22"/>
        </w:rPr>
        <w:t xml:space="preserve">-Hernández LA, </w:t>
      </w:r>
      <w:proofErr w:type="spellStart"/>
      <w:r w:rsidRPr="005868F2">
        <w:rPr>
          <w:rFonts w:ascii="Arial" w:hAnsi="Arial" w:cs="Arial"/>
          <w:sz w:val="22"/>
          <w:szCs w:val="22"/>
        </w:rPr>
        <w:t>Luzardo</w:t>
      </w:r>
      <w:proofErr w:type="spellEnd"/>
      <w:r w:rsidRPr="005868F2">
        <w:rPr>
          <w:rFonts w:ascii="Arial" w:hAnsi="Arial" w:cs="Arial"/>
          <w:sz w:val="22"/>
          <w:szCs w:val="22"/>
        </w:rPr>
        <w:t xml:space="preserve"> OP, </w:t>
      </w:r>
      <w:proofErr w:type="spellStart"/>
      <w:r w:rsidRPr="005868F2">
        <w:rPr>
          <w:rFonts w:ascii="Arial" w:hAnsi="Arial" w:cs="Arial"/>
          <w:sz w:val="22"/>
          <w:szCs w:val="22"/>
        </w:rPr>
        <w:t>Zumbado</w:t>
      </w:r>
      <w:proofErr w:type="spellEnd"/>
      <w:r w:rsidRPr="005868F2">
        <w:rPr>
          <w:rFonts w:ascii="Arial" w:hAnsi="Arial" w:cs="Arial"/>
          <w:sz w:val="22"/>
          <w:szCs w:val="22"/>
        </w:rPr>
        <w:t xml:space="preserve"> M</w:t>
      </w:r>
      <w:r>
        <w:rPr>
          <w:rFonts w:ascii="Arial" w:hAnsi="Arial" w:cs="Arial"/>
          <w:sz w:val="22"/>
          <w:szCs w:val="22"/>
        </w:rPr>
        <w:t>,</w:t>
      </w:r>
      <w:r w:rsidRPr="005868F2">
        <w:rPr>
          <w:rFonts w:ascii="Arial" w:hAnsi="Arial" w:cs="Arial"/>
          <w:sz w:val="22"/>
          <w:szCs w:val="22"/>
        </w:rPr>
        <w:t xml:space="preserve"> et al (2014)</w:t>
      </w:r>
      <w:r>
        <w:rPr>
          <w:rFonts w:ascii="Arial" w:hAnsi="Arial" w:cs="Arial"/>
          <w:sz w:val="22"/>
          <w:szCs w:val="22"/>
        </w:rPr>
        <w:t>.</w:t>
      </w:r>
      <w:r w:rsidRPr="005868F2">
        <w:rPr>
          <w:rFonts w:ascii="Arial" w:hAnsi="Arial" w:cs="Arial"/>
          <w:sz w:val="22"/>
          <w:szCs w:val="22"/>
        </w:rPr>
        <w:t xml:space="preserve"> Blood pressure in relation to contamination by </w:t>
      </w:r>
      <w:proofErr w:type="spellStart"/>
      <w:r w:rsidRPr="005868F2">
        <w:rPr>
          <w:rFonts w:ascii="Arial" w:hAnsi="Arial" w:cs="Arial"/>
          <w:sz w:val="22"/>
          <w:szCs w:val="22"/>
        </w:rPr>
        <w:t>polychlorobiphenyls</w:t>
      </w:r>
      <w:proofErr w:type="spellEnd"/>
      <w:r w:rsidRPr="005868F2">
        <w:rPr>
          <w:rFonts w:ascii="Arial" w:hAnsi="Arial" w:cs="Arial"/>
          <w:sz w:val="22"/>
          <w:szCs w:val="22"/>
        </w:rPr>
        <w:t xml:space="preserve"> and organochlorine pesticides: Results from a population-based study in the Canary Islands (Spain). Environ Res</w:t>
      </w:r>
      <w:r>
        <w:rPr>
          <w:rFonts w:ascii="Arial" w:hAnsi="Arial" w:cs="Arial"/>
          <w:sz w:val="22"/>
          <w:szCs w:val="22"/>
        </w:rPr>
        <w:t>,</w:t>
      </w:r>
      <w:r w:rsidRPr="005868F2">
        <w:rPr>
          <w:rFonts w:ascii="Arial" w:hAnsi="Arial" w:cs="Arial"/>
          <w:sz w:val="22"/>
          <w:szCs w:val="22"/>
        </w:rPr>
        <w:t xml:space="preserve"> 135:</w:t>
      </w:r>
      <w:r>
        <w:rPr>
          <w:rFonts w:ascii="Arial" w:hAnsi="Arial" w:cs="Arial"/>
          <w:sz w:val="22"/>
          <w:szCs w:val="22"/>
        </w:rPr>
        <w:t xml:space="preserve"> </w:t>
      </w:r>
      <w:r w:rsidRPr="005868F2">
        <w:rPr>
          <w:rFonts w:ascii="Arial" w:hAnsi="Arial" w:cs="Arial"/>
          <w:sz w:val="22"/>
          <w:szCs w:val="22"/>
        </w:rPr>
        <w:t>48-54.</w:t>
      </w:r>
    </w:p>
    <w:p w14:paraId="7561DD70"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Huang CY, Lee CC, Chang JW, et al (2017)</w:t>
      </w:r>
      <w:r>
        <w:rPr>
          <w:rFonts w:ascii="Arial" w:hAnsi="Arial" w:cs="Arial"/>
          <w:sz w:val="22"/>
          <w:szCs w:val="22"/>
        </w:rPr>
        <w:t>.</w:t>
      </w:r>
      <w:r w:rsidRPr="005868F2">
        <w:rPr>
          <w:rFonts w:ascii="Arial" w:hAnsi="Arial" w:cs="Arial"/>
          <w:sz w:val="22"/>
          <w:szCs w:val="22"/>
        </w:rPr>
        <w:t xml:space="preserve"> Association between dioxin and metabolic syndrome by age and sex in an endemic area of exposure in </w:t>
      </w:r>
      <w:r>
        <w:rPr>
          <w:rFonts w:ascii="Arial" w:hAnsi="Arial" w:cs="Arial"/>
          <w:sz w:val="22"/>
          <w:szCs w:val="22"/>
        </w:rPr>
        <w:t>T</w:t>
      </w:r>
      <w:r w:rsidRPr="005868F2">
        <w:rPr>
          <w:rFonts w:ascii="Arial" w:hAnsi="Arial" w:cs="Arial"/>
          <w:sz w:val="22"/>
          <w:szCs w:val="22"/>
        </w:rPr>
        <w:t>aiwan. Epidemiology</w:t>
      </w:r>
      <w:r>
        <w:rPr>
          <w:rFonts w:ascii="Arial" w:hAnsi="Arial" w:cs="Arial"/>
          <w:sz w:val="22"/>
          <w:szCs w:val="22"/>
        </w:rPr>
        <w:t xml:space="preserve">, </w:t>
      </w:r>
      <w:r w:rsidRPr="005868F2">
        <w:rPr>
          <w:rFonts w:ascii="Arial" w:hAnsi="Arial" w:cs="Arial"/>
          <w:sz w:val="22"/>
          <w:szCs w:val="22"/>
        </w:rPr>
        <w:t xml:space="preserve">28 </w:t>
      </w:r>
      <w:proofErr w:type="spellStart"/>
      <w:r w:rsidRPr="005868F2">
        <w:rPr>
          <w:rFonts w:ascii="Arial" w:hAnsi="Arial" w:cs="Arial"/>
          <w:sz w:val="22"/>
          <w:szCs w:val="22"/>
        </w:rPr>
        <w:t>Suppl</w:t>
      </w:r>
      <w:proofErr w:type="spellEnd"/>
      <w:r w:rsidRPr="005868F2">
        <w:rPr>
          <w:rFonts w:ascii="Arial" w:hAnsi="Arial" w:cs="Arial"/>
          <w:sz w:val="22"/>
          <w:szCs w:val="22"/>
        </w:rPr>
        <w:t xml:space="preserve"> 1:</w:t>
      </w:r>
      <w:r>
        <w:rPr>
          <w:rFonts w:ascii="Arial" w:hAnsi="Arial" w:cs="Arial"/>
          <w:sz w:val="22"/>
          <w:szCs w:val="22"/>
        </w:rPr>
        <w:t xml:space="preserve"> </w:t>
      </w:r>
      <w:r w:rsidRPr="005868F2">
        <w:rPr>
          <w:rFonts w:ascii="Arial" w:hAnsi="Arial" w:cs="Arial"/>
          <w:sz w:val="22"/>
          <w:szCs w:val="22"/>
        </w:rPr>
        <w:t>S82-88.</w:t>
      </w:r>
    </w:p>
    <w:p w14:paraId="4678F92A"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Lind L, </w:t>
      </w:r>
      <w:proofErr w:type="spellStart"/>
      <w:r w:rsidRPr="005868F2">
        <w:rPr>
          <w:rFonts w:ascii="Arial" w:hAnsi="Arial" w:cs="Arial"/>
          <w:sz w:val="22"/>
          <w:szCs w:val="22"/>
        </w:rPr>
        <w:t>Salihovic</w:t>
      </w:r>
      <w:proofErr w:type="spellEnd"/>
      <w:r w:rsidRPr="005868F2">
        <w:rPr>
          <w:rFonts w:ascii="Arial" w:hAnsi="Arial" w:cs="Arial"/>
          <w:sz w:val="22"/>
          <w:szCs w:val="22"/>
        </w:rPr>
        <w:t xml:space="preserve"> S, </w:t>
      </w:r>
      <w:proofErr w:type="spellStart"/>
      <w:r w:rsidRPr="005868F2">
        <w:rPr>
          <w:rFonts w:ascii="Arial" w:hAnsi="Arial" w:cs="Arial"/>
          <w:sz w:val="22"/>
          <w:szCs w:val="22"/>
        </w:rPr>
        <w:t>Lampa</w:t>
      </w:r>
      <w:proofErr w:type="spellEnd"/>
      <w:r w:rsidRPr="005868F2">
        <w:rPr>
          <w:rFonts w:ascii="Arial" w:hAnsi="Arial" w:cs="Arial"/>
          <w:sz w:val="22"/>
          <w:szCs w:val="22"/>
        </w:rPr>
        <w:t xml:space="preserve"> E, et al (2017)</w:t>
      </w:r>
      <w:r>
        <w:rPr>
          <w:rFonts w:ascii="Arial" w:hAnsi="Arial" w:cs="Arial"/>
          <w:sz w:val="22"/>
          <w:szCs w:val="22"/>
        </w:rPr>
        <w:t>.</w:t>
      </w:r>
      <w:r w:rsidRPr="005868F2">
        <w:rPr>
          <w:rFonts w:ascii="Arial" w:hAnsi="Arial" w:cs="Arial"/>
          <w:sz w:val="22"/>
          <w:szCs w:val="22"/>
        </w:rPr>
        <w:t xml:space="preserve"> Mixture effects of 30 environmental contaminants on incident metabolic syndrome-A prospective study. Environment International</w:t>
      </w:r>
      <w:r>
        <w:rPr>
          <w:rFonts w:ascii="Arial" w:hAnsi="Arial" w:cs="Arial"/>
          <w:sz w:val="22"/>
          <w:szCs w:val="22"/>
        </w:rPr>
        <w:t xml:space="preserve">, </w:t>
      </w:r>
      <w:r w:rsidRPr="005868F2">
        <w:rPr>
          <w:rFonts w:ascii="Arial" w:hAnsi="Arial" w:cs="Arial"/>
          <w:sz w:val="22"/>
          <w:szCs w:val="22"/>
        </w:rPr>
        <w:t>107:</w:t>
      </w:r>
      <w:r>
        <w:rPr>
          <w:rFonts w:ascii="Arial" w:hAnsi="Arial" w:cs="Arial"/>
          <w:sz w:val="22"/>
          <w:szCs w:val="22"/>
        </w:rPr>
        <w:t xml:space="preserve"> </w:t>
      </w:r>
      <w:r w:rsidRPr="005868F2">
        <w:rPr>
          <w:rFonts w:ascii="Arial" w:hAnsi="Arial" w:cs="Arial"/>
          <w:sz w:val="22"/>
          <w:szCs w:val="22"/>
        </w:rPr>
        <w:t>8-15</w:t>
      </w:r>
      <w:r>
        <w:rPr>
          <w:rFonts w:ascii="Arial" w:hAnsi="Arial" w:cs="Arial"/>
          <w:sz w:val="22"/>
          <w:szCs w:val="22"/>
        </w:rPr>
        <w:t>.</w:t>
      </w:r>
    </w:p>
    <w:p w14:paraId="29FB9441"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Lind P</w:t>
      </w:r>
      <w:r>
        <w:rPr>
          <w:rFonts w:ascii="Arial" w:hAnsi="Arial" w:cs="Arial"/>
          <w:sz w:val="22"/>
          <w:szCs w:val="22"/>
        </w:rPr>
        <w:t>,</w:t>
      </w:r>
      <w:r w:rsidRPr="005868F2">
        <w:rPr>
          <w:rFonts w:ascii="Arial" w:hAnsi="Arial" w:cs="Arial"/>
          <w:sz w:val="22"/>
          <w:szCs w:val="22"/>
        </w:rPr>
        <w:t xml:space="preserve"> </w:t>
      </w:r>
      <w:proofErr w:type="spellStart"/>
      <w:r w:rsidRPr="0017192C">
        <w:rPr>
          <w:rFonts w:ascii="Arial" w:hAnsi="Arial" w:cs="Arial"/>
          <w:sz w:val="22"/>
          <w:szCs w:val="22"/>
        </w:rPr>
        <w:t>Penell</w:t>
      </w:r>
      <w:proofErr w:type="spellEnd"/>
      <w:r w:rsidRPr="0017192C">
        <w:rPr>
          <w:rFonts w:ascii="Arial" w:hAnsi="Arial" w:cs="Arial"/>
          <w:sz w:val="22"/>
          <w:szCs w:val="22"/>
        </w:rPr>
        <w:t xml:space="preserve"> </w:t>
      </w:r>
      <w:r>
        <w:rPr>
          <w:rFonts w:ascii="Arial" w:hAnsi="Arial" w:cs="Arial"/>
          <w:sz w:val="22"/>
          <w:szCs w:val="22"/>
        </w:rPr>
        <w:t>J</w:t>
      </w:r>
      <w:r w:rsidRPr="0017192C">
        <w:rPr>
          <w:rFonts w:ascii="Arial" w:hAnsi="Arial" w:cs="Arial"/>
          <w:sz w:val="22"/>
          <w:szCs w:val="22"/>
        </w:rPr>
        <w:t xml:space="preserve">, </w:t>
      </w:r>
      <w:proofErr w:type="spellStart"/>
      <w:r w:rsidRPr="0017192C">
        <w:rPr>
          <w:rFonts w:ascii="Arial" w:hAnsi="Arial" w:cs="Arial"/>
          <w:sz w:val="22"/>
          <w:szCs w:val="22"/>
        </w:rPr>
        <w:t>Salihovic</w:t>
      </w:r>
      <w:proofErr w:type="spellEnd"/>
      <w:r>
        <w:rPr>
          <w:rFonts w:ascii="Arial" w:hAnsi="Arial" w:cs="Arial"/>
          <w:sz w:val="22"/>
          <w:szCs w:val="22"/>
        </w:rPr>
        <w:t xml:space="preserve"> S,</w:t>
      </w:r>
      <w:r w:rsidRPr="0017192C">
        <w:rPr>
          <w:rFonts w:ascii="Arial" w:hAnsi="Arial" w:cs="Arial"/>
          <w:sz w:val="22"/>
          <w:szCs w:val="22"/>
        </w:rPr>
        <w:t xml:space="preserve"> </w:t>
      </w:r>
      <w:r w:rsidRPr="005868F2">
        <w:rPr>
          <w:rFonts w:ascii="Arial" w:hAnsi="Arial" w:cs="Arial"/>
          <w:sz w:val="22"/>
          <w:szCs w:val="22"/>
        </w:rPr>
        <w:t xml:space="preserve">et al (2014). Circulating levels of </w:t>
      </w:r>
      <w:proofErr w:type="spellStart"/>
      <w:r w:rsidRPr="005868F2">
        <w:rPr>
          <w:rFonts w:ascii="Arial" w:hAnsi="Arial" w:cs="Arial"/>
          <w:sz w:val="22"/>
          <w:szCs w:val="22"/>
        </w:rPr>
        <w:t>p</w:t>
      </w:r>
      <w:proofErr w:type="gramStart"/>
      <w:r w:rsidRPr="005868F2">
        <w:rPr>
          <w:rFonts w:ascii="Arial" w:hAnsi="Arial" w:cs="Arial"/>
          <w:sz w:val="22"/>
          <w:szCs w:val="22"/>
        </w:rPr>
        <w:t>,p</w:t>
      </w:r>
      <w:proofErr w:type="spellEnd"/>
      <w:r w:rsidRPr="005868F2">
        <w:rPr>
          <w:rFonts w:ascii="Arial" w:hAnsi="Arial" w:cs="Arial"/>
          <w:sz w:val="22"/>
          <w:szCs w:val="22"/>
        </w:rPr>
        <w:t>’</w:t>
      </w:r>
      <w:proofErr w:type="gramEnd"/>
      <w:r w:rsidRPr="005868F2">
        <w:rPr>
          <w:rFonts w:ascii="Arial" w:hAnsi="Arial" w:cs="Arial"/>
          <w:sz w:val="22"/>
          <w:szCs w:val="22"/>
        </w:rPr>
        <w:t>-DDE are related to prevalent hypertension in the elderly. Environmental Research</w:t>
      </w:r>
      <w:r>
        <w:rPr>
          <w:rFonts w:ascii="Arial" w:hAnsi="Arial" w:cs="Arial"/>
          <w:sz w:val="22"/>
          <w:szCs w:val="22"/>
        </w:rPr>
        <w:t>,</w:t>
      </w:r>
      <w:r w:rsidRPr="005868F2">
        <w:rPr>
          <w:rFonts w:ascii="Arial" w:hAnsi="Arial" w:cs="Arial"/>
          <w:sz w:val="22"/>
          <w:szCs w:val="22"/>
        </w:rPr>
        <w:t xml:space="preserve"> 129:</w:t>
      </w:r>
      <w:r>
        <w:rPr>
          <w:rFonts w:ascii="Arial" w:hAnsi="Arial" w:cs="Arial"/>
          <w:sz w:val="22"/>
          <w:szCs w:val="22"/>
        </w:rPr>
        <w:t xml:space="preserve"> </w:t>
      </w:r>
      <w:r w:rsidRPr="005868F2">
        <w:rPr>
          <w:rFonts w:ascii="Arial" w:hAnsi="Arial" w:cs="Arial"/>
          <w:sz w:val="22"/>
          <w:szCs w:val="22"/>
        </w:rPr>
        <w:t>27–31.</w:t>
      </w:r>
    </w:p>
    <w:p w14:paraId="33734CD8"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Mohsenzadeh</w:t>
      </w:r>
      <w:proofErr w:type="spellEnd"/>
      <w:r w:rsidRPr="005868F2">
        <w:rPr>
          <w:rFonts w:ascii="Arial" w:hAnsi="Arial" w:cs="Arial"/>
          <w:sz w:val="22"/>
          <w:szCs w:val="22"/>
        </w:rPr>
        <w:t xml:space="preserve"> MS, </w:t>
      </w:r>
      <w:proofErr w:type="spellStart"/>
      <w:r w:rsidRPr="005868F2">
        <w:rPr>
          <w:rFonts w:ascii="Arial" w:hAnsi="Arial" w:cs="Arial"/>
          <w:sz w:val="22"/>
          <w:szCs w:val="22"/>
        </w:rPr>
        <w:t>Zanjani</w:t>
      </w:r>
      <w:proofErr w:type="spellEnd"/>
      <w:r w:rsidRPr="005868F2">
        <w:rPr>
          <w:rFonts w:ascii="Arial" w:hAnsi="Arial" w:cs="Arial"/>
          <w:sz w:val="22"/>
          <w:szCs w:val="22"/>
        </w:rPr>
        <w:t xml:space="preserve"> BR, </w:t>
      </w:r>
      <w:proofErr w:type="spellStart"/>
      <w:r w:rsidRPr="005868F2">
        <w:rPr>
          <w:rFonts w:ascii="Arial" w:hAnsi="Arial" w:cs="Arial"/>
          <w:sz w:val="22"/>
          <w:szCs w:val="22"/>
        </w:rPr>
        <w:t>Karimi</w:t>
      </w:r>
      <w:proofErr w:type="spellEnd"/>
      <w:r w:rsidRPr="005868F2">
        <w:rPr>
          <w:rFonts w:ascii="Arial" w:hAnsi="Arial" w:cs="Arial"/>
          <w:sz w:val="22"/>
          <w:szCs w:val="22"/>
        </w:rPr>
        <w:t xml:space="preserve"> G (2018)</w:t>
      </w:r>
      <w:r>
        <w:rPr>
          <w:rFonts w:ascii="Arial" w:hAnsi="Arial" w:cs="Arial"/>
          <w:sz w:val="22"/>
          <w:szCs w:val="22"/>
        </w:rPr>
        <w:t>.</w:t>
      </w:r>
      <w:r w:rsidRPr="005868F2">
        <w:rPr>
          <w:rFonts w:ascii="Arial" w:hAnsi="Arial" w:cs="Arial"/>
          <w:sz w:val="22"/>
          <w:szCs w:val="22"/>
        </w:rPr>
        <w:t xml:space="preserve"> Mechanisms of 2</w:t>
      </w:r>
      <w:proofErr w:type="gramStart"/>
      <w:r w:rsidRPr="005868F2">
        <w:rPr>
          <w:rFonts w:ascii="Arial" w:hAnsi="Arial" w:cs="Arial"/>
          <w:sz w:val="22"/>
          <w:szCs w:val="22"/>
        </w:rPr>
        <w:t>,3,7,8</w:t>
      </w:r>
      <w:proofErr w:type="gramEnd"/>
      <w:r w:rsidRPr="005868F2">
        <w:rPr>
          <w:rFonts w:ascii="Arial" w:hAnsi="Arial" w:cs="Arial"/>
          <w:sz w:val="22"/>
          <w:szCs w:val="22"/>
        </w:rPr>
        <w:t xml:space="preserve">-tetrachlorodibenzo-p-dioxin- induced cardiovascular toxicity: An overview. </w:t>
      </w:r>
      <w:proofErr w:type="spellStart"/>
      <w:r w:rsidRPr="005868F2">
        <w:rPr>
          <w:rFonts w:ascii="Arial" w:hAnsi="Arial" w:cs="Arial"/>
          <w:sz w:val="22"/>
          <w:szCs w:val="22"/>
        </w:rPr>
        <w:t>Chem</w:t>
      </w:r>
      <w:proofErr w:type="spellEnd"/>
      <w:r w:rsidRPr="005868F2">
        <w:rPr>
          <w:rFonts w:ascii="Arial" w:hAnsi="Arial" w:cs="Arial"/>
          <w:sz w:val="22"/>
          <w:szCs w:val="22"/>
        </w:rPr>
        <w:t xml:space="preserve"> </w:t>
      </w:r>
      <w:proofErr w:type="spellStart"/>
      <w:r w:rsidRPr="005868F2">
        <w:rPr>
          <w:rFonts w:ascii="Arial" w:hAnsi="Arial" w:cs="Arial"/>
          <w:sz w:val="22"/>
          <w:szCs w:val="22"/>
        </w:rPr>
        <w:t>Biol</w:t>
      </w:r>
      <w:proofErr w:type="spellEnd"/>
      <w:r w:rsidRPr="005868F2">
        <w:rPr>
          <w:rFonts w:ascii="Arial" w:hAnsi="Arial" w:cs="Arial"/>
          <w:sz w:val="22"/>
          <w:szCs w:val="22"/>
        </w:rPr>
        <w:t xml:space="preserve"> Interact</w:t>
      </w:r>
      <w:r>
        <w:rPr>
          <w:rFonts w:ascii="Arial" w:hAnsi="Arial" w:cs="Arial"/>
          <w:sz w:val="22"/>
          <w:szCs w:val="22"/>
        </w:rPr>
        <w:t>,</w:t>
      </w:r>
      <w:r w:rsidRPr="005868F2">
        <w:rPr>
          <w:rFonts w:ascii="Arial" w:hAnsi="Arial" w:cs="Arial"/>
          <w:sz w:val="22"/>
          <w:szCs w:val="22"/>
        </w:rPr>
        <w:t xml:space="preserve"> 282: 1-6</w:t>
      </w:r>
      <w:r>
        <w:rPr>
          <w:rFonts w:ascii="Arial" w:hAnsi="Arial" w:cs="Arial"/>
          <w:sz w:val="22"/>
          <w:szCs w:val="22"/>
        </w:rPr>
        <w:t>.</w:t>
      </w:r>
    </w:p>
    <w:p w14:paraId="6957BC07"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Pelcl</w:t>
      </w:r>
      <w:proofErr w:type="spellEnd"/>
      <w:r w:rsidRPr="005868F2">
        <w:rPr>
          <w:rFonts w:ascii="Arial" w:hAnsi="Arial" w:cs="Arial"/>
          <w:sz w:val="22"/>
          <w:szCs w:val="22"/>
        </w:rPr>
        <w:t xml:space="preserve"> T, </w:t>
      </w:r>
      <w:proofErr w:type="spellStart"/>
      <w:r w:rsidRPr="005868F2">
        <w:rPr>
          <w:rFonts w:ascii="Arial" w:hAnsi="Arial" w:cs="Arial"/>
          <w:sz w:val="22"/>
          <w:szCs w:val="22"/>
        </w:rPr>
        <w:t>Skrha</w:t>
      </w:r>
      <w:proofErr w:type="spellEnd"/>
      <w:r w:rsidRPr="005868F2">
        <w:rPr>
          <w:rFonts w:ascii="Arial" w:hAnsi="Arial" w:cs="Arial"/>
          <w:sz w:val="22"/>
          <w:szCs w:val="22"/>
        </w:rPr>
        <w:t xml:space="preserve"> J Jr, </w:t>
      </w:r>
      <w:proofErr w:type="spellStart"/>
      <w:r w:rsidRPr="005868F2">
        <w:rPr>
          <w:rFonts w:ascii="Arial" w:hAnsi="Arial" w:cs="Arial"/>
          <w:sz w:val="22"/>
          <w:szCs w:val="22"/>
        </w:rPr>
        <w:t>Prazny</w:t>
      </w:r>
      <w:proofErr w:type="spellEnd"/>
      <w:r w:rsidRPr="005868F2">
        <w:rPr>
          <w:rFonts w:ascii="Arial" w:hAnsi="Arial" w:cs="Arial"/>
          <w:sz w:val="22"/>
          <w:szCs w:val="22"/>
        </w:rPr>
        <w:t xml:space="preserve"> M, et al (2018)</w:t>
      </w:r>
      <w:r>
        <w:rPr>
          <w:rFonts w:ascii="Arial" w:hAnsi="Arial" w:cs="Arial"/>
          <w:sz w:val="22"/>
          <w:szCs w:val="22"/>
        </w:rPr>
        <w:t>.</w:t>
      </w:r>
      <w:r w:rsidRPr="005868F2">
        <w:rPr>
          <w:rFonts w:ascii="Arial" w:hAnsi="Arial" w:cs="Arial"/>
          <w:sz w:val="22"/>
          <w:szCs w:val="22"/>
        </w:rPr>
        <w:t xml:space="preserve"> Diabetes, Cardiovascular Disorders and 2</w:t>
      </w:r>
      <w:proofErr w:type="gramStart"/>
      <w:r w:rsidRPr="005868F2">
        <w:rPr>
          <w:rFonts w:ascii="Arial" w:hAnsi="Arial" w:cs="Arial"/>
          <w:sz w:val="22"/>
          <w:szCs w:val="22"/>
        </w:rPr>
        <w:t>,3,7,8</w:t>
      </w:r>
      <w:proofErr w:type="gramEnd"/>
      <w:r w:rsidRPr="005868F2">
        <w:rPr>
          <w:rFonts w:ascii="Arial" w:hAnsi="Arial" w:cs="Arial"/>
          <w:sz w:val="22"/>
          <w:szCs w:val="22"/>
        </w:rPr>
        <w:t xml:space="preserve">-Tetrachlorodibenzo-p-Dioxin </w:t>
      </w:r>
      <w:r>
        <w:rPr>
          <w:rFonts w:ascii="Arial" w:hAnsi="Arial" w:cs="Arial"/>
          <w:sz w:val="22"/>
          <w:szCs w:val="22"/>
        </w:rPr>
        <w:t>b</w:t>
      </w:r>
      <w:r w:rsidRPr="005868F2">
        <w:rPr>
          <w:rFonts w:ascii="Arial" w:hAnsi="Arial" w:cs="Arial"/>
          <w:sz w:val="22"/>
          <w:szCs w:val="22"/>
        </w:rPr>
        <w:t xml:space="preserve">ody </w:t>
      </w:r>
      <w:r>
        <w:rPr>
          <w:rFonts w:ascii="Arial" w:hAnsi="Arial" w:cs="Arial"/>
          <w:sz w:val="22"/>
          <w:szCs w:val="22"/>
        </w:rPr>
        <w:t>b</w:t>
      </w:r>
      <w:r w:rsidRPr="005868F2">
        <w:rPr>
          <w:rFonts w:ascii="Arial" w:hAnsi="Arial" w:cs="Arial"/>
          <w:sz w:val="22"/>
          <w:szCs w:val="22"/>
        </w:rPr>
        <w:t xml:space="preserve">urden in Czech </w:t>
      </w:r>
      <w:r>
        <w:rPr>
          <w:rFonts w:ascii="Arial" w:hAnsi="Arial" w:cs="Arial"/>
          <w:sz w:val="22"/>
          <w:szCs w:val="22"/>
        </w:rPr>
        <w:t>p</w:t>
      </w:r>
      <w:r w:rsidRPr="005868F2">
        <w:rPr>
          <w:rFonts w:ascii="Arial" w:hAnsi="Arial" w:cs="Arial"/>
          <w:sz w:val="22"/>
          <w:szCs w:val="22"/>
        </w:rPr>
        <w:t xml:space="preserve">atients 50 </w:t>
      </w:r>
      <w:r>
        <w:rPr>
          <w:rFonts w:ascii="Arial" w:hAnsi="Arial" w:cs="Arial"/>
          <w:sz w:val="22"/>
          <w:szCs w:val="22"/>
        </w:rPr>
        <w:t>y</w:t>
      </w:r>
      <w:r w:rsidRPr="005868F2">
        <w:rPr>
          <w:rFonts w:ascii="Arial" w:hAnsi="Arial" w:cs="Arial"/>
          <w:sz w:val="22"/>
          <w:szCs w:val="22"/>
        </w:rPr>
        <w:t xml:space="preserve">ears </w:t>
      </w:r>
      <w:r>
        <w:rPr>
          <w:rFonts w:ascii="Arial" w:hAnsi="Arial" w:cs="Arial"/>
          <w:sz w:val="22"/>
          <w:szCs w:val="22"/>
        </w:rPr>
        <w:t>a</w:t>
      </w:r>
      <w:r w:rsidRPr="005868F2">
        <w:rPr>
          <w:rFonts w:ascii="Arial" w:hAnsi="Arial" w:cs="Arial"/>
          <w:sz w:val="22"/>
          <w:szCs w:val="22"/>
        </w:rPr>
        <w:t xml:space="preserve">fter the </w:t>
      </w:r>
      <w:r>
        <w:rPr>
          <w:rFonts w:ascii="Arial" w:hAnsi="Arial" w:cs="Arial"/>
          <w:sz w:val="22"/>
          <w:szCs w:val="22"/>
        </w:rPr>
        <w:t>i</w:t>
      </w:r>
      <w:r w:rsidRPr="005868F2">
        <w:rPr>
          <w:rFonts w:ascii="Arial" w:hAnsi="Arial" w:cs="Arial"/>
          <w:sz w:val="22"/>
          <w:szCs w:val="22"/>
        </w:rPr>
        <w:t xml:space="preserve">ntoxication. Basic </w:t>
      </w:r>
      <w:proofErr w:type="spellStart"/>
      <w:r w:rsidRPr="005868F2">
        <w:rPr>
          <w:rFonts w:ascii="Arial" w:hAnsi="Arial" w:cs="Arial"/>
          <w:sz w:val="22"/>
          <w:szCs w:val="22"/>
        </w:rPr>
        <w:t>Clin</w:t>
      </w:r>
      <w:proofErr w:type="spellEnd"/>
      <w:r w:rsidRPr="005868F2">
        <w:rPr>
          <w:rFonts w:ascii="Arial" w:hAnsi="Arial" w:cs="Arial"/>
          <w:sz w:val="22"/>
          <w:szCs w:val="22"/>
        </w:rPr>
        <w:t xml:space="preserve"> </w:t>
      </w:r>
      <w:proofErr w:type="spellStart"/>
      <w:r w:rsidRPr="005868F2">
        <w:rPr>
          <w:rFonts w:ascii="Arial" w:hAnsi="Arial" w:cs="Arial"/>
          <w:sz w:val="22"/>
          <w:szCs w:val="22"/>
        </w:rPr>
        <w:t>Pharmacol</w:t>
      </w:r>
      <w:proofErr w:type="spellEnd"/>
      <w:r w:rsidRPr="005868F2">
        <w:rPr>
          <w:rFonts w:ascii="Arial" w:hAnsi="Arial" w:cs="Arial"/>
          <w:sz w:val="22"/>
          <w:szCs w:val="22"/>
        </w:rPr>
        <w:t xml:space="preserve"> </w:t>
      </w:r>
      <w:proofErr w:type="spellStart"/>
      <w:r w:rsidRPr="005868F2">
        <w:rPr>
          <w:rFonts w:ascii="Arial" w:hAnsi="Arial" w:cs="Arial"/>
          <w:sz w:val="22"/>
          <w:szCs w:val="22"/>
        </w:rPr>
        <w:t>Toxicol</w:t>
      </w:r>
      <w:proofErr w:type="spellEnd"/>
      <w:r>
        <w:rPr>
          <w:rFonts w:ascii="Arial" w:hAnsi="Arial" w:cs="Arial"/>
          <w:sz w:val="22"/>
          <w:szCs w:val="22"/>
        </w:rPr>
        <w:t>,</w:t>
      </w:r>
      <w:r w:rsidRPr="005868F2">
        <w:rPr>
          <w:rFonts w:ascii="Arial" w:hAnsi="Arial" w:cs="Arial"/>
          <w:sz w:val="22"/>
          <w:szCs w:val="22"/>
        </w:rPr>
        <w:t xml:space="preserve"> 123(3): 356-59.</w:t>
      </w:r>
    </w:p>
    <w:p w14:paraId="65D55645"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National Academies of Sciences, Engineering, and Medicine (2018). Veterans and Agent Orange: Update 11. National Academy of Sciences, Washington, D.C. National Academy Press. </w:t>
      </w:r>
    </w:p>
    <w:p w14:paraId="445B8D54"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Rosenbaum PF, Weinstock RS, Silverstone AE, et al (2017)</w:t>
      </w:r>
      <w:r>
        <w:rPr>
          <w:rFonts w:ascii="Arial" w:hAnsi="Arial" w:cs="Arial"/>
          <w:sz w:val="22"/>
          <w:szCs w:val="22"/>
        </w:rPr>
        <w:t>.</w:t>
      </w:r>
      <w:r w:rsidRPr="005868F2">
        <w:rPr>
          <w:rFonts w:ascii="Arial" w:hAnsi="Arial" w:cs="Arial"/>
          <w:sz w:val="22"/>
          <w:szCs w:val="22"/>
        </w:rPr>
        <w:t xml:space="preserve"> Metabolic syndrome is associated with exposure to organochlorine pesticides in Anniston, AL, United States. Environ </w:t>
      </w:r>
      <w:proofErr w:type="spellStart"/>
      <w:r w:rsidRPr="005868F2">
        <w:rPr>
          <w:rFonts w:ascii="Arial" w:hAnsi="Arial" w:cs="Arial"/>
          <w:sz w:val="22"/>
          <w:szCs w:val="22"/>
        </w:rPr>
        <w:t>Int</w:t>
      </w:r>
      <w:proofErr w:type="spellEnd"/>
      <w:r>
        <w:rPr>
          <w:rFonts w:ascii="Arial" w:hAnsi="Arial" w:cs="Arial"/>
          <w:sz w:val="22"/>
          <w:szCs w:val="22"/>
        </w:rPr>
        <w:t>,</w:t>
      </w:r>
      <w:r w:rsidRPr="005868F2">
        <w:rPr>
          <w:rFonts w:ascii="Arial" w:hAnsi="Arial" w:cs="Arial"/>
          <w:sz w:val="22"/>
          <w:szCs w:val="22"/>
        </w:rPr>
        <w:t xml:space="preserve"> 108: 11-21</w:t>
      </w:r>
      <w:r>
        <w:rPr>
          <w:rFonts w:ascii="Arial" w:hAnsi="Arial" w:cs="Arial"/>
          <w:sz w:val="22"/>
          <w:szCs w:val="22"/>
        </w:rPr>
        <w:t>.</w:t>
      </w:r>
    </w:p>
    <w:p w14:paraId="07499773"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Ruder AM, Hein MJ, </w:t>
      </w:r>
      <w:proofErr w:type="spellStart"/>
      <w:r w:rsidRPr="005868F2">
        <w:rPr>
          <w:rFonts w:ascii="Arial" w:hAnsi="Arial" w:cs="Arial"/>
          <w:sz w:val="22"/>
          <w:szCs w:val="22"/>
        </w:rPr>
        <w:t>Hopf</w:t>
      </w:r>
      <w:proofErr w:type="spellEnd"/>
      <w:r w:rsidRPr="005868F2">
        <w:rPr>
          <w:rFonts w:ascii="Arial" w:hAnsi="Arial" w:cs="Arial"/>
          <w:sz w:val="22"/>
          <w:szCs w:val="22"/>
        </w:rPr>
        <w:t xml:space="preserve"> NB, et al (2014). Mortality among 24,865 workers exposed to polychlorinated biphenyls (PCBs) in three electrical capacitor manufacturing plants:  A ten-year update. </w:t>
      </w:r>
      <w:proofErr w:type="spellStart"/>
      <w:r w:rsidRPr="005868F2">
        <w:rPr>
          <w:rFonts w:ascii="Arial" w:hAnsi="Arial" w:cs="Arial"/>
          <w:sz w:val="22"/>
          <w:szCs w:val="22"/>
        </w:rPr>
        <w:t>Int</w:t>
      </w:r>
      <w:proofErr w:type="spellEnd"/>
      <w:r w:rsidRPr="005868F2">
        <w:rPr>
          <w:rFonts w:ascii="Arial" w:hAnsi="Arial" w:cs="Arial"/>
          <w:sz w:val="22"/>
          <w:szCs w:val="22"/>
        </w:rPr>
        <w:t xml:space="preserve"> J </w:t>
      </w:r>
      <w:proofErr w:type="spellStart"/>
      <w:r w:rsidRPr="005868F2">
        <w:rPr>
          <w:rFonts w:ascii="Arial" w:hAnsi="Arial" w:cs="Arial"/>
          <w:sz w:val="22"/>
          <w:szCs w:val="22"/>
        </w:rPr>
        <w:t>Hyg</w:t>
      </w:r>
      <w:proofErr w:type="spellEnd"/>
      <w:r w:rsidRPr="005868F2">
        <w:rPr>
          <w:rFonts w:ascii="Arial" w:hAnsi="Arial" w:cs="Arial"/>
          <w:sz w:val="22"/>
          <w:szCs w:val="22"/>
        </w:rPr>
        <w:t xml:space="preserve"> Environ Health, 217: 176-87. </w:t>
      </w:r>
    </w:p>
    <w:p w14:paraId="2D43D8A4"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lastRenderedPageBreak/>
        <w:t xml:space="preserve">  Shiue I (2014). Higher urinary heavy metal, phthalate, and arsenic but not parabens concentrations in people with high blood pressure, U.S. NHANES, 2011–2012. International Journal of Environmental Research and Public Health</w:t>
      </w:r>
      <w:r>
        <w:rPr>
          <w:rFonts w:ascii="Arial" w:hAnsi="Arial" w:cs="Arial"/>
          <w:sz w:val="22"/>
          <w:szCs w:val="22"/>
        </w:rPr>
        <w:t>,</w:t>
      </w:r>
      <w:r w:rsidRPr="005868F2">
        <w:rPr>
          <w:rFonts w:ascii="Arial" w:hAnsi="Arial" w:cs="Arial"/>
          <w:sz w:val="22"/>
          <w:szCs w:val="22"/>
        </w:rPr>
        <w:t xml:space="preserve"> 11(6):</w:t>
      </w:r>
      <w:r>
        <w:rPr>
          <w:rFonts w:ascii="Arial" w:hAnsi="Arial" w:cs="Arial"/>
          <w:sz w:val="22"/>
          <w:szCs w:val="22"/>
        </w:rPr>
        <w:t xml:space="preserve"> </w:t>
      </w:r>
      <w:r w:rsidRPr="005868F2">
        <w:rPr>
          <w:rFonts w:ascii="Arial" w:hAnsi="Arial" w:cs="Arial"/>
          <w:sz w:val="22"/>
          <w:szCs w:val="22"/>
        </w:rPr>
        <w:t>5989–99.</w:t>
      </w:r>
    </w:p>
    <w:p w14:paraId="1EDAD875"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't </w:t>
      </w:r>
      <w:proofErr w:type="spellStart"/>
      <w:r w:rsidRPr="005868F2">
        <w:rPr>
          <w:rFonts w:ascii="Arial" w:hAnsi="Arial" w:cs="Arial"/>
          <w:sz w:val="22"/>
          <w:szCs w:val="22"/>
        </w:rPr>
        <w:t>Mannetje</w:t>
      </w:r>
      <w:proofErr w:type="spellEnd"/>
      <w:r w:rsidRPr="005868F2">
        <w:rPr>
          <w:rFonts w:ascii="Arial" w:hAnsi="Arial" w:cs="Arial"/>
          <w:sz w:val="22"/>
          <w:szCs w:val="22"/>
        </w:rPr>
        <w:t xml:space="preserve"> A, </w:t>
      </w:r>
      <w:proofErr w:type="spellStart"/>
      <w:r w:rsidRPr="005868F2">
        <w:rPr>
          <w:rFonts w:ascii="Arial" w:hAnsi="Arial" w:cs="Arial"/>
          <w:sz w:val="22"/>
          <w:szCs w:val="22"/>
        </w:rPr>
        <w:t>Eng</w:t>
      </w:r>
      <w:proofErr w:type="spellEnd"/>
      <w:r w:rsidRPr="005868F2">
        <w:rPr>
          <w:rFonts w:ascii="Arial" w:hAnsi="Arial" w:cs="Arial"/>
          <w:sz w:val="22"/>
          <w:szCs w:val="22"/>
        </w:rPr>
        <w:t xml:space="preserve"> A, Walls C, et al (2018). Morbidity in New Zealand pesticide producers exposed to 2</w:t>
      </w:r>
      <w:proofErr w:type="gramStart"/>
      <w:r w:rsidRPr="005868F2">
        <w:rPr>
          <w:rFonts w:ascii="Arial" w:hAnsi="Arial" w:cs="Arial"/>
          <w:sz w:val="22"/>
          <w:szCs w:val="22"/>
        </w:rPr>
        <w:t>,3,7,8</w:t>
      </w:r>
      <w:proofErr w:type="gramEnd"/>
      <w:r w:rsidRPr="005868F2">
        <w:rPr>
          <w:rFonts w:ascii="Arial" w:hAnsi="Arial" w:cs="Arial"/>
          <w:sz w:val="22"/>
          <w:szCs w:val="22"/>
        </w:rPr>
        <w:t xml:space="preserve">- </w:t>
      </w:r>
      <w:proofErr w:type="spellStart"/>
      <w:r w:rsidRPr="005868F2">
        <w:rPr>
          <w:rFonts w:ascii="Arial" w:hAnsi="Arial" w:cs="Arial"/>
          <w:sz w:val="22"/>
          <w:szCs w:val="22"/>
        </w:rPr>
        <w:t>tetrachlorodibenzo</w:t>
      </w:r>
      <w:proofErr w:type="spellEnd"/>
      <w:r w:rsidRPr="005868F2">
        <w:rPr>
          <w:rFonts w:ascii="Arial" w:hAnsi="Arial" w:cs="Arial"/>
          <w:sz w:val="22"/>
          <w:szCs w:val="22"/>
        </w:rPr>
        <w:t xml:space="preserve">-p-dioxin (TCDD). Environ </w:t>
      </w:r>
      <w:proofErr w:type="spellStart"/>
      <w:r w:rsidRPr="005868F2">
        <w:rPr>
          <w:rFonts w:ascii="Arial" w:hAnsi="Arial" w:cs="Arial"/>
          <w:sz w:val="22"/>
          <w:szCs w:val="22"/>
        </w:rPr>
        <w:t>Int</w:t>
      </w:r>
      <w:proofErr w:type="spellEnd"/>
      <w:r w:rsidRPr="005868F2">
        <w:rPr>
          <w:rFonts w:ascii="Arial" w:hAnsi="Arial" w:cs="Arial"/>
          <w:sz w:val="22"/>
          <w:szCs w:val="22"/>
        </w:rPr>
        <w:t xml:space="preserve">, 110: 22-31. </w:t>
      </w:r>
    </w:p>
    <w:p w14:paraId="4CAEC1EA"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w:t>
      </w:r>
      <w:proofErr w:type="spellStart"/>
      <w:r w:rsidRPr="005868F2">
        <w:rPr>
          <w:rFonts w:ascii="Arial" w:hAnsi="Arial" w:cs="Arial"/>
          <w:sz w:val="22"/>
          <w:szCs w:val="22"/>
        </w:rPr>
        <w:t>Uemura</w:t>
      </w:r>
      <w:proofErr w:type="spellEnd"/>
      <w:r w:rsidRPr="005868F2">
        <w:rPr>
          <w:rFonts w:ascii="Arial" w:hAnsi="Arial" w:cs="Arial"/>
          <w:sz w:val="22"/>
          <w:szCs w:val="22"/>
        </w:rPr>
        <w:t xml:space="preserve"> H, </w:t>
      </w:r>
      <w:proofErr w:type="spellStart"/>
      <w:r w:rsidRPr="005868F2">
        <w:rPr>
          <w:rFonts w:ascii="Arial" w:hAnsi="Arial" w:cs="Arial"/>
          <w:sz w:val="22"/>
          <w:szCs w:val="22"/>
        </w:rPr>
        <w:t>Arisawa</w:t>
      </w:r>
      <w:proofErr w:type="spellEnd"/>
      <w:r w:rsidRPr="005868F2">
        <w:rPr>
          <w:rFonts w:ascii="Arial" w:hAnsi="Arial" w:cs="Arial"/>
          <w:sz w:val="22"/>
          <w:szCs w:val="22"/>
        </w:rPr>
        <w:t xml:space="preserve"> K, </w:t>
      </w:r>
      <w:proofErr w:type="spellStart"/>
      <w:r w:rsidRPr="005868F2">
        <w:rPr>
          <w:rFonts w:ascii="Arial" w:hAnsi="Arial" w:cs="Arial"/>
          <w:sz w:val="22"/>
          <w:szCs w:val="22"/>
        </w:rPr>
        <w:t>Hiyoshi</w:t>
      </w:r>
      <w:proofErr w:type="spellEnd"/>
      <w:r w:rsidRPr="005868F2">
        <w:rPr>
          <w:rFonts w:ascii="Arial" w:hAnsi="Arial" w:cs="Arial"/>
          <w:sz w:val="22"/>
          <w:szCs w:val="22"/>
        </w:rPr>
        <w:t xml:space="preserve"> M, et al (2009). Prevalence of metabolic syndrome associated with body burden levels of dioxin and related compounds among Japan’s general population. Environ Health </w:t>
      </w:r>
      <w:proofErr w:type="spellStart"/>
      <w:r w:rsidRPr="005868F2">
        <w:rPr>
          <w:rFonts w:ascii="Arial" w:hAnsi="Arial" w:cs="Arial"/>
          <w:sz w:val="22"/>
          <w:szCs w:val="22"/>
        </w:rPr>
        <w:t>Perspect</w:t>
      </w:r>
      <w:proofErr w:type="spellEnd"/>
      <w:r>
        <w:rPr>
          <w:rFonts w:ascii="Arial" w:hAnsi="Arial" w:cs="Arial"/>
          <w:sz w:val="22"/>
          <w:szCs w:val="22"/>
        </w:rPr>
        <w:t>,</w:t>
      </w:r>
      <w:r w:rsidRPr="005868F2">
        <w:rPr>
          <w:rFonts w:ascii="Arial" w:hAnsi="Arial" w:cs="Arial"/>
          <w:sz w:val="22"/>
          <w:szCs w:val="22"/>
        </w:rPr>
        <w:t xml:space="preserve"> 117: 568–73</w:t>
      </w:r>
      <w:r>
        <w:rPr>
          <w:rFonts w:ascii="Arial" w:hAnsi="Arial" w:cs="Arial"/>
          <w:sz w:val="22"/>
          <w:szCs w:val="22"/>
        </w:rPr>
        <w:t>.</w:t>
      </w:r>
    </w:p>
    <w:p w14:paraId="67521DCC"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Van </w:t>
      </w:r>
      <w:proofErr w:type="spellStart"/>
      <w:r w:rsidRPr="005868F2">
        <w:rPr>
          <w:rFonts w:ascii="Arial" w:hAnsi="Arial" w:cs="Arial"/>
          <w:sz w:val="22"/>
          <w:szCs w:val="22"/>
        </w:rPr>
        <w:t>Larebeke</w:t>
      </w:r>
      <w:proofErr w:type="spellEnd"/>
      <w:r w:rsidRPr="005868F2">
        <w:rPr>
          <w:rFonts w:ascii="Arial" w:hAnsi="Arial" w:cs="Arial"/>
          <w:sz w:val="22"/>
          <w:szCs w:val="22"/>
        </w:rPr>
        <w:t xml:space="preserve"> N</w:t>
      </w:r>
      <w:r>
        <w:rPr>
          <w:rFonts w:ascii="Arial" w:hAnsi="Arial" w:cs="Arial"/>
          <w:sz w:val="22"/>
          <w:szCs w:val="22"/>
        </w:rPr>
        <w:t>,</w:t>
      </w:r>
      <w:r w:rsidRPr="005868F2">
        <w:rPr>
          <w:rFonts w:ascii="Arial" w:hAnsi="Arial" w:cs="Arial"/>
          <w:sz w:val="22"/>
          <w:szCs w:val="22"/>
        </w:rPr>
        <w:t xml:space="preserve"> et al (2015). Internal exposure to organochlorine pollutants and cadmium and self-reported health status: A prospective study. International Journal of Hygiene and Environmental Health</w:t>
      </w:r>
      <w:r>
        <w:rPr>
          <w:rFonts w:ascii="Arial" w:hAnsi="Arial" w:cs="Arial"/>
          <w:sz w:val="22"/>
          <w:szCs w:val="22"/>
        </w:rPr>
        <w:t>,</w:t>
      </w:r>
      <w:r w:rsidRPr="005868F2">
        <w:rPr>
          <w:rFonts w:ascii="Arial" w:hAnsi="Arial" w:cs="Arial"/>
          <w:sz w:val="22"/>
          <w:szCs w:val="22"/>
        </w:rPr>
        <w:t xml:space="preserve"> 218(2):</w:t>
      </w:r>
      <w:r>
        <w:rPr>
          <w:rFonts w:ascii="Arial" w:hAnsi="Arial" w:cs="Arial"/>
          <w:sz w:val="22"/>
          <w:szCs w:val="22"/>
        </w:rPr>
        <w:t xml:space="preserve"> </w:t>
      </w:r>
      <w:r w:rsidRPr="005868F2">
        <w:rPr>
          <w:rFonts w:ascii="Arial" w:hAnsi="Arial" w:cs="Arial"/>
          <w:sz w:val="22"/>
          <w:szCs w:val="22"/>
        </w:rPr>
        <w:t>232–45.</w:t>
      </w:r>
    </w:p>
    <w:p w14:paraId="544E1B9C"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Yamamoto K, Kudo M, </w:t>
      </w:r>
      <w:proofErr w:type="spellStart"/>
      <w:r w:rsidRPr="005868F2">
        <w:rPr>
          <w:rFonts w:ascii="Arial" w:hAnsi="Arial" w:cs="Arial"/>
          <w:sz w:val="22"/>
          <w:szCs w:val="22"/>
        </w:rPr>
        <w:t>Arito</w:t>
      </w:r>
      <w:proofErr w:type="spellEnd"/>
      <w:r w:rsidRPr="005868F2">
        <w:rPr>
          <w:rFonts w:ascii="Arial" w:hAnsi="Arial" w:cs="Arial"/>
          <w:sz w:val="22"/>
          <w:szCs w:val="22"/>
        </w:rPr>
        <w:t xml:space="preserve"> H, </w:t>
      </w:r>
      <w:r>
        <w:rPr>
          <w:rFonts w:ascii="Arial" w:hAnsi="Arial" w:cs="Arial"/>
          <w:sz w:val="22"/>
          <w:szCs w:val="22"/>
        </w:rPr>
        <w:t>et al</w:t>
      </w:r>
      <w:r w:rsidRPr="005868F2">
        <w:rPr>
          <w:rFonts w:ascii="Arial" w:hAnsi="Arial" w:cs="Arial"/>
          <w:sz w:val="22"/>
          <w:szCs w:val="22"/>
        </w:rPr>
        <w:t xml:space="preserve"> (2015). A cross-sectional analysis of dioxins and health effects in municipal and private waste incinerator workers in Japan. Industrial Health</w:t>
      </w:r>
      <w:r>
        <w:rPr>
          <w:rFonts w:ascii="Arial" w:hAnsi="Arial" w:cs="Arial"/>
          <w:sz w:val="22"/>
          <w:szCs w:val="22"/>
        </w:rPr>
        <w:t>,</w:t>
      </w:r>
      <w:r w:rsidRPr="005868F2">
        <w:rPr>
          <w:rFonts w:ascii="Arial" w:hAnsi="Arial" w:cs="Arial"/>
          <w:sz w:val="22"/>
          <w:szCs w:val="22"/>
        </w:rPr>
        <w:t xml:space="preserve"> 53(5):</w:t>
      </w:r>
      <w:r>
        <w:rPr>
          <w:rFonts w:ascii="Arial" w:hAnsi="Arial" w:cs="Arial"/>
          <w:sz w:val="22"/>
          <w:szCs w:val="22"/>
        </w:rPr>
        <w:t xml:space="preserve"> </w:t>
      </w:r>
      <w:r w:rsidRPr="005868F2">
        <w:rPr>
          <w:rFonts w:ascii="Arial" w:hAnsi="Arial" w:cs="Arial"/>
          <w:sz w:val="22"/>
          <w:szCs w:val="22"/>
        </w:rPr>
        <w:t>465–79.</w:t>
      </w:r>
    </w:p>
    <w:p w14:paraId="53861D37"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Yi S-W, Hong J-S, </w:t>
      </w:r>
      <w:proofErr w:type="spellStart"/>
      <w:r w:rsidRPr="005868F2">
        <w:rPr>
          <w:rFonts w:ascii="Arial" w:hAnsi="Arial" w:cs="Arial"/>
          <w:sz w:val="22"/>
          <w:szCs w:val="22"/>
        </w:rPr>
        <w:t>Ohrr</w:t>
      </w:r>
      <w:proofErr w:type="spellEnd"/>
      <w:r w:rsidRPr="005868F2">
        <w:rPr>
          <w:rFonts w:ascii="Arial" w:hAnsi="Arial" w:cs="Arial"/>
          <w:sz w:val="22"/>
          <w:szCs w:val="22"/>
        </w:rPr>
        <w:t xml:space="preserve"> H, et al (2014). Agent Orange exposure and disease prevalence in Korean Vietnam veterans: the Korean </w:t>
      </w:r>
      <w:proofErr w:type="spellStart"/>
      <w:proofErr w:type="gramStart"/>
      <w:r w:rsidRPr="005868F2">
        <w:rPr>
          <w:rFonts w:ascii="Arial" w:hAnsi="Arial" w:cs="Arial"/>
          <w:sz w:val="22"/>
          <w:szCs w:val="22"/>
        </w:rPr>
        <w:t>veterans</w:t>
      </w:r>
      <w:proofErr w:type="spellEnd"/>
      <w:proofErr w:type="gramEnd"/>
      <w:r w:rsidRPr="005868F2">
        <w:rPr>
          <w:rFonts w:ascii="Arial" w:hAnsi="Arial" w:cs="Arial"/>
          <w:sz w:val="22"/>
          <w:szCs w:val="22"/>
        </w:rPr>
        <w:t xml:space="preserve"> health study. Environmental Research, 133: 56-65. </w:t>
      </w:r>
    </w:p>
    <w:p w14:paraId="5B1BB63F" w14:textId="77777777" w:rsidR="004D78C0" w:rsidRPr="005868F2" w:rsidRDefault="004D78C0" w:rsidP="004D78C0">
      <w:pPr>
        <w:spacing w:after="120"/>
        <w:jc w:val="both"/>
        <w:rPr>
          <w:rFonts w:ascii="Arial" w:hAnsi="Arial" w:cs="Arial"/>
          <w:sz w:val="22"/>
          <w:szCs w:val="22"/>
        </w:rPr>
      </w:pPr>
      <w:r w:rsidRPr="005868F2">
        <w:rPr>
          <w:rFonts w:ascii="Arial" w:hAnsi="Arial" w:cs="Arial"/>
          <w:sz w:val="22"/>
          <w:szCs w:val="22"/>
        </w:rPr>
        <w:t xml:space="preserve">  Yi SW, </w:t>
      </w:r>
      <w:proofErr w:type="spellStart"/>
      <w:r w:rsidRPr="005868F2">
        <w:rPr>
          <w:rFonts w:ascii="Arial" w:hAnsi="Arial" w:cs="Arial"/>
          <w:sz w:val="22"/>
          <w:szCs w:val="22"/>
        </w:rPr>
        <w:t>Ohrr</w:t>
      </w:r>
      <w:proofErr w:type="spellEnd"/>
      <w:r w:rsidRPr="005868F2">
        <w:rPr>
          <w:rFonts w:ascii="Arial" w:hAnsi="Arial" w:cs="Arial"/>
          <w:sz w:val="22"/>
          <w:szCs w:val="22"/>
        </w:rPr>
        <w:t xml:space="preserve"> H, Hong JS, et al (2013). Agent Orange exposure and prevalence of self-reported diseases in Korean Vietnam veterans. J </w:t>
      </w:r>
      <w:proofErr w:type="spellStart"/>
      <w:r w:rsidRPr="005868F2">
        <w:rPr>
          <w:rFonts w:ascii="Arial" w:hAnsi="Arial" w:cs="Arial"/>
          <w:sz w:val="22"/>
          <w:szCs w:val="22"/>
        </w:rPr>
        <w:t>Prev</w:t>
      </w:r>
      <w:proofErr w:type="spellEnd"/>
      <w:r w:rsidRPr="005868F2">
        <w:rPr>
          <w:rFonts w:ascii="Arial" w:hAnsi="Arial" w:cs="Arial"/>
          <w:sz w:val="22"/>
          <w:szCs w:val="22"/>
        </w:rPr>
        <w:t xml:space="preserve"> Med Public Health, 46: 213-25. </w:t>
      </w:r>
    </w:p>
    <w:p w14:paraId="512B84F9" w14:textId="77777777" w:rsidR="004D78C0" w:rsidRDefault="004D78C0" w:rsidP="004D78C0">
      <w:pPr>
        <w:spacing w:after="120"/>
        <w:jc w:val="both"/>
        <w:rPr>
          <w:rFonts w:ascii="Arial" w:hAnsi="Arial" w:cs="Arial"/>
          <w:sz w:val="22"/>
          <w:szCs w:val="22"/>
        </w:rPr>
      </w:pPr>
      <w:r w:rsidRPr="005868F2">
        <w:rPr>
          <w:rFonts w:ascii="Arial" w:hAnsi="Arial" w:cs="Arial"/>
          <w:sz w:val="22"/>
          <w:szCs w:val="22"/>
        </w:rPr>
        <w:t xml:space="preserve">  Yi SW, </w:t>
      </w:r>
      <w:proofErr w:type="spellStart"/>
      <w:r w:rsidRPr="005868F2">
        <w:rPr>
          <w:rFonts w:ascii="Arial" w:hAnsi="Arial" w:cs="Arial"/>
          <w:sz w:val="22"/>
          <w:szCs w:val="22"/>
        </w:rPr>
        <w:t>Ryu</w:t>
      </w:r>
      <w:proofErr w:type="spellEnd"/>
      <w:r w:rsidRPr="005868F2">
        <w:rPr>
          <w:rFonts w:ascii="Arial" w:hAnsi="Arial" w:cs="Arial"/>
          <w:sz w:val="22"/>
          <w:szCs w:val="22"/>
        </w:rPr>
        <w:t xml:space="preserve"> SY, </w:t>
      </w:r>
      <w:proofErr w:type="spellStart"/>
      <w:r w:rsidRPr="005868F2">
        <w:rPr>
          <w:rFonts w:ascii="Arial" w:hAnsi="Arial" w:cs="Arial"/>
          <w:sz w:val="22"/>
          <w:szCs w:val="22"/>
        </w:rPr>
        <w:t>Ohrr</w:t>
      </w:r>
      <w:proofErr w:type="spellEnd"/>
      <w:r w:rsidRPr="005868F2">
        <w:rPr>
          <w:rFonts w:ascii="Arial" w:hAnsi="Arial" w:cs="Arial"/>
          <w:sz w:val="22"/>
          <w:szCs w:val="22"/>
        </w:rPr>
        <w:t xml:space="preserve"> H, et al (2014). Agent Orange exposure and risk of death in Korean Vietnam veterans: Korean Veterans Health Study. </w:t>
      </w:r>
      <w:proofErr w:type="spellStart"/>
      <w:r w:rsidRPr="005868F2">
        <w:rPr>
          <w:rFonts w:ascii="Arial" w:hAnsi="Arial" w:cs="Arial"/>
          <w:sz w:val="22"/>
          <w:szCs w:val="22"/>
        </w:rPr>
        <w:t>Int</w:t>
      </w:r>
      <w:proofErr w:type="spellEnd"/>
      <w:r w:rsidRPr="005868F2">
        <w:rPr>
          <w:rFonts w:ascii="Arial" w:hAnsi="Arial" w:cs="Arial"/>
          <w:sz w:val="22"/>
          <w:szCs w:val="22"/>
        </w:rPr>
        <w:t xml:space="preserve"> J </w:t>
      </w:r>
      <w:proofErr w:type="spellStart"/>
      <w:r w:rsidRPr="005868F2">
        <w:rPr>
          <w:rFonts w:ascii="Arial" w:hAnsi="Arial" w:cs="Arial"/>
          <w:sz w:val="22"/>
          <w:szCs w:val="22"/>
        </w:rPr>
        <w:t>Epidemiol</w:t>
      </w:r>
      <w:proofErr w:type="spellEnd"/>
      <w:r w:rsidRPr="005868F2">
        <w:rPr>
          <w:rFonts w:ascii="Arial" w:hAnsi="Arial" w:cs="Arial"/>
          <w:sz w:val="22"/>
          <w:szCs w:val="22"/>
        </w:rPr>
        <w:t xml:space="preserve">, 43(6): 1825-34. </w:t>
      </w:r>
    </w:p>
    <w:p w14:paraId="1DAD540C" w14:textId="2B1B5C6C" w:rsidR="00B12626" w:rsidRPr="005B3B4A" w:rsidRDefault="00B12626" w:rsidP="004D78C0">
      <w:pPr>
        <w:pStyle w:val="NumberLevel1"/>
        <w:numPr>
          <w:ilvl w:val="0"/>
          <w:numId w:val="0"/>
        </w:numPr>
        <w:jc w:val="both"/>
      </w:pPr>
    </w:p>
    <w:sectPr w:rsidR="00B12626" w:rsidRPr="005B3B4A">
      <w:footerReference w:type="even" r:id="rId10"/>
      <w:footerReference w:type="default" r:id="rId11"/>
      <w:pgSz w:w="11907" w:h="16840" w:code="9"/>
      <w:pgMar w:top="1361" w:right="1247" w:bottom="1559" w:left="1247" w:header="720" w:footer="720" w:gutter="0"/>
      <w:paperSrc w:first="281" w:other="2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B29E1" w14:textId="77777777" w:rsidR="00460A86" w:rsidRDefault="00460A86">
      <w:r>
        <w:separator/>
      </w:r>
    </w:p>
  </w:endnote>
  <w:endnote w:type="continuationSeparator" w:id="0">
    <w:p w14:paraId="1EC238EB" w14:textId="77777777" w:rsidR="00460A86" w:rsidRDefault="0046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5BF0" w14:textId="77777777" w:rsidR="00DA7A9A" w:rsidRDefault="00DA7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7F0402DD" w14:textId="77777777" w:rsidR="00DA7A9A" w:rsidRDefault="00DA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F49B" w14:textId="21D14F3B" w:rsidR="00DA7A9A" w:rsidRDefault="00DA7A9A">
    <w:pPr>
      <w:pStyle w:val="Footer"/>
      <w:jc w:val="center"/>
    </w:pPr>
    <w:r>
      <w:t xml:space="preserve">- </w:t>
    </w:r>
    <w:r>
      <w:fldChar w:fldCharType="begin"/>
    </w:r>
    <w:r>
      <w:instrText xml:space="preserve"> PAGE </w:instrText>
    </w:r>
    <w:r>
      <w:fldChar w:fldCharType="separate"/>
    </w:r>
    <w:r w:rsidR="00725836">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662D" w14:textId="77777777" w:rsidR="00460A86" w:rsidRDefault="00460A86">
      <w:r>
        <w:separator/>
      </w:r>
    </w:p>
  </w:footnote>
  <w:footnote w:type="continuationSeparator" w:id="0">
    <w:p w14:paraId="0CCDFB0B" w14:textId="77777777" w:rsidR="00460A86" w:rsidRDefault="00460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68B"/>
    <w:multiLevelType w:val="hybridMultilevel"/>
    <w:tmpl w:val="144C18D0"/>
    <w:lvl w:ilvl="0" w:tplc="0C090001">
      <w:start w:val="1"/>
      <w:numFmt w:val="bullet"/>
      <w:lvlText w:val=""/>
      <w:lvlJc w:val="left"/>
      <w:pPr>
        <w:ind w:left="1096" w:hanging="360"/>
      </w:pPr>
      <w:rPr>
        <w:rFonts w:ascii="Symbol" w:hAnsi="Symbol" w:hint="default"/>
      </w:rPr>
    </w:lvl>
    <w:lvl w:ilvl="1" w:tplc="0C090003" w:tentative="1">
      <w:start w:val="1"/>
      <w:numFmt w:val="bullet"/>
      <w:lvlText w:val="o"/>
      <w:lvlJc w:val="left"/>
      <w:pPr>
        <w:ind w:left="1816" w:hanging="360"/>
      </w:pPr>
      <w:rPr>
        <w:rFonts w:ascii="Courier New" w:hAnsi="Courier New" w:cs="Courier New" w:hint="default"/>
      </w:rPr>
    </w:lvl>
    <w:lvl w:ilvl="2" w:tplc="0C090005" w:tentative="1">
      <w:start w:val="1"/>
      <w:numFmt w:val="bullet"/>
      <w:lvlText w:val=""/>
      <w:lvlJc w:val="left"/>
      <w:pPr>
        <w:ind w:left="2536" w:hanging="360"/>
      </w:pPr>
      <w:rPr>
        <w:rFonts w:ascii="Wingdings" w:hAnsi="Wingdings" w:hint="default"/>
      </w:rPr>
    </w:lvl>
    <w:lvl w:ilvl="3" w:tplc="0C090001" w:tentative="1">
      <w:start w:val="1"/>
      <w:numFmt w:val="bullet"/>
      <w:lvlText w:val=""/>
      <w:lvlJc w:val="left"/>
      <w:pPr>
        <w:ind w:left="3256" w:hanging="360"/>
      </w:pPr>
      <w:rPr>
        <w:rFonts w:ascii="Symbol" w:hAnsi="Symbol" w:hint="default"/>
      </w:rPr>
    </w:lvl>
    <w:lvl w:ilvl="4" w:tplc="0C090003" w:tentative="1">
      <w:start w:val="1"/>
      <w:numFmt w:val="bullet"/>
      <w:lvlText w:val="o"/>
      <w:lvlJc w:val="left"/>
      <w:pPr>
        <w:ind w:left="3976" w:hanging="360"/>
      </w:pPr>
      <w:rPr>
        <w:rFonts w:ascii="Courier New" w:hAnsi="Courier New" w:cs="Courier New" w:hint="default"/>
      </w:rPr>
    </w:lvl>
    <w:lvl w:ilvl="5" w:tplc="0C090005" w:tentative="1">
      <w:start w:val="1"/>
      <w:numFmt w:val="bullet"/>
      <w:lvlText w:val=""/>
      <w:lvlJc w:val="left"/>
      <w:pPr>
        <w:ind w:left="4696" w:hanging="360"/>
      </w:pPr>
      <w:rPr>
        <w:rFonts w:ascii="Wingdings" w:hAnsi="Wingdings" w:hint="default"/>
      </w:rPr>
    </w:lvl>
    <w:lvl w:ilvl="6" w:tplc="0C090001" w:tentative="1">
      <w:start w:val="1"/>
      <w:numFmt w:val="bullet"/>
      <w:lvlText w:val=""/>
      <w:lvlJc w:val="left"/>
      <w:pPr>
        <w:ind w:left="5416" w:hanging="360"/>
      </w:pPr>
      <w:rPr>
        <w:rFonts w:ascii="Symbol" w:hAnsi="Symbol" w:hint="default"/>
      </w:rPr>
    </w:lvl>
    <w:lvl w:ilvl="7" w:tplc="0C090003" w:tentative="1">
      <w:start w:val="1"/>
      <w:numFmt w:val="bullet"/>
      <w:lvlText w:val="o"/>
      <w:lvlJc w:val="left"/>
      <w:pPr>
        <w:ind w:left="6136" w:hanging="360"/>
      </w:pPr>
      <w:rPr>
        <w:rFonts w:ascii="Courier New" w:hAnsi="Courier New" w:cs="Courier New" w:hint="default"/>
      </w:rPr>
    </w:lvl>
    <w:lvl w:ilvl="8" w:tplc="0C090005" w:tentative="1">
      <w:start w:val="1"/>
      <w:numFmt w:val="bullet"/>
      <w:lvlText w:val=""/>
      <w:lvlJc w:val="left"/>
      <w:pPr>
        <w:ind w:left="6856" w:hanging="360"/>
      </w:pPr>
      <w:rPr>
        <w:rFonts w:ascii="Wingdings" w:hAnsi="Wingdings" w:hint="default"/>
      </w:rPr>
    </w:lvl>
  </w:abstractNum>
  <w:abstractNum w:abstractNumId="1" w15:restartNumberingAfterBreak="0">
    <w:nsid w:val="1477581E"/>
    <w:multiLevelType w:val="multilevel"/>
    <w:tmpl w:val="5A387B3A"/>
    <w:lvl w:ilvl="0">
      <w:start w:val="1"/>
      <w:numFmt w:val="bullet"/>
      <w:lvlText w:val=""/>
      <w:lvlJc w:val="left"/>
      <w:pPr>
        <w:tabs>
          <w:tab w:val="num" w:pos="1446"/>
        </w:tabs>
        <w:ind w:left="1446" w:hanging="567"/>
      </w:pPr>
      <w:rPr>
        <w:rFonts w:ascii="Symbol" w:hAnsi="Symbol" w:hint="default"/>
      </w:rPr>
    </w:lvl>
    <w:lvl w:ilvl="1">
      <w:start w:val="1"/>
      <w:numFmt w:val="decimal"/>
      <w:lvlText w:val="%1.%2."/>
      <w:lvlJc w:val="left"/>
      <w:pPr>
        <w:tabs>
          <w:tab w:val="num" w:pos="2018"/>
        </w:tabs>
        <w:ind w:left="2018" w:hanging="567"/>
      </w:pPr>
    </w:lvl>
    <w:lvl w:ilvl="2">
      <w:start w:val="1"/>
      <w:numFmt w:val="decimal"/>
      <w:lvlText w:val="%1.%2.%3."/>
      <w:lvlJc w:val="left"/>
      <w:pPr>
        <w:tabs>
          <w:tab w:val="num" w:pos="2551"/>
        </w:tabs>
        <w:ind w:left="2551" w:hanging="850"/>
      </w:pPr>
    </w:lvl>
    <w:lvl w:ilvl="3">
      <w:start w:val="1"/>
      <w:numFmt w:val="decimal"/>
      <w:lvlText w:val="%1.%2.%3.%4."/>
      <w:lvlJc w:val="left"/>
      <w:pPr>
        <w:tabs>
          <w:tab w:val="num" w:pos="3402"/>
        </w:tabs>
        <w:ind w:left="3402" w:hanging="851"/>
      </w:pPr>
    </w:lvl>
    <w:lvl w:ilvl="4">
      <w:start w:val="1"/>
      <w:numFmt w:val="decimal"/>
      <w:lvlText w:val="%1.%2.%3.%4.%5."/>
      <w:lvlJc w:val="left"/>
      <w:pPr>
        <w:tabs>
          <w:tab w:val="num" w:pos="4536"/>
        </w:tabs>
        <w:ind w:left="4536" w:hanging="1134"/>
      </w:pPr>
    </w:lvl>
    <w:lvl w:ilvl="5">
      <w:start w:val="1"/>
      <w:numFmt w:val="decimal"/>
      <w:lvlText w:val="%1.%2.%3.%4.%5.%6."/>
      <w:lvlJc w:val="left"/>
      <w:pPr>
        <w:tabs>
          <w:tab w:val="num" w:pos="5669"/>
        </w:tabs>
        <w:ind w:left="5669" w:hanging="1133"/>
      </w:pPr>
    </w:lvl>
    <w:lvl w:ilvl="6">
      <w:start w:val="1"/>
      <w:numFmt w:val="decimal"/>
      <w:lvlText w:val="%1.%2.%3.%4.%5.%6.%7."/>
      <w:lvlJc w:val="left"/>
      <w:pPr>
        <w:tabs>
          <w:tab w:val="num" w:pos="6803"/>
        </w:tabs>
        <w:ind w:left="6803" w:hanging="1134"/>
      </w:pPr>
    </w:lvl>
    <w:lvl w:ilvl="7">
      <w:start w:val="1"/>
      <w:numFmt w:val="decimal"/>
      <w:lvlText w:val="%1.%2.%3.%4.%5.%6.%7.%8."/>
      <w:lvlJc w:val="left"/>
      <w:pPr>
        <w:tabs>
          <w:tab w:val="num" w:pos="7937"/>
        </w:tabs>
        <w:ind w:left="7937" w:hanging="1134"/>
      </w:pPr>
    </w:lvl>
    <w:lvl w:ilvl="8">
      <w:start w:val="1"/>
      <w:numFmt w:val="decimal"/>
      <w:lvlText w:val="%1.%2.%3.%4.%5.%6.%7.%8.%9."/>
      <w:lvlJc w:val="left"/>
      <w:pPr>
        <w:tabs>
          <w:tab w:val="num" w:pos="7937"/>
        </w:tabs>
        <w:ind w:left="7937" w:hanging="1134"/>
      </w:pPr>
    </w:lvl>
  </w:abstractNum>
  <w:abstractNum w:abstractNumId="2" w15:restartNumberingAfterBreak="0">
    <w:nsid w:val="204248D0"/>
    <w:multiLevelType w:val="multilevel"/>
    <w:tmpl w:val="44B43A50"/>
    <w:lvl w:ilvl="0">
      <w:start w:val="1"/>
      <w:numFmt w:val="decimal"/>
      <w:pStyle w:val="NumberLevel1"/>
      <w:lvlText w:val="%1."/>
      <w:lvlJc w:val="left"/>
      <w:pPr>
        <w:tabs>
          <w:tab w:val="num" w:pos="879"/>
        </w:tabs>
        <w:ind w:left="879" w:hanging="567"/>
      </w:pPr>
      <w:rPr>
        <w:rFonts w:ascii="Arial" w:hAnsi="Arial" w:cs="Arial" w:hint="default"/>
      </w:rPr>
    </w:lvl>
    <w:lvl w:ilvl="1">
      <w:start w:val="1"/>
      <w:numFmt w:val="decimal"/>
      <w:pStyle w:val="NumberLevel2"/>
      <w:lvlText w:val="%1.%2."/>
      <w:lvlJc w:val="left"/>
      <w:pPr>
        <w:tabs>
          <w:tab w:val="num" w:pos="1451"/>
        </w:tabs>
        <w:ind w:left="1451"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3" w15:restartNumberingAfterBreak="0">
    <w:nsid w:val="341703FA"/>
    <w:multiLevelType w:val="hybridMultilevel"/>
    <w:tmpl w:val="8480A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62240C"/>
    <w:multiLevelType w:val="hybridMultilevel"/>
    <w:tmpl w:val="2FCE766A"/>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53FD4BC6"/>
    <w:multiLevelType w:val="multilevel"/>
    <w:tmpl w:val="920E9568"/>
    <w:lvl w:ilvl="0">
      <w:start w:val="1"/>
      <w:numFmt w:val="upperRoman"/>
      <w:pStyle w:val="PartHeading"/>
      <w:lvlText w:val="Part  %1"/>
      <w:lvlJc w:val="left"/>
      <w:pPr>
        <w:tabs>
          <w:tab w:val="num" w:pos="1134"/>
        </w:tabs>
        <w:ind w:left="1134" w:hanging="113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EFB1015"/>
    <w:multiLevelType w:val="hybridMultilevel"/>
    <w:tmpl w:val="33164588"/>
    <w:lvl w:ilvl="0" w:tplc="0C090001">
      <w:start w:val="1"/>
      <w:numFmt w:val="bullet"/>
      <w:lvlText w:val=""/>
      <w:lvlJc w:val="left"/>
      <w:pPr>
        <w:ind w:left="1276" w:hanging="397"/>
      </w:pPr>
      <w:rPr>
        <w:rFonts w:ascii="Symbol" w:hAnsi="Symbol" w:hint="default"/>
      </w:rPr>
    </w:lvl>
    <w:lvl w:ilvl="1" w:tplc="0C090003" w:tentative="1">
      <w:start w:val="1"/>
      <w:numFmt w:val="bullet"/>
      <w:lvlText w:val="o"/>
      <w:lvlJc w:val="left"/>
      <w:pPr>
        <w:ind w:left="1959" w:hanging="360"/>
      </w:pPr>
      <w:rPr>
        <w:rFonts w:ascii="Courier New" w:hAnsi="Courier New" w:cs="Courier New" w:hint="default"/>
      </w:rPr>
    </w:lvl>
    <w:lvl w:ilvl="2" w:tplc="0C090005" w:tentative="1">
      <w:start w:val="1"/>
      <w:numFmt w:val="bullet"/>
      <w:lvlText w:val=""/>
      <w:lvlJc w:val="left"/>
      <w:pPr>
        <w:ind w:left="2679" w:hanging="360"/>
      </w:pPr>
      <w:rPr>
        <w:rFonts w:ascii="Wingdings" w:hAnsi="Wingdings" w:hint="default"/>
      </w:rPr>
    </w:lvl>
    <w:lvl w:ilvl="3" w:tplc="0C090001" w:tentative="1">
      <w:start w:val="1"/>
      <w:numFmt w:val="bullet"/>
      <w:lvlText w:val=""/>
      <w:lvlJc w:val="left"/>
      <w:pPr>
        <w:ind w:left="3399" w:hanging="360"/>
      </w:pPr>
      <w:rPr>
        <w:rFonts w:ascii="Symbol" w:hAnsi="Symbol" w:hint="default"/>
      </w:rPr>
    </w:lvl>
    <w:lvl w:ilvl="4" w:tplc="0C090003" w:tentative="1">
      <w:start w:val="1"/>
      <w:numFmt w:val="bullet"/>
      <w:lvlText w:val="o"/>
      <w:lvlJc w:val="left"/>
      <w:pPr>
        <w:ind w:left="4119" w:hanging="360"/>
      </w:pPr>
      <w:rPr>
        <w:rFonts w:ascii="Courier New" w:hAnsi="Courier New" w:cs="Courier New" w:hint="default"/>
      </w:rPr>
    </w:lvl>
    <w:lvl w:ilvl="5" w:tplc="0C090005" w:tentative="1">
      <w:start w:val="1"/>
      <w:numFmt w:val="bullet"/>
      <w:lvlText w:val=""/>
      <w:lvlJc w:val="left"/>
      <w:pPr>
        <w:ind w:left="4839" w:hanging="360"/>
      </w:pPr>
      <w:rPr>
        <w:rFonts w:ascii="Wingdings" w:hAnsi="Wingdings" w:hint="default"/>
      </w:rPr>
    </w:lvl>
    <w:lvl w:ilvl="6" w:tplc="0C090001" w:tentative="1">
      <w:start w:val="1"/>
      <w:numFmt w:val="bullet"/>
      <w:lvlText w:val=""/>
      <w:lvlJc w:val="left"/>
      <w:pPr>
        <w:ind w:left="5559" w:hanging="360"/>
      </w:pPr>
      <w:rPr>
        <w:rFonts w:ascii="Symbol" w:hAnsi="Symbol" w:hint="default"/>
      </w:rPr>
    </w:lvl>
    <w:lvl w:ilvl="7" w:tplc="0C090003" w:tentative="1">
      <w:start w:val="1"/>
      <w:numFmt w:val="bullet"/>
      <w:lvlText w:val="o"/>
      <w:lvlJc w:val="left"/>
      <w:pPr>
        <w:ind w:left="6279" w:hanging="360"/>
      </w:pPr>
      <w:rPr>
        <w:rFonts w:ascii="Courier New" w:hAnsi="Courier New" w:cs="Courier New" w:hint="default"/>
      </w:rPr>
    </w:lvl>
    <w:lvl w:ilvl="8" w:tplc="0C090005" w:tentative="1">
      <w:start w:val="1"/>
      <w:numFmt w:val="bullet"/>
      <w:lvlText w:val=""/>
      <w:lvlJc w:val="left"/>
      <w:pPr>
        <w:ind w:left="6999" w:hanging="360"/>
      </w:pPr>
      <w:rPr>
        <w:rFonts w:ascii="Wingdings" w:hAnsi="Wingdings" w:hint="default"/>
      </w:rPr>
    </w:lvl>
  </w:abstractNum>
  <w:abstractNum w:abstractNumId="7" w15:restartNumberingAfterBreak="0">
    <w:nsid w:val="69C4537F"/>
    <w:multiLevelType w:val="hybridMultilevel"/>
    <w:tmpl w:val="0D04CE6E"/>
    <w:lvl w:ilvl="0" w:tplc="0C090001">
      <w:start w:val="1"/>
      <w:numFmt w:val="bullet"/>
      <w:lvlText w:val=""/>
      <w:lvlJc w:val="left"/>
      <w:pPr>
        <w:ind w:left="1599" w:hanging="360"/>
      </w:pPr>
      <w:rPr>
        <w:rFonts w:ascii="Symbol" w:hAnsi="Symbol" w:hint="default"/>
      </w:rPr>
    </w:lvl>
    <w:lvl w:ilvl="1" w:tplc="0C090003" w:tentative="1">
      <w:start w:val="1"/>
      <w:numFmt w:val="bullet"/>
      <w:lvlText w:val="o"/>
      <w:lvlJc w:val="left"/>
      <w:pPr>
        <w:ind w:left="2319" w:hanging="360"/>
      </w:pPr>
      <w:rPr>
        <w:rFonts w:ascii="Courier New" w:hAnsi="Courier New" w:cs="Courier New" w:hint="default"/>
      </w:rPr>
    </w:lvl>
    <w:lvl w:ilvl="2" w:tplc="0C090005" w:tentative="1">
      <w:start w:val="1"/>
      <w:numFmt w:val="bullet"/>
      <w:lvlText w:val=""/>
      <w:lvlJc w:val="left"/>
      <w:pPr>
        <w:ind w:left="3039" w:hanging="360"/>
      </w:pPr>
      <w:rPr>
        <w:rFonts w:ascii="Wingdings" w:hAnsi="Wingdings" w:hint="default"/>
      </w:rPr>
    </w:lvl>
    <w:lvl w:ilvl="3" w:tplc="0C090001" w:tentative="1">
      <w:start w:val="1"/>
      <w:numFmt w:val="bullet"/>
      <w:lvlText w:val=""/>
      <w:lvlJc w:val="left"/>
      <w:pPr>
        <w:ind w:left="3759" w:hanging="360"/>
      </w:pPr>
      <w:rPr>
        <w:rFonts w:ascii="Symbol" w:hAnsi="Symbol" w:hint="default"/>
      </w:rPr>
    </w:lvl>
    <w:lvl w:ilvl="4" w:tplc="0C090003" w:tentative="1">
      <w:start w:val="1"/>
      <w:numFmt w:val="bullet"/>
      <w:lvlText w:val="o"/>
      <w:lvlJc w:val="left"/>
      <w:pPr>
        <w:ind w:left="4479" w:hanging="360"/>
      </w:pPr>
      <w:rPr>
        <w:rFonts w:ascii="Courier New" w:hAnsi="Courier New" w:cs="Courier New" w:hint="default"/>
      </w:rPr>
    </w:lvl>
    <w:lvl w:ilvl="5" w:tplc="0C090005" w:tentative="1">
      <w:start w:val="1"/>
      <w:numFmt w:val="bullet"/>
      <w:lvlText w:val=""/>
      <w:lvlJc w:val="left"/>
      <w:pPr>
        <w:ind w:left="5199" w:hanging="360"/>
      </w:pPr>
      <w:rPr>
        <w:rFonts w:ascii="Wingdings" w:hAnsi="Wingdings" w:hint="default"/>
      </w:rPr>
    </w:lvl>
    <w:lvl w:ilvl="6" w:tplc="0C090001" w:tentative="1">
      <w:start w:val="1"/>
      <w:numFmt w:val="bullet"/>
      <w:lvlText w:val=""/>
      <w:lvlJc w:val="left"/>
      <w:pPr>
        <w:ind w:left="5919" w:hanging="360"/>
      </w:pPr>
      <w:rPr>
        <w:rFonts w:ascii="Symbol" w:hAnsi="Symbol" w:hint="default"/>
      </w:rPr>
    </w:lvl>
    <w:lvl w:ilvl="7" w:tplc="0C090003" w:tentative="1">
      <w:start w:val="1"/>
      <w:numFmt w:val="bullet"/>
      <w:lvlText w:val="o"/>
      <w:lvlJc w:val="left"/>
      <w:pPr>
        <w:ind w:left="6639" w:hanging="360"/>
      </w:pPr>
      <w:rPr>
        <w:rFonts w:ascii="Courier New" w:hAnsi="Courier New" w:cs="Courier New" w:hint="default"/>
      </w:rPr>
    </w:lvl>
    <w:lvl w:ilvl="8" w:tplc="0C090005" w:tentative="1">
      <w:start w:val="1"/>
      <w:numFmt w:val="bullet"/>
      <w:lvlText w:val=""/>
      <w:lvlJc w:val="left"/>
      <w:pPr>
        <w:ind w:left="7359" w:hanging="360"/>
      </w:pPr>
      <w:rPr>
        <w:rFonts w:ascii="Wingdings" w:hAnsi="Wingdings" w:hint="default"/>
      </w:rPr>
    </w:lvl>
  </w:abstractNum>
  <w:num w:numId="1">
    <w:abstractNumId w:val="5"/>
  </w:num>
  <w:num w:numId="2">
    <w:abstractNumId w:val="2"/>
  </w:num>
  <w:num w:numId="3">
    <w:abstractNumId w:val="6"/>
  </w:num>
  <w:num w:numId="4">
    <w:abstractNumId w:val="2"/>
  </w:num>
  <w:num w:numId="5">
    <w:abstractNumId w:val="2"/>
  </w:num>
  <w:num w:numId="6">
    <w:abstractNumId w:val="2"/>
  </w:num>
  <w:num w:numId="7">
    <w:abstractNumId w:val="2"/>
  </w:num>
  <w:num w:numId="8">
    <w:abstractNumId w:val="7"/>
  </w:num>
  <w:num w:numId="9">
    <w:abstractNumId w:val="2"/>
  </w:num>
  <w:num w:numId="10">
    <w:abstractNumId w:val="0"/>
  </w:num>
  <w:num w:numId="11">
    <w:abstractNumId w:val="3"/>
  </w:num>
  <w:num w:numId="12">
    <w:abstractNumId w:val="1"/>
  </w:num>
  <w:num w:numId="13">
    <w:abstractNumId w:val="5"/>
  </w:num>
  <w:num w:numId="14">
    <w:abstractNumId w:val="2"/>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85"/>
    <w:rsid w:val="000154C1"/>
    <w:rsid w:val="000209E6"/>
    <w:rsid w:val="0002424C"/>
    <w:rsid w:val="00030BC9"/>
    <w:rsid w:val="00033C38"/>
    <w:rsid w:val="0004342A"/>
    <w:rsid w:val="00092018"/>
    <w:rsid w:val="000A2427"/>
    <w:rsid w:val="000B4388"/>
    <w:rsid w:val="000C051C"/>
    <w:rsid w:val="000C0848"/>
    <w:rsid w:val="000C2E4B"/>
    <w:rsid w:val="000C55B5"/>
    <w:rsid w:val="000E1E92"/>
    <w:rsid w:val="000E4EAB"/>
    <w:rsid w:val="00112639"/>
    <w:rsid w:val="0012176A"/>
    <w:rsid w:val="00126678"/>
    <w:rsid w:val="001307D1"/>
    <w:rsid w:val="00132586"/>
    <w:rsid w:val="001373F2"/>
    <w:rsid w:val="00143A45"/>
    <w:rsid w:val="00161378"/>
    <w:rsid w:val="00167DF3"/>
    <w:rsid w:val="001776D7"/>
    <w:rsid w:val="00182143"/>
    <w:rsid w:val="001B2CD6"/>
    <w:rsid w:val="001B5886"/>
    <w:rsid w:val="001B6800"/>
    <w:rsid w:val="001F503C"/>
    <w:rsid w:val="001F5DB5"/>
    <w:rsid w:val="00200927"/>
    <w:rsid w:val="00211F0C"/>
    <w:rsid w:val="00212F9F"/>
    <w:rsid w:val="00223033"/>
    <w:rsid w:val="00256440"/>
    <w:rsid w:val="00261618"/>
    <w:rsid w:val="002629E3"/>
    <w:rsid w:val="00273FC9"/>
    <w:rsid w:val="002901C0"/>
    <w:rsid w:val="00290B84"/>
    <w:rsid w:val="002B0D5F"/>
    <w:rsid w:val="002B1300"/>
    <w:rsid w:val="002C5D18"/>
    <w:rsid w:val="00326FC9"/>
    <w:rsid w:val="00336303"/>
    <w:rsid w:val="00371AE5"/>
    <w:rsid w:val="003820B2"/>
    <w:rsid w:val="003D613A"/>
    <w:rsid w:val="003E24B8"/>
    <w:rsid w:val="003F451F"/>
    <w:rsid w:val="00401E82"/>
    <w:rsid w:val="004140F9"/>
    <w:rsid w:val="0041784B"/>
    <w:rsid w:val="004235E2"/>
    <w:rsid w:val="00451BB0"/>
    <w:rsid w:val="00455C66"/>
    <w:rsid w:val="00460A86"/>
    <w:rsid w:val="00466B33"/>
    <w:rsid w:val="004778ED"/>
    <w:rsid w:val="004819C1"/>
    <w:rsid w:val="0049121F"/>
    <w:rsid w:val="004971D9"/>
    <w:rsid w:val="004B3BD3"/>
    <w:rsid w:val="004C1D6B"/>
    <w:rsid w:val="004C3F24"/>
    <w:rsid w:val="004D78C0"/>
    <w:rsid w:val="004E27FA"/>
    <w:rsid w:val="004E7396"/>
    <w:rsid w:val="00501F2D"/>
    <w:rsid w:val="0052530F"/>
    <w:rsid w:val="0053068D"/>
    <w:rsid w:val="00550DA8"/>
    <w:rsid w:val="005629CD"/>
    <w:rsid w:val="005735F7"/>
    <w:rsid w:val="00581DEE"/>
    <w:rsid w:val="00582F45"/>
    <w:rsid w:val="00591BD7"/>
    <w:rsid w:val="005951A1"/>
    <w:rsid w:val="00597E44"/>
    <w:rsid w:val="005A24E7"/>
    <w:rsid w:val="005A2E76"/>
    <w:rsid w:val="005A6063"/>
    <w:rsid w:val="005A6910"/>
    <w:rsid w:val="005B3B4A"/>
    <w:rsid w:val="005C2F0F"/>
    <w:rsid w:val="005F0D90"/>
    <w:rsid w:val="0060468B"/>
    <w:rsid w:val="00613495"/>
    <w:rsid w:val="0061423A"/>
    <w:rsid w:val="006266A2"/>
    <w:rsid w:val="00662B20"/>
    <w:rsid w:val="006710BA"/>
    <w:rsid w:val="006C1E53"/>
    <w:rsid w:val="006D0A9D"/>
    <w:rsid w:val="006D7E3A"/>
    <w:rsid w:val="006E70A1"/>
    <w:rsid w:val="006F131A"/>
    <w:rsid w:val="006F2D58"/>
    <w:rsid w:val="007017EC"/>
    <w:rsid w:val="0070463E"/>
    <w:rsid w:val="00725836"/>
    <w:rsid w:val="0074522F"/>
    <w:rsid w:val="007466A7"/>
    <w:rsid w:val="00751682"/>
    <w:rsid w:val="00755AF6"/>
    <w:rsid w:val="007609C0"/>
    <w:rsid w:val="00761B87"/>
    <w:rsid w:val="00764AB0"/>
    <w:rsid w:val="00782E36"/>
    <w:rsid w:val="007B429F"/>
    <w:rsid w:val="007E5FEC"/>
    <w:rsid w:val="00811579"/>
    <w:rsid w:val="00862F6A"/>
    <w:rsid w:val="00867A94"/>
    <w:rsid w:val="00870889"/>
    <w:rsid w:val="0087300F"/>
    <w:rsid w:val="008748E7"/>
    <w:rsid w:val="00886FB2"/>
    <w:rsid w:val="008901B9"/>
    <w:rsid w:val="008D369F"/>
    <w:rsid w:val="008D7C66"/>
    <w:rsid w:val="008E1B4E"/>
    <w:rsid w:val="00913A35"/>
    <w:rsid w:val="00922425"/>
    <w:rsid w:val="00922FBD"/>
    <w:rsid w:val="00924F85"/>
    <w:rsid w:val="0093724B"/>
    <w:rsid w:val="009459D0"/>
    <w:rsid w:val="00945C45"/>
    <w:rsid w:val="0094647F"/>
    <w:rsid w:val="00972E23"/>
    <w:rsid w:val="00975D41"/>
    <w:rsid w:val="0099413E"/>
    <w:rsid w:val="009B6843"/>
    <w:rsid w:val="009C193C"/>
    <w:rsid w:val="00A05350"/>
    <w:rsid w:val="00A30A6A"/>
    <w:rsid w:val="00A42EFB"/>
    <w:rsid w:val="00A523CA"/>
    <w:rsid w:val="00A5763B"/>
    <w:rsid w:val="00A64E6A"/>
    <w:rsid w:val="00A66EF0"/>
    <w:rsid w:val="00AA3A94"/>
    <w:rsid w:val="00AB7AE1"/>
    <w:rsid w:val="00AC144C"/>
    <w:rsid w:val="00AC4A71"/>
    <w:rsid w:val="00AD1E2D"/>
    <w:rsid w:val="00AF670F"/>
    <w:rsid w:val="00B03EA2"/>
    <w:rsid w:val="00B06394"/>
    <w:rsid w:val="00B12626"/>
    <w:rsid w:val="00B27BE7"/>
    <w:rsid w:val="00B41D53"/>
    <w:rsid w:val="00B51401"/>
    <w:rsid w:val="00B52299"/>
    <w:rsid w:val="00B75D4F"/>
    <w:rsid w:val="00B801B0"/>
    <w:rsid w:val="00B95069"/>
    <w:rsid w:val="00BA0B3E"/>
    <w:rsid w:val="00BD58E6"/>
    <w:rsid w:val="00C10B42"/>
    <w:rsid w:val="00C1378E"/>
    <w:rsid w:val="00C2458E"/>
    <w:rsid w:val="00C37AE3"/>
    <w:rsid w:val="00C44AE3"/>
    <w:rsid w:val="00C6550D"/>
    <w:rsid w:val="00C85C47"/>
    <w:rsid w:val="00CA266B"/>
    <w:rsid w:val="00CC4954"/>
    <w:rsid w:val="00CD1E99"/>
    <w:rsid w:val="00CD77A1"/>
    <w:rsid w:val="00CF3D3C"/>
    <w:rsid w:val="00D06E97"/>
    <w:rsid w:val="00D1475B"/>
    <w:rsid w:val="00D36CF4"/>
    <w:rsid w:val="00D50472"/>
    <w:rsid w:val="00D604B4"/>
    <w:rsid w:val="00D865E8"/>
    <w:rsid w:val="00D91262"/>
    <w:rsid w:val="00DA7A9A"/>
    <w:rsid w:val="00DC0CA4"/>
    <w:rsid w:val="00DC2A17"/>
    <w:rsid w:val="00DC5835"/>
    <w:rsid w:val="00DF396A"/>
    <w:rsid w:val="00E16686"/>
    <w:rsid w:val="00E40DC7"/>
    <w:rsid w:val="00E66EAE"/>
    <w:rsid w:val="00E674E2"/>
    <w:rsid w:val="00E83BE0"/>
    <w:rsid w:val="00E859BB"/>
    <w:rsid w:val="00E938CC"/>
    <w:rsid w:val="00EA50FC"/>
    <w:rsid w:val="00EA6CA4"/>
    <w:rsid w:val="00EC1F9F"/>
    <w:rsid w:val="00EE3CDD"/>
    <w:rsid w:val="00EF05E3"/>
    <w:rsid w:val="00EF1F0E"/>
    <w:rsid w:val="00F146BB"/>
    <w:rsid w:val="00F2751D"/>
    <w:rsid w:val="00F45B51"/>
    <w:rsid w:val="00F61FEB"/>
    <w:rsid w:val="00F7783A"/>
    <w:rsid w:val="00F8552B"/>
    <w:rsid w:val="00F9504C"/>
    <w:rsid w:val="00FB471E"/>
    <w:rsid w:val="00FC10A4"/>
    <w:rsid w:val="00FC5DD8"/>
    <w:rsid w:val="00FD2857"/>
    <w:rsid w:val="00FF535C"/>
    <w:rsid w:val="00FF7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4BA0F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both"/>
      <w:outlineLvl w:val="1"/>
    </w:pPr>
    <w:rPr>
      <w:b/>
      <w:sz w:val="28"/>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both"/>
      <w:outlineLvl w:val="5"/>
    </w:pPr>
    <w:rPr>
      <w:b/>
      <w:sz w:val="24"/>
      <w:u w:val="single"/>
    </w:rPr>
  </w:style>
  <w:style w:type="paragraph" w:styleId="Heading7">
    <w:name w:val="heading 7"/>
    <w:basedOn w:val="Normal"/>
    <w:next w:val="Normal"/>
    <w:qFormat/>
    <w:pPr>
      <w:keepNext/>
      <w:ind w:left="851"/>
      <w:jc w:val="both"/>
      <w:outlineLvl w:val="6"/>
    </w:pPr>
    <w:rPr>
      <w:b/>
      <w:i/>
      <w:sz w:val="24"/>
    </w:rPr>
  </w:style>
  <w:style w:type="paragraph" w:styleId="Heading8">
    <w:name w:val="heading 8"/>
    <w:basedOn w:val="Normal"/>
    <w:next w:val="Normal"/>
    <w:qFormat/>
    <w:pPr>
      <w:keepNext/>
      <w:ind w:firstLine="720"/>
      <w:jc w:val="both"/>
      <w:outlineLvl w:val="7"/>
    </w:pPr>
    <w:rPr>
      <w:sz w:val="24"/>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jc w:val="both"/>
    </w:pPr>
    <w:rPr>
      <w:sz w:val="24"/>
    </w:rPr>
  </w:style>
  <w:style w:type="paragraph" w:styleId="BodyText2">
    <w:name w:val="Body Text 2"/>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jc w:val="both"/>
    </w:pPr>
    <w:rPr>
      <w:sz w:val="24"/>
    </w:rPr>
  </w:style>
  <w:style w:type="paragraph" w:styleId="BodyText3">
    <w:name w:val="Body Text 3"/>
    <w:basedOn w:val="Normal"/>
    <w:rPr>
      <w:strike/>
      <w:sz w:val="24"/>
    </w:rPr>
  </w:style>
  <w:style w:type="paragraph" w:styleId="BodyTextIndent2">
    <w:name w:val="Body Text Indent 2"/>
    <w:basedOn w:val="Normal"/>
    <w:pPr>
      <w:ind w:left="1440" w:hanging="1440"/>
      <w:jc w:val="both"/>
    </w:pPr>
    <w:rPr>
      <w:sz w:val="24"/>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lang w:val="en-GB"/>
    </w:rPr>
  </w:style>
  <w:style w:type="paragraph" w:styleId="BodyTextIndent3">
    <w:name w:val="Body Text Indent 3"/>
    <w:basedOn w:val="Normal"/>
    <w:pPr>
      <w:ind w:left="1418"/>
    </w:pPr>
    <w:rPr>
      <w:snapToGrid w:val="0"/>
      <w:sz w:val="24"/>
      <w:lang w:eastAsia="en-U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ockquote">
    <w:name w:val="Blockquote"/>
    <w:basedOn w:val="Normal"/>
    <w:pPr>
      <w:spacing w:before="100" w:after="100"/>
      <w:ind w:left="360" w:right="360"/>
    </w:pPr>
    <w:rPr>
      <w:snapToGrid w:val="0"/>
      <w:sz w:val="24"/>
      <w:lang w:eastAsia="en-US"/>
    </w:rPr>
  </w:style>
  <w:style w:type="paragraph" w:styleId="BlockText">
    <w:name w:val="Block Text"/>
    <w:basedOn w:val="Normal"/>
    <w:pPr>
      <w:ind w:left="567" w:right="766"/>
      <w:jc w:val="both"/>
    </w:pPr>
    <w:rPr>
      <w:i/>
      <w:sz w:val="23"/>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Indent">
    <w:name w:val="Normal Indent"/>
    <w:basedOn w:val="Normal"/>
    <w:pPr>
      <w:spacing w:line="240" w:lineRule="atLeast"/>
      <w:ind w:left="720"/>
      <w:jc w:val="both"/>
    </w:pPr>
    <w:rPr>
      <w:sz w:val="26"/>
      <w:lang w:val="en-GB" w:eastAsia="en-US"/>
    </w:rPr>
  </w:style>
  <w:style w:type="paragraph" w:customStyle="1" w:styleId="paragraph">
    <w:name w:val="paragraph"/>
    <w:basedOn w:val="Normal"/>
    <w:pPr>
      <w:spacing w:before="100" w:beforeAutospacing="1" w:after="100" w:afterAutospacing="1"/>
    </w:pPr>
    <w:rPr>
      <w:sz w:val="24"/>
      <w:szCs w:val="24"/>
    </w:rPr>
  </w:style>
  <w:style w:type="paragraph" w:customStyle="1" w:styleId="paragraphsub">
    <w:name w:val="paragraphsub"/>
    <w:basedOn w:val="Normal"/>
    <w:pPr>
      <w:spacing w:before="100" w:beforeAutospacing="1" w:after="100" w:afterAutospacing="1"/>
    </w:pPr>
    <w:rPr>
      <w:sz w:val="24"/>
      <w:szCs w:val="24"/>
    </w:rPr>
  </w:style>
  <w:style w:type="paragraph" w:customStyle="1" w:styleId="PlainParagraphChar">
    <w:name w:val="Plain Paragraph Char"/>
    <w:basedOn w:val="Normal"/>
    <w:link w:val="PlainParagraphCharChar"/>
    <w:pPr>
      <w:spacing w:before="140" w:after="140" w:line="280" w:lineRule="atLeast"/>
    </w:pPr>
    <w:rPr>
      <w:rFonts w:ascii="Arial" w:hAnsi="Arial" w:cs="Arial"/>
      <w:sz w:val="22"/>
      <w:szCs w:val="22"/>
    </w:rPr>
  </w:style>
  <w:style w:type="paragraph" w:styleId="TOC3">
    <w:name w:val="toc 3"/>
    <w:basedOn w:val="TOC2"/>
    <w:next w:val="Normal"/>
    <w:autoRedefine/>
    <w:uiPriority w:val="39"/>
    <w:pPr>
      <w:keepNext/>
      <w:widowControl w:val="0"/>
      <w:tabs>
        <w:tab w:val="left" w:pos="1430"/>
        <w:tab w:val="right" w:leader="dot" w:pos="9072"/>
      </w:tabs>
      <w:spacing w:before="60" w:line="240" w:lineRule="atLeast"/>
      <w:ind w:left="425"/>
    </w:pPr>
    <w:rPr>
      <w:rFonts w:ascii="Helvetica" w:hAnsi="Helvetica" w:cs="Arial"/>
      <w:noProof/>
    </w:rPr>
  </w:style>
  <w:style w:type="paragraph" w:customStyle="1" w:styleId="FormTitle">
    <w:name w:val="Form Title"/>
    <w:pPr>
      <w:spacing w:before="420" w:after="140" w:line="280" w:lineRule="atLeast"/>
      <w:jc w:val="center"/>
    </w:pPr>
    <w:rPr>
      <w:rFonts w:ascii="Arial" w:hAnsi="Arial" w:cs="Arial"/>
      <w:b/>
      <w:caps/>
      <w:szCs w:val="22"/>
    </w:rPr>
  </w:style>
  <w:style w:type="paragraph" w:customStyle="1" w:styleId="PartHeading">
    <w:name w:val="Part Heading"/>
    <w:next w:val="NumberLevel1"/>
    <w:pPr>
      <w:keepNext/>
      <w:keepLines/>
      <w:numPr>
        <w:numId w:val="1"/>
      </w:numPr>
      <w:pBdr>
        <w:bottom w:val="single" w:sz="2" w:space="0" w:color="auto"/>
      </w:pBdr>
      <w:spacing w:before="420" w:after="140" w:line="280" w:lineRule="atLeast"/>
      <w:outlineLvl w:val="0"/>
    </w:pPr>
    <w:rPr>
      <w:rFonts w:ascii="Arial" w:hAnsi="Arial" w:cs="Arial"/>
      <w:b/>
      <w:caps/>
      <w:szCs w:val="22"/>
    </w:rPr>
  </w:style>
  <w:style w:type="paragraph" w:customStyle="1" w:styleId="NumberLevel1">
    <w:name w:val="Number Level 1"/>
    <w:basedOn w:val="PlainParagraphChar"/>
    <w:pPr>
      <w:numPr>
        <w:numId w:val="2"/>
      </w:numPr>
      <w:outlineLvl w:val="0"/>
    </w:pPr>
  </w:style>
  <w:style w:type="paragraph" w:customStyle="1" w:styleId="NumberLevel2">
    <w:name w:val="Number Level 2"/>
    <w:basedOn w:val="PlainParagraphChar"/>
    <w:pPr>
      <w:numPr>
        <w:ilvl w:val="1"/>
        <w:numId w:val="2"/>
      </w:numPr>
      <w:outlineLvl w:val="1"/>
    </w:pPr>
  </w:style>
  <w:style w:type="paragraph" w:customStyle="1" w:styleId="NumberLevel3">
    <w:name w:val="Number Level 3"/>
    <w:basedOn w:val="PlainParagraphChar"/>
    <w:pPr>
      <w:numPr>
        <w:ilvl w:val="2"/>
        <w:numId w:val="2"/>
      </w:numPr>
      <w:outlineLvl w:val="2"/>
    </w:pPr>
  </w:style>
  <w:style w:type="paragraph" w:customStyle="1" w:styleId="NumberLevel4">
    <w:name w:val="Number Level 4"/>
    <w:basedOn w:val="PlainParagraphChar"/>
    <w:pPr>
      <w:numPr>
        <w:ilvl w:val="3"/>
        <w:numId w:val="2"/>
      </w:numPr>
      <w:outlineLvl w:val="3"/>
    </w:pPr>
  </w:style>
  <w:style w:type="paragraph" w:customStyle="1" w:styleId="NumberLevel5">
    <w:name w:val="Number Level 5"/>
    <w:basedOn w:val="PlainParagraphChar"/>
    <w:semiHidden/>
    <w:pPr>
      <w:numPr>
        <w:ilvl w:val="4"/>
        <w:numId w:val="2"/>
      </w:numPr>
      <w:outlineLvl w:val="4"/>
    </w:pPr>
  </w:style>
  <w:style w:type="paragraph" w:customStyle="1" w:styleId="NumberLevel6">
    <w:name w:val="Number Level 6"/>
    <w:basedOn w:val="PlainParagraphChar"/>
    <w:semiHidden/>
    <w:pPr>
      <w:numPr>
        <w:ilvl w:val="5"/>
        <w:numId w:val="2"/>
      </w:numPr>
      <w:outlineLvl w:val="5"/>
    </w:pPr>
  </w:style>
  <w:style w:type="paragraph" w:customStyle="1" w:styleId="NumberLevel7">
    <w:name w:val="Number Level 7"/>
    <w:basedOn w:val="PlainParagraphChar"/>
    <w:semiHidden/>
    <w:pPr>
      <w:numPr>
        <w:ilvl w:val="6"/>
        <w:numId w:val="2"/>
      </w:numPr>
      <w:outlineLvl w:val="6"/>
    </w:pPr>
  </w:style>
  <w:style w:type="paragraph" w:customStyle="1" w:styleId="NumberLevel8">
    <w:name w:val="Number Level 8"/>
    <w:basedOn w:val="PlainParagraphChar"/>
    <w:semiHidden/>
    <w:pPr>
      <w:numPr>
        <w:ilvl w:val="7"/>
        <w:numId w:val="2"/>
      </w:numPr>
      <w:outlineLvl w:val="7"/>
    </w:pPr>
  </w:style>
  <w:style w:type="paragraph" w:customStyle="1" w:styleId="NumberLevel9">
    <w:name w:val="Number Level 9"/>
    <w:basedOn w:val="PlainParagraphChar"/>
    <w:semiHidden/>
    <w:pPr>
      <w:numPr>
        <w:ilvl w:val="8"/>
        <w:numId w:val="2"/>
      </w:numPr>
      <w:outlineLvl w:val="8"/>
    </w:pPr>
  </w:style>
  <w:style w:type="character" w:customStyle="1" w:styleId="PlainParagraphCharChar">
    <w:name w:val="Plain Paragraph Char Char"/>
    <w:link w:val="PlainParagraphChar"/>
    <w:rPr>
      <w:rFonts w:ascii="Arial" w:hAnsi="Arial" w:cs="Arial"/>
      <w:sz w:val="22"/>
      <w:szCs w:val="22"/>
      <w:lang w:val="en-AU" w:eastAsia="en-AU" w:bidi="ar-SA"/>
    </w:rPr>
  </w:style>
  <w:style w:type="paragraph" w:styleId="TOC2">
    <w:name w:val="toc 2"/>
    <w:basedOn w:val="Normal"/>
    <w:next w:val="Normal"/>
    <w:autoRedefine/>
    <w:semiHidden/>
    <w:pPr>
      <w:ind w:left="200"/>
    </w:pPr>
  </w:style>
  <w:style w:type="character" w:styleId="FootnoteReference">
    <w:name w:val="footnote reference"/>
    <w:semiHidden/>
    <w:rPr>
      <w:position w:val="6"/>
      <w:sz w:val="16"/>
    </w:rPr>
  </w:style>
  <w:style w:type="paragraph" w:styleId="FootnoteText">
    <w:name w:val="footnote text"/>
    <w:basedOn w:val="Normal"/>
    <w:semiHidden/>
    <w:pPr>
      <w:spacing w:line="240" w:lineRule="atLeast"/>
    </w:pPr>
    <w:rPr>
      <w:rFonts w:ascii="Arial" w:hAnsi="Arial"/>
      <w:lang w:val="en-GB"/>
    </w:rPr>
  </w:style>
  <w:style w:type="paragraph" w:styleId="Caption">
    <w:name w:val="caption"/>
    <w:basedOn w:val="Normal"/>
    <w:next w:val="Normal"/>
    <w:qFormat/>
    <w:rsid w:val="00EC1F9F"/>
    <w:pPr>
      <w:spacing w:before="120" w:after="120" w:line="288" w:lineRule="auto"/>
    </w:pPr>
    <w:rPr>
      <w:rFonts w:ascii="Arial" w:hAnsi="Arial"/>
      <w:b/>
      <w:smallCaps/>
    </w:rPr>
  </w:style>
  <w:style w:type="character" w:customStyle="1" w:styleId="st1">
    <w:name w:val="st1"/>
    <w:basedOn w:val="DefaultParagraphFont"/>
    <w:rsid w:val="00E9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C5B8-8FAC-4E85-9866-4A3B61BF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3088</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21629</CharactersWithSpaces>
  <SharedDoc>false</SharedDoc>
  <HLinks>
    <vt:vector size="48" baseType="variant">
      <vt:variant>
        <vt:i4>1966130</vt:i4>
      </vt:variant>
      <vt:variant>
        <vt:i4>44</vt:i4>
      </vt:variant>
      <vt:variant>
        <vt:i4>0</vt:i4>
      </vt:variant>
      <vt:variant>
        <vt:i4>5</vt:i4>
      </vt:variant>
      <vt:variant>
        <vt:lpwstr/>
      </vt:variant>
      <vt:variant>
        <vt:lpwstr>_Toc370997802</vt:lpwstr>
      </vt:variant>
      <vt:variant>
        <vt:i4>1966130</vt:i4>
      </vt:variant>
      <vt:variant>
        <vt:i4>38</vt:i4>
      </vt:variant>
      <vt:variant>
        <vt:i4>0</vt:i4>
      </vt:variant>
      <vt:variant>
        <vt:i4>5</vt:i4>
      </vt:variant>
      <vt:variant>
        <vt:lpwstr/>
      </vt:variant>
      <vt:variant>
        <vt:lpwstr>_Toc370997801</vt:lpwstr>
      </vt:variant>
      <vt:variant>
        <vt:i4>1966130</vt:i4>
      </vt:variant>
      <vt:variant>
        <vt:i4>32</vt:i4>
      </vt:variant>
      <vt:variant>
        <vt:i4>0</vt:i4>
      </vt:variant>
      <vt:variant>
        <vt:i4>5</vt:i4>
      </vt:variant>
      <vt:variant>
        <vt:lpwstr/>
      </vt:variant>
      <vt:variant>
        <vt:lpwstr>_Toc370997800</vt:lpwstr>
      </vt:variant>
      <vt:variant>
        <vt:i4>1507389</vt:i4>
      </vt:variant>
      <vt:variant>
        <vt:i4>26</vt:i4>
      </vt:variant>
      <vt:variant>
        <vt:i4>0</vt:i4>
      </vt:variant>
      <vt:variant>
        <vt:i4>5</vt:i4>
      </vt:variant>
      <vt:variant>
        <vt:lpwstr/>
      </vt:variant>
      <vt:variant>
        <vt:lpwstr>_Toc370997799</vt:lpwstr>
      </vt:variant>
      <vt:variant>
        <vt:i4>1507389</vt:i4>
      </vt:variant>
      <vt:variant>
        <vt:i4>20</vt:i4>
      </vt:variant>
      <vt:variant>
        <vt:i4>0</vt:i4>
      </vt:variant>
      <vt:variant>
        <vt:i4>5</vt:i4>
      </vt:variant>
      <vt:variant>
        <vt:lpwstr/>
      </vt:variant>
      <vt:variant>
        <vt:lpwstr>_Toc370997798</vt:lpwstr>
      </vt:variant>
      <vt:variant>
        <vt:i4>1507389</vt:i4>
      </vt:variant>
      <vt:variant>
        <vt:i4>14</vt:i4>
      </vt:variant>
      <vt:variant>
        <vt:i4>0</vt:i4>
      </vt:variant>
      <vt:variant>
        <vt:i4>5</vt:i4>
      </vt:variant>
      <vt:variant>
        <vt:lpwstr/>
      </vt:variant>
      <vt:variant>
        <vt:lpwstr>_Toc370997797</vt:lpwstr>
      </vt:variant>
      <vt:variant>
        <vt:i4>1507389</vt:i4>
      </vt:variant>
      <vt:variant>
        <vt:i4>8</vt:i4>
      </vt:variant>
      <vt:variant>
        <vt:i4>0</vt:i4>
      </vt:variant>
      <vt:variant>
        <vt:i4>5</vt:i4>
      </vt:variant>
      <vt:variant>
        <vt:lpwstr/>
      </vt:variant>
      <vt:variant>
        <vt:lpwstr>_Toc370997796</vt:lpwstr>
      </vt:variant>
      <vt:variant>
        <vt:i4>1507389</vt:i4>
      </vt:variant>
      <vt:variant>
        <vt:i4>2</vt:i4>
      </vt:variant>
      <vt:variant>
        <vt:i4>0</vt:i4>
      </vt:variant>
      <vt:variant>
        <vt:i4>5</vt:i4>
      </vt:variant>
      <vt:variant>
        <vt:lpwstr/>
      </vt:variant>
      <vt:variant>
        <vt:lpwstr>_Toc370997795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2019-07-19T00:16:00Z</dcterms:created>
  <dcterms:modified xsi:type="dcterms:W3CDTF">2019-08-23T01:27:00Z</dcterms:modified>
</cp:coreProperties>
</file>