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2908" w14:textId="77777777" w:rsidR="00191676" w:rsidRPr="0080326C" w:rsidRDefault="00A63FDF">
      <w:pPr>
        <w:pStyle w:val="FormTitle"/>
      </w:pPr>
      <w:r w:rsidRPr="0080326C">
        <w:rPr>
          <w:noProof/>
        </w:rPr>
        <w:drawing>
          <wp:inline distT="0" distB="0" distL="0" distR="0" wp14:anchorId="29EAE04D" wp14:editId="32ABAFBB">
            <wp:extent cx="3068955" cy="938530"/>
            <wp:effectExtent l="0" t="0" r="0" b="0"/>
            <wp:docPr id="1" name="Picture 1" descr="logo_home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me_i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F3B2" w14:textId="77777777" w:rsidR="00191676" w:rsidRPr="0080326C" w:rsidRDefault="00191676">
      <w:pPr>
        <w:tabs>
          <w:tab w:val="left" w:pos="2410"/>
          <w:tab w:val="left" w:pos="7655"/>
        </w:tabs>
        <w:jc w:val="center"/>
        <w:outlineLvl w:val="0"/>
        <w:rPr>
          <w:b/>
          <w:sz w:val="22"/>
        </w:rPr>
      </w:pPr>
    </w:p>
    <w:p w14:paraId="5B07BAB2" w14:textId="77777777" w:rsidR="00191676" w:rsidRPr="0080326C" w:rsidRDefault="00191676">
      <w:pPr>
        <w:tabs>
          <w:tab w:val="left" w:pos="2410"/>
          <w:tab w:val="left" w:pos="7655"/>
        </w:tabs>
        <w:jc w:val="center"/>
        <w:outlineLvl w:val="0"/>
        <w:rPr>
          <w:b/>
          <w:sz w:val="22"/>
        </w:rPr>
      </w:pPr>
    </w:p>
    <w:p w14:paraId="52921FFF" w14:textId="77777777" w:rsidR="00191676" w:rsidRPr="0080326C" w:rsidRDefault="00744EEC">
      <w:pPr>
        <w:tabs>
          <w:tab w:val="left" w:pos="2410"/>
          <w:tab w:val="left" w:pos="7655"/>
        </w:tabs>
        <w:jc w:val="center"/>
        <w:outlineLvl w:val="0"/>
        <w:rPr>
          <w:b/>
        </w:rPr>
      </w:pPr>
      <w:r w:rsidRPr="0080326C">
        <w:rPr>
          <w:b/>
        </w:rPr>
        <w:t>SUMMARY OF CHANGES:</w:t>
      </w:r>
    </w:p>
    <w:p w14:paraId="4AE2519A" w14:textId="77777777" w:rsidR="00191676" w:rsidRPr="0080326C" w:rsidRDefault="00191676">
      <w:pPr>
        <w:tabs>
          <w:tab w:val="left" w:pos="2410"/>
          <w:tab w:val="left" w:pos="7655"/>
        </w:tabs>
        <w:jc w:val="center"/>
        <w:outlineLvl w:val="0"/>
        <w:rPr>
          <w:b/>
        </w:rPr>
      </w:pPr>
    </w:p>
    <w:p w14:paraId="67616439" w14:textId="260279D3" w:rsidR="00191676" w:rsidRPr="00FE0453" w:rsidRDefault="00744EEC">
      <w:pPr>
        <w:tabs>
          <w:tab w:val="left" w:pos="2410"/>
          <w:tab w:val="left" w:pos="7655"/>
        </w:tabs>
        <w:jc w:val="center"/>
        <w:rPr>
          <w:b/>
        </w:rPr>
      </w:pPr>
      <w:r w:rsidRPr="00FE0453">
        <w:rPr>
          <w:b/>
        </w:rPr>
        <w:t xml:space="preserve">INSTRUMENT NOS. </w:t>
      </w:r>
      <w:r w:rsidR="00655734">
        <w:rPr>
          <w:b/>
        </w:rPr>
        <w:t>105</w:t>
      </w:r>
      <w:r w:rsidR="007E3905">
        <w:rPr>
          <w:b/>
        </w:rPr>
        <w:t xml:space="preserve"> to </w:t>
      </w:r>
      <w:r w:rsidR="0027650B">
        <w:rPr>
          <w:b/>
        </w:rPr>
        <w:t>10</w:t>
      </w:r>
      <w:r w:rsidR="00655734">
        <w:rPr>
          <w:b/>
        </w:rPr>
        <w:t>8</w:t>
      </w:r>
      <w:r w:rsidR="0027650B">
        <w:rPr>
          <w:b/>
        </w:rPr>
        <w:t xml:space="preserve"> </w:t>
      </w:r>
      <w:r w:rsidR="00CD65BE">
        <w:rPr>
          <w:b/>
        </w:rPr>
        <w:t>of</w:t>
      </w:r>
      <w:r w:rsidRPr="00FE0453">
        <w:rPr>
          <w:b/>
        </w:rPr>
        <w:t xml:space="preserve"> 20</w:t>
      </w:r>
      <w:r w:rsidR="000F6397">
        <w:rPr>
          <w:b/>
        </w:rPr>
        <w:t>21</w:t>
      </w:r>
    </w:p>
    <w:p w14:paraId="1E4ED266" w14:textId="77777777" w:rsidR="00191676" w:rsidRPr="00FE0453" w:rsidRDefault="00191676">
      <w:pPr>
        <w:tabs>
          <w:tab w:val="left" w:pos="2410"/>
          <w:tab w:val="left" w:pos="7655"/>
        </w:tabs>
        <w:jc w:val="center"/>
        <w:rPr>
          <w:b/>
        </w:rPr>
      </w:pPr>
    </w:p>
    <w:p w14:paraId="50EA57EA" w14:textId="77777777" w:rsidR="007155A5" w:rsidRPr="00FE0453" w:rsidRDefault="007155A5">
      <w:pPr>
        <w:tabs>
          <w:tab w:val="left" w:pos="2410"/>
          <w:tab w:val="left" w:pos="7655"/>
        </w:tabs>
        <w:jc w:val="center"/>
        <w:rPr>
          <w:b/>
        </w:rPr>
      </w:pPr>
    </w:p>
    <w:p w14:paraId="493B8313" w14:textId="3D0E8F69" w:rsidR="00D63954" w:rsidRDefault="002E0408" w:rsidP="00B803B0">
      <w:pPr>
        <w:tabs>
          <w:tab w:val="left" w:pos="2410"/>
          <w:tab w:val="left" w:pos="7655"/>
        </w:tabs>
        <w:jc w:val="both"/>
      </w:pPr>
      <w:r w:rsidRPr="00FE0453">
        <w:t xml:space="preserve">Statements of Principles Nos. </w:t>
      </w:r>
      <w:r w:rsidR="00655734">
        <w:t>105</w:t>
      </w:r>
      <w:r w:rsidR="00F74D34" w:rsidRPr="00FE0453">
        <w:t xml:space="preserve"> </w:t>
      </w:r>
      <w:r w:rsidR="00FA54D5">
        <w:t xml:space="preserve">to </w:t>
      </w:r>
      <w:r w:rsidR="0027650B">
        <w:t>10</w:t>
      </w:r>
      <w:r w:rsidR="00655734">
        <w:t>8</w:t>
      </w:r>
      <w:r w:rsidRPr="00FE0453">
        <w:t xml:space="preserve"> of 20</w:t>
      </w:r>
      <w:r w:rsidR="007E3905">
        <w:t>2</w:t>
      </w:r>
      <w:r w:rsidR="000F6397">
        <w:t>1</w:t>
      </w:r>
      <w:r w:rsidR="007E3905">
        <w:t xml:space="preserve"> </w:t>
      </w:r>
      <w:r w:rsidRPr="00FE0453">
        <w:t xml:space="preserve">were signed by the Chairperson of the Repatriation Medical Authority (the Authority) on </w:t>
      </w:r>
      <w:r w:rsidR="00655734">
        <w:t>22</w:t>
      </w:r>
      <w:r w:rsidR="0027650B">
        <w:t xml:space="preserve"> October</w:t>
      </w:r>
      <w:r w:rsidR="00910007">
        <w:t xml:space="preserve"> 2021</w:t>
      </w:r>
      <w:r w:rsidRPr="00FE0453">
        <w:t xml:space="preserve">. </w:t>
      </w:r>
      <w:r w:rsidR="00EE0153" w:rsidRPr="004C50BC">
        <w:t>The day of commencement as specified in each of the</w:t>
      </w:r>
      <w:r w:rsidR="00D63954">
        <w:t>se</w:t>
      </w:r>
      <w:r w:rsidR="00EE0153" w:rsidRPr="004C50BC">
        <w:t xml:space="preserve"> </w:t>
      </w:r>
      <w:r w:rsidR="00EE0153">
        <w:t xml:space="preserve">Instruments </w:t>
      </w:r>
      <w:r w:rsidR="00EE0153" w:rsidRPr="004C50BC">
        <w:t xml:space="preserve">is </w:t>
      </w:r>
      <w:r w:rsidR="00655734">
        <w:t>22</w:t>
      </w:r>
      <w:r w:rsidR="0027650B">
        <w:t xml:space="preserve"> November</w:t>
      </w:r>
      <w:r w:rsidR="000F6397">
        <w:t xml:space="preserve"> 2021</w:t>
      </w:r>
      <w:r w:rsidR="00EE0153" w:rsidRPr="004C50BC">
        <w:t>.</w:t>
      </w:r>
      <w:r w:rsidR="00D63954">
        <w:t xml:space="preserve">  </w:t>
      </w:r>
    </w:p>
    <w:p w14:paraId="0B204C4B" w14:textId="77777777" w:rsidR="00D63954" w:rsidRDefault="00D63954" w:rsidP="00B803B0">
      <w:pPr>
        <w:tabs>
          <w:tab w:val="left" w:pos="2410"/>
          <w:tab w:val="left" w:pos="7655"/>
        </w:tabs>
        <w:jc w:val="both"/>
      </w:pPr>
    </w:p>
    <w:p w14:paraId="711B8B4C" w14:textId="77777777" w:rsidR="00B803B0" w:rsidRDefault="00D63954" w:rsidP="00B803B0">
      <w:pPr>
        <w:tabs>
          <w:tab w:val="left" w:pos="2410"/>
          <w:tab w:val="left" w:pos="7655"/>
        </w:tabs>
        <w:jc w:val="both"/>
      </w:pPr>
      <w:r w:rsidRPr="00FE0453">
        <w:t>The</w:t>
      </w:r>
      <w:r>
        <w:t>se</w:t>
      </w:r>
      <w:r w:rsidRPr="00FE0453">
        <w:t xml:space="preserve"> Instruments have been lodged and registered with the Federal Register of Legislation, pursuant to section 15G of the </w:t>
      </w:r>
      <w:r w:rsidRPr="00FE0453">
        <w:rPr>
          <w:i/>
        </w:rPr>
        <w:t xml:space="preserve">Legislation Act 2003 </w:t>
      </w:r>
      <w:r w:rsidRPr="00FE0453">
        <w:t xml:space="preserve">(Legislation Act).  </w:t>
      </w:r>
      <w:r w:rsidR="00B803B0" w:rsidRPr="00FE0453">
        <w:t>In accordance with the Legislation Act, the Office of Parliamentary Counsel must generally deliver a legislative instrument for laying before each House of the Parliament within six sitting days of that House after the instrument is registered with the instrument</w:t>
      </w:r>
      <w:r w:rsidR="00345C2C" w:rsidRPr="00FE0453">
        <w:t>'</w:t>
      </w:r>
      <w:r w:rsidR="00B803B0" w:rsidRPr="00FE0453">
        <w:t xml:space="preserve">s registered explanatory statement.  The Instruments and the associated Explanatory Statements registered with the Federal Register </w:t>
      </w:r>
      <w:r w:rsidR="00B803B0" w:rsidRPr="004C50BC">
        <w:t xml:space="preserve">of Legislation are available from </w:t>
      </w:r>
      <w:hyperlink r:id="rId9" w:history="1">
        <w:r w:rsidR="00B803B0" w:rsidRPr="004C50BC">
          <w:rPr>
            <w:rStyle w:val="Hyperlink"/>
          </w:rPr>
          <w:t>http://www.legislation.gov.au</w:t>
        </w:r>
      </w:hyperlink>
      <w:r w:rsidR="00B803B0" w:rsidRPr="004C50BC">
        <w:t>.</w:t>
      </w:r>
    </w:p>
    <w:p w14:paraId="48BBC956" w14:textId="77777777" w:rsidR="00B803B0" w:rsidRPr="0080326C" w:rsidRDefault="00B803B0" w:rsidP="00B803B0">
      <w:pPr>
        <w:tabs>
          <w:tab w:val="left" w:pos="2410"/>
          <w:tab w:val="left" w:pos="7655"/>
        </w:tabs>
        <w:jc w:val="both"/>
      </w:pPr>
    </w:p>
    <w:p w14:paraId="6727C347" w14:textId="6956BAF9" w:rsidR="00B803B0" w:rsidRPr="0080326C" w:rsidRDefault="00B803B0" w:rsidP="00B803B0">
      <w:pPr>
        <w:tabs>
          <w:tab w:val="left" w:pos="2410"/>
          <w:tab w:val="left" w:pos="7655"/>
        </w:tabs>
        <w:jc w:val="both"/>
      </w:pPr>
      <w:r w:rsidRPr="0080326C">
        <w:t xml:space="preserve">Copies of each Instrument, the associated Explanatory Statement and a list of references relating to each </w:t>
      </w:r>
      <w:r w:rsidR="00AA1792">
        <w:t>Statement of Principles</w:t>
      </w:r>
      <w:r w:rsidRPr="0080326C">
        <w:t xml:space="preserve">, are available in accordance with the </w:t>
      </w:r>
      <w:r w:rsidRPr="0080326C">
        <w:rPr>
          <w:i/>
        </w:rPr>
        <w:t xml:space="preserve">Veterans' Entitlements Act 1986 </w:t>
      </w:r>
      <w:r w:rsidRPr="0080326C">
        <w:t xml:space="preserve">(the VEA), on </w:t>
      </w:r>
      <w:r w:rsidR="00DC776C" w:rsidRPr="00DC776C">
        <w:t>the Authority's website at http://www.rma.gov.au.</w:t>
      </w:r>
    </w:p>
    <w:p w14:paraId="7B7B6F3A" w14:textId="77777777" w:rsidR="002E0408" w:rsidRDefault="002E0408" w:rsidP="00B803B0">
      <w:pPr>
        <w:tabs>
          <w:tab w:val="left" w:pos="2410"/>
          <w:tab w:val="left" w:pos="7655"/>
        </w:tabs>
        <w:jc w:val="both"/>
        <w:rPr>
          <w:szCs w:val="24"/>
        </w:rPr>
      </w:pPr>
    </w:p>
    <w:p w14:paraId="49670E9D" w14:textId="150CAF36" w:rsidR="002E0408" w:rsidRDefault="002E0408" w:rsidP="002E0408">
      <w:pPr>
        <w:jc w:val="both"/>
        <w:rPr>
          <w:szCs w:val="24"/>
        </w:rPr>
      </w:pPr>
      <w:r>
        <w:rPr>
          <w:szCs w:val="24"/>
        </w:rPr>
        <w:t xml:space="preserve">The 'User Guide to the RMA </w:t>
      </w:r>
      <w:r w:rsidRPr="00B3103E">
        <w:rPr>
          <w:szCs w:val="24"/>
        </w:rPr>
        <w:t>Statement</w:t>
      </w:r>
      <w:r>
        <w:rPr>
          <w:szCs w:val="24"/>
        </w:rPr>
        <w:t>s</w:t>
      </w:r>
      <w:r w:rsidRPr="00B3103E">
        <w:rPr>
          <w:szCs w:val="24"/>
        </w:rPr>
        <w:t xml:space="preserve"> of Principles</w:t>
      </w:r>
      <w:r>
        <w:rPr>
          <w:szCs w:val="24"/>
        </w:rPr>
        <w:t xml:space="preserve">' explains the meaning and purpose of each section of the </w:t>
      </w:r>
      <w:r w:rsidR="00FC667A" w:rsidRPr="00B3103E">
        <w:rPr>
          <w:szCs w:val="24"/>
        </w:rPr>
        <w:t>Statement of Principles</w:t>
      </w:r>
      <w:r w:rsidR="002814C7">
        <w:rPr>
          <w:szCs w:val="24"/>
        </w:rPr>
        <w:t xml:space="preserve"> </w:t>
      </w:r>
      <w:r>
        <w:rPr>
          <w:szCs w:val="24"/>
        </w:rPr>
        <w:t>template</w:t>
      </w:r>
      <w:r w:rsidR="002814C7">
        <w:rPr>
          <w:szCs w:val="24"/>
        </w:rPr>
        <w:t xml:space="preserve"> </w:t>
      </w:r>
      <w:r w:rsidR="00E309B9">
        <w:rPr>
          <w:szCs w:val="24"/>
        </w:rPr>
        <w:t>which commenced in 2015</w:t>
      </w:r>
      <w:r>
        <w:rPr>
          <w:szCs w:val="24"/>
        </w:rPr>
        <w:t>.  This document is</w:t>
      </w:r>
      <w:r w:rsidRPr="007D3BCB">
        <w:rPr>
          <w:szCs w:val="24"/>
        </w:rPr>
        <w:t xml:space="preserve"> </w:t>
      </w:r>
      <w:r w:rsidR="00DC776C">
        <w:rPr>
          <w:szCs w:val="24"/>
        </w:rPr>
        <w:t xml:space="preserve">also </w:t>
      </w:r>
      <w:r w:rsidRPr="007D3BCB">
        <w:rPr>
          <w:szCs w:val="24"/>
        </w:rPr>
        <w:t>available on the Authority's website</w:t>
      </w:r>
      <w:r w:rsidR="00FC667A">
        <w:rPr>
          <w:szCs w:val="24"/>
        </w:rPr>
        <w:t xml:space="preserve"> at</w:t>
      </w:r>
      <w:r>
        <w:rPr>
          <w:szCs w:val="24"/>
        </w:rPr>
        <w:t xml:space="preserve"> </w:t>
      </w:r>
      <w:hyperlink r:id="rId10" w:history="1">
        <w:r w:rsidRPr="00FA5B8B">
          <w:rPr>
            <w:rStyle w:val="Hyperlink"/>
            <w:szCs w:val="24"/>
          </w:rPr>
          <w:t>http://www.rma.gov.au</w:t>
        </w:r>
      </w:hyperlink>
      <w:r>
        <w:rPr>
          <w:szCs w:val="24"/>
        </w:rPr>
        <w:t>.</w:t>
      </w:r>
    </w:p>
    <w:p w14:paraId="11A87155" w14:textId="77777777" w:rsidR="002E0408" w:rsidRDefault="002E0408" w:rsidP="002E0408">
      <w:pPr>
        <w:tabs>
          <w:tab w:val="left" w:pos="2410"/>
          <w:tab w:val="left" w:pos="7655"/>
        </w:tabs>
        <w:jc w:val="both"/>
        <w:rPr>
          <w:b/>
        </w:rPr>
      </w:pPr>
    </w:p>
    <w:p w14:paraId="06108A9F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r w:rsidRPr="0080326C">
        <w:t>For further information contact:</w:t>
      </w:r>
    </w:p>
    <w:p w14:paraId="43A2A6D7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</w:p>
    <w:p w14:paraId="51E75EF8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r w:rsidRPr="0080326C">
        <w:t>The Registrar</w:t>
      </w:r>
    </w:p>
    <w:p w14:paraId="34333A45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r w:rsidRPr="0080326C">
        <w:t>Repatriation Medical Authority</w:t>
      </w:r>
    </w:p>
    <w:p w14:paraId="2C4F2B4E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r w:rsidRPr="0080326C">
        <w:t>GPO Box 1014</w:t>
      </w:r>
    </w:p>
    <w:p w14:paraId="743D18B0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proofErr w:type="gramStart"/>
      <w:r w:rsidRPr="0080326C">
        <w:t>Brisbane  Qld</w:t>
      </w:r>
      <w:proofErr w:type="gramEnd"/>
      <w:r w:rsidRPr="0080326C">
        <w:t xml:space="preserve">  4001</w:t>
      </w:r>
    </w:p>
    <w:p w14:paraId="66E91178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</w:p>
    <w:p w14:paraId="16501A6A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proofErr w:type="gramStart"/>
      <w:r w:rsidRPr="0080326C">
        <w:t>T  +</w:t>
      </w:r>
      <w:proofErr w:type="gramEnd"/>
      <w:r w:rsidRPr="0080326C">
        <w:t>61 7 3815 9404</w:t>
      </w:r>
    </w:p>
    <w:p w14:paraId="1A12049D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proofErr w:type="gramStart"/>
      <w:r w:rsidRPr="0080326C">
        <w:t>F  +</w:t>
      </w:r>
      <w:proofErr w:type="gramEnd"/>
      <w:r w:rsidRPr="0080326C">
        <w:t>61 7 3815 9412</w:t>
      </w:r>
    </w:p>
    <w:p w14:paraId="4047C60A" w14:textId="77777777" w:rsidR="002E0408" w:rsidRPr="0080326C" w:rsidRDefault="002E0408" w:rsidP="002E0408">
      <w:pPr>
        <w:tabs>
          <w:tab w:val="left" w:pos="2410"/>
          <w:tab w:val="left" w:pos="7655"/>
        </w:tabs>
        <w:jc w:val="both"/>
      </w:pPr>
      <w:proofErr w:type="gramStart"/>
      <w:r w:rsidRPr="0080326C">
        <w:t>E  info@rma.gov.au</w:t>
      </w:r>
      <w:proofErr w:type="gramEnd"/>
    </w:p>
    <w:p w14:paraId="1C8540A8" w14:textId="77777777" w:rsidR="00191676" w:rsidRPr="0080326C" w:rsidRDefault="00191676">
      <w:pPr>
        <w:tabs>
          <w:tab w:val="left" w:pos="2410"/>
          <w:tab w:val="left" w:pos="7655"/>
        </w:tabs>
        <w:jc w:val="both"/>
        <w:rPr>
          <w:b/>
        </w:rPr>
      </w:pPr>
    </w:p>
    <w:p w14:paraId="3F0E2A66" w14:textId="5E3054A8" w:rsidR="00191676" w:rsidRPr="0080326C" w:rsidRDefault="0027650B" w:rsidP="004669F2">
      <w:pPr>
        <w:tabs>
          <w:tab w:val="left" w:pos="2410"/>
          <w:tab w:val="left" w:pos="7655"/>
        </w:tabs>
        <w:rPr>
          <w:sz w:val="16"/>
        </w:rPr>
      </w:pPr>
      <w:r>
        <w:t xml:space="preserve">3 </w:t>
      </w:r>
      <w:r w:rsidR="00655734">
        <w:t>November</w:t>
      </w:r>
      <w:r w:rsidR="000F6397">
        <w:t xml:space="preserve"> 2021</w:t>
      </w:r>
      <w:r w:rsidR="00744EEC" w:rsidRPr="0080326C">
        <w:br w:type="page"/>
      </w:r>
    </w:p>
    <w:p w14:paraId="1D7D5BD4" w14:textId="77777777" w:rsidR="009929DD" w:rsidRDefault="009929DD">
      <w:pPr>
        <w:pStyle w:val="Header"/>
        <w:jc w:val="center"/>
        <w:outlineLvl w:val="0"/>
        <w:rPr>
          <w:b/>
        </w:rPr>
      </w:pPr>
    </w:p>
    <w:p w14:paraId="6D38A682" w14:textId="77777777" w:rsidR="00191676" w:rsidRPr="0080326C" w:rsidRDefault="00744EEC">
      <w:pPr>
        <w:pStyle w:val="Header"/>
        <w:jc w:val="center"/>
        <w:outlineLvl w:val="0"/>
        <w:rPr>
          <w:b/>
        </w:rPr>
      </w:pPr>
      <w:r w:rsidRPr="0080326C">
        <w:rPr>
          <w:b/>
        </w:rPr>
        <w:t>SUMMARY OF CHANGES</w:t>
      </w:r>
    </w:p>
    <w:p w14:paraId="3158C8E8" w14:textId="77777777" w:rsidR="00191676" w:rsidRPr="0080326C" w:rsidRDefault="00191676">
      <w:pPr>
        <w:pStyle w:val="Header"/>
        <w:jc w:val="center"/>
        <w:rPr>
          <w:b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2"/>
        <w:gridCol w:w="2835"/>
        <w:gridCol w:w="1984"/>
        <w:gridCol w:w="2250"/>
      </w:tblGrid>
      <w:tr w:rsidR="00191676" w:rsidRPr="0086328E" w14:paraId="1C73637F" w14:textId="77777777" w:rsidTr="00204C27">
        <w:trPr>
          <w:cantSplit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620338A" w14:textId="77777777" w:rsidR="00191676" w:rsidRPr="0086328E" w:rsidRDefault="00744EEC">
            <w:pPr>
              <w:rPr>
                <w:b/>
                <w:sz w:val="23"/>
                <w:szCs w:val="23"/>
              </w:rPr>
            </w:pPr>
            <w:r w:rsidRPr="0086328E">
              <w:rPr>
                <w:b/>
                <w:sz w:val="23"/>
                <w:szCs w:val="23"/>
              </w:rPr>
              <w:t>Instr.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C660503" w14:textId="77777777" w:rsidR="00191676" w:rsidRPr="0086328E" w:rsidRDefault="00744EEC">
            <w:pPr>
              <w:rPr>
                <w:b/>
                <w:sz w:val="23"/>
                <w:szCs w:val="23"/>
              </w:rPr>
            </w:pPr>
            <w:r w:rsidRPr="0086328E">
              <w:rPr>
                <w:b/>
                <w:sz w:val="23"/>
                <w:szCs w:val="23"/>
              </w:rPr>
              <w:t>Title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DAE954" w14:textId="77777777" w:rsidR="00191676" w:rsidRPr="0086328E" w:rsidRDefault="00744EEC" w:rsidP="0086328E">
            <w:pPr>
              <w:jc w:val="center"/>
              <w:rPr>
                <w:b/>
                <w:sz w:val="23"/>
                <w:szCs w:val="23"/>
              </w:rPr>
            </w:pPr>
            <w:r w:rsidRPr="0086328E">
              <w:rPr>
                <w:b/>
                <w:sz w:val="23"/>
                <w:szCs w:val="23"/>
              </w:rPr>
              <w:t xml:space="preserve">Date of </w:t>
            </w:r>
            <w:r w:rsidR="0086328E" w:rsidRPr="0086328E">
              <w:rPr>
                <w:b/>
                <w:sz w:val="23"/>
                <w:szCs w:val="23"/>
              </w:rPr>
              <w:t>Commencement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29361FEC" w14:textId="77777777" w:rsidR="00191676" w:rsidRPr="0086328E" w:rsidRDefault="00744EEC" w:rsidP="003D60B8">
            <w:pPr>
              <w:rPr>
                <w:b/>
                <w:sz w:val="23"/>
                <w:szCs w:val="23"/>
              </w:rPr>
            </w:pPr>
            <w:r w:rsidRPr="0086328E">
              <w:rPr>
                <w:b/>
                <w:sz w:val="23"/>
                <w:szCs w:val="23"/>
              </w:rPr>
              <w:t>ICD-10-AM Code</w:t>
            </w:r>
          </w:p>
        </w:tc>
      </w:tr>
      <w:tr w:rsidR="00A73805" w:rsidRPr="00A73805" w14:paraId="13F3EAF8" w14:textId="77777777" w:rsidTr="00AA1792">
        <w:trPr>
          <w:cantSplit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BCD2E9" w14:textId="77777777" w:rsidR="00191676" w:rsidRPr="00A73805" w:rsidRDefault="00744EEC" w:rsidP="00F731B4">
            <w:pPr>
              <w:rPr>
                <w:b/>
              </w:rPr>
            </w:pPr>
            <w:r w:rsidRPr="00A73805">
              <w:rPr>
                <w:b/>
              </w:rPr>
              <w:t>RE</w:t>
            </w:r>
            <w:r w:rsidR="00F731B4">
              <w:rPr>
                <w:b/>
              </w:rPr>
              <w:t>PEALS</w:t>
            </w:r>
          </w:p>
        </w:tc>
      </w:tr>
      <w:tr w:rsidR="00D731BF" w:rsidRPr="00A73805" w14:paraId="379FCF69" w14:textId="77777777" w:rsidTr="00204C27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B2B3" w14:textId="77777777" w:rsidR="00D731BF" w:rsidRDefault="00D731BF" w:rsidP="00BB7B5C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6926" w14:textId="77777777" w:rsidR="00D731BF" w:rsidRPr="005D728B" w:rsidRDefault="00D731BF" w:rsidP="00870747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B4C5" w14:textId="77777777" w:rsidR="00D731BF" w:rsidRDefault="00D731BF" w:rsidP="00870747">
            <w:pPr>
              <w:rPr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9480" w14:textId="77777777" w:rsidR="00D731BF" w:rsidRPr="005A3278" w:rsidRDefault="00D731BF" w:rsidP="00BB7B5C">
            <w:pPr>
              <w:rPr>
                <w:szCs w:val="24"/>
              </w:rPr>
            </w:pPr>
          </w:p>
        </w:tc>
      </w:tr>
      <w:tr w:rsidR="00D731BF" w:rsidRPr="00A73805" w14:paraId="7A96A280" w14:textId="77777777" w:rsidTr="00204C27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4B63" w14:textId="7E059C86" w:rsidR="00D731BF" w:rsidRPr="00E83F7F" w:rsidRDefault="00655734" w:rsidP="0065573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105</w:t>
            </w:r>
            <w:r w:rsidR="00D731BF" w:rsidRPr="00E83F7F">
              <w:rPr>
                <w:color w:val="000000" w:themeColor="text1"/>
                <w:szCs w:val="24"/>
              </w:rPr>
              <w:t xml:space="preserve"> &amp; </w:t>
            </w:r>
            <w:r w:rsidR="0027650B">
              <w:rPr>
                <w:color w:val="000000" w:themeColor="text1"/>
                <w:szCs w:val="24"/>
              </w:rPr>
              <w:t>10</w:t>
            </w:r>
            <w:r>
              <w:rPr>
                <w:color w:val="000000" w:themeColor="text1"/>
                <w:szCs w:val="24"/>
              </w:rPr>
              <w:t>6</w:t>
            </w:r>
            <w:r w:rsidR="00D731BF" w:rsidRPr="00E83F7F">
              <w:rPr>
                <w:color w:val="000000" w:themeColor="text1"/>
                <w:szCs w:val="24"/>
              </w:rPr>
              <w:t>/2021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1F35" w14:textId="6B5CA340" w:rsidR="00D731BF" w:rsidRPr="00E83F7F" w:rsidRDefault="00655734" w:rsidP="00870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chronic fatigue syndrome</w:t>
            </w:r>
            <w:r w:rsidR="00E83F7F" w:rsidRPr="00E83F7F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30A" w14:textId="7AB28AE1" w:rsidR="00D731BF" w:rsidRPr="005A3278" w:rsidRDefault="00655734" w:rsidP="0027650B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E83F7F" w:rsidRPr="005A3278">
              <w:rPr>
                <w:szCs w:val="24"/>
              </w:rPr>
              <w:t>/</w:t>
            </w:r>
            <w:r w:rsidR="0027650B" w:rsidRPr="005A3278">
              <w:rPr>
                <w:szCs w:val="24"/>
              </w:rPr>
              <w:t>11</w:t>
            </w:r>
            <w:r w:rsidR="00E83F7F" w:rsidRPr="005A3278">
              <w:rPr>
                <w:szCs w:val="24"/>
              </w:rPr>
              <w:t>/2021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37DC" w14:textId="32FF1FFB" w:rsidR="00D731BF" w:rsidRPr="005A3278" w:rsidRDefault="00D702DB" w:rsidP="00BB7B5C">
            <w:pPr>
              <w:rPr>
                <w:szCs w:val="24"/>
              </w:rPr>
            </w:pPr>
            <w:r>
              <w:rPr>
                <w:szCs w:val="24"/>
              </w:rPr>
              <w:t>Nil</w:t>
            </w:r>
          </w:p>
        </w:tc>
      </w:tr>
      <w:tr w:rsidR="00882ABA" w:rsidRPr="00A73805" w14:paraId="57E08C26" w14:textId="77777777" w:rsidTr="00204C27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FA06" w14:textId="77777777" w:rsidR="00882ABA" w:rsidRPr="00E83F7F" w:rsidRDefault="00882ABA" w:rsidP="00BB7B5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680F" w14:textId="77777777" w:rsidR="00882ABA" w:rsidRPr="00F812CE" w:rsidRDefault="00882ABA" w:rsidP="00870747">
            <w:pPr>
              <w:rPr>
                <w:color w:val="7030A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E3EA" w14:textId="77777777" w:rsidR="00882ABA" w:rsidRPr="00F812CE" w:rsidRDefault="00882ABA" w:rsidP="00870747">
            <w:pPr>
              <w:rPr>
                <w:color w:val="7030A0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4108" w14:textId="77777777" w:rsidR="00882ABA" w:rsidRPr="005A3278" w:rsidRDefault="00882ABA" w:rsidP="00BB7B5C">
            <w:pPr>
              <w:rPr>
                <w:szCs w:val="24"/>
              </w:rPr>
            </w:pPr>
          </w:p>
        </w:tc>
      </w:tr>
      <w:tr w:rsidR="00B87480" w:rsidRPr="00A73805" w14:paraId="5E0D02A7" w14:textId="77777777" w:rsidTr="00204C27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6924" w14:textId="0E83647D" w:rsidR="00B87480" w:rsidRPr="00E83F7F" w:rsidRDefault="0027650B" w:rsidP="0065573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655734">
              <w:rPr>
                <w:color w:val="000000" w:themeColor="text1"/>
                <w:szCs w:val="24"/>
              </w:rPr>
              <w:t>7</w:t>
            </w:r>
            <w:r w:rsidR="00B87480" w:rsidRPr="00E83F7F">
              <w:rPr>
                <w:color w:val="000000" w:themeColor="text1"/>
                <w:szCs w:val="24"/>
              </w:rPr>
              <w:t xml:space="preserve"> &amp; </w:t>
            </w:r>
            <w:r>
              <w:rPr>
                <w:color w:val="000000" w:themeColor="text1"/>
                <w:szCs w:val="24"/>
              </w:rPr>
              <w:t>10</w:t>
            </w:r>
            <w:r w:rsidR="00655734">
              <w:rPr>
                <w:color w:val="000000" w:themeColor="text1"/>
                <w:szCs w:val="24"/>
              </w:rPr>
              <w:t>8</w:t>
            </w:r>
            <w:r w:rsidR="00B87480" w:rsidRPr="00E83F7F">
              <w:rPr>
                <w:color w:val="000000" w:themeColor="text1"/>
                <w:szCs w:val="24"/>
              </w:rPr>
              <w:t>/202</w:t>
            </w:r>
            <w:r w:rsidR="000F6397" w:rsidRPr="00E83F7F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7406" w14:textId="68BEA513" w:rsidR="00B87480" w:rsidRPr="00E83F7F" w:rsidRDefault="00655734" w:rsidP="00B874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fibromyalgia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43D" w14:textId="5E601924" w:rsidR="00B87480" w:rsidRPr="00E83F7F" w:rsidRDefault="00655734" w:rsidP="005B6C0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27650B" w:rsidRPr="00E83F7F">
              <w:rPr>
                <w:color w:val="000000" w:themeColor="text1"/>
                <w:szCs w:val="24"/>
              </w:rPr>
              <w:t>/</w:t>
            </w:r>
            <w:r w:rsidR="0027650B">
              <w:rPr>
                <w:color w:val="000000" w:themeColor="text1"/>
                <w:szCs w:val="24"/>
              </w:rPr>
              <w:t>11</w:t>
            </w:r>
            <w:r w:rsidR="0027650B" w:rsidRPr="00E83F7F">
              <w:rPr>
                <w:color w:val="000000" w:themeColor="text1"/>
                <w:szCs w:val="24"/>
              </w:rPr>
              <w:t>/2021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6DF5" w14:textId="64325501" w:rsidR="00B87480" w:rsidRPr="005A3278" w:rsidRDefault="00D702DB" w:rsidP="00B87480">
            <w:pPr>
              <w:jc w:val="both"/>
              <w:rPr>
                <w:szCs w:val="24"/>
              </w:rPr>
            </w:pPr>
            <w:r w:rsidRPr="00D702DB">
              <w:rPr>
                <w:szCs w:val="24"/>
              </w:rPr>
              <w:t>M79.7</w:t>
            </w:r>
            <w:bookmarkStart w:id="0" w:name="_GoBack"/>
            <w:bookmarkEnd w:id="0"/>
          </w:p>
        </w:tc>
      </w:tr>
      <w:tr w:rsidR="00E83F7F" w:rsidRPr="00A73805" w14:paraId="32C315A4" w14:textId="77777777" w:rsidTr="00204C27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0925" w14:textId="77777777" w:rsidR="00E83F7F" w:rsidRPr="00E83F7F" w:rsidRDefault="00E83F7F" w:rsidP="00252D3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8364" w14:textId="77777777" w:rsidR="00E83F7F" w:rsidRPr="00E83F7F" w:rsidRDefault="00E83F7F" w:rsidP="00B87480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80F4" w14:textId="77777777" w:rsidR="00E83F7F" w:rsidRPr="00E83F7F" w:rsidRDefault="00E83F7F" w:rsidP="005B6C0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BA3A" w14:textId="77777777" w:rsidR="00E83F7F" w:rsidRPr="005A3278" w:rsidRDefault="00E83F7F" w:rsidP="00B87480">
            <w:pPr>
              <w:jc w:val="both"/>
              <w:rPr>
                <w:szCs w:val="24"/>
              </w:rPr>
            </w:pPr>
          </w:p>
        </w:tc>
      </w:tr>
    </w:tbl>
    <w:p w14:paraId="1AF1486A" w14:textId="77777777" w:rsidR="00243AA1" w:rsidRPr="004C087A" w:rsidRDefault="00243AA1" w:rsidP="004C087A">
      <w:pPr>
        <w:jc w:val="both"/>
        <w:rPr>
          <w:sz w:val="22"/>
          <w:szCs w:val="22"/>
        </w:rPr>
      </w:pPr>
    </w:p>
    <w:p w14:paraId="3573BD9C" w14:textId="77777777" w:rsidR="00AE6C37" w:rsidRDefault="00AE6C37">
      <w:pPr>
        <w:rPr>
          <w:szCs w:val="24"/>
        </w:rPr>
      </w:pPr>
      <w:r>
        <w:rPr>
          <w:szCs w:val="24"/>
        </w:rPr>
        <w:br w:type="page"/>
      </w:r>
    </w:p>
    <w:p w14:paraId="343DDEDE" w14:textId="77777777" w:rsidR="0092223C" w:rsidRDefault="0092223C" w:rsidP="0092223C">
      <w:pPr>
        <w:ind w:left="142"/>
        <w:jc w:val="both"/>
        <w:rPr>
          <w:szCs w:val="24"/>
        </w:rPr>
      </w:pPr>
    </w:p>
    <w:tbl>
      <w:tblPr>
        <w:tblW w:w="10774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134"/>
        <w:gridCol w:w="1858"/>
        <w:gridCol w:w="7782"/>
      </w:tblGrid>
      <w:tr w:rsidR="00AE6C37" w:rsidRPr="00A73805" w14:paraId="24134083" w14:textId="77777777" w:rsidTr="002925E7">
        <w:trPr>
          <w:tblHeader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BB248" w14:textId="77777777" w:rsidR="00AE6C37" w:rsidRPr="00A73805" w:rsidRDefault="00CD223F" w:rsidP="001B1B5D">
            <w:pPr>
              <w:rPr>
                <w:b/>
                <w:sz w:val="22"/>
              </w:rPr>
            </w:pPr>
            <w:r w:rsidRPr="00C7059F">
              <w:rPr>
                <w:sz w:val="16"/>
              </w:rPr>
              <w:br w:type="page"/>
            </w:r>
            <w:r w:rsidR="00AE6C37" w:rsidRPr="00A73805">
              <w:br w:type="page"/>
            </w:r>
            <w:r w:rsidR="00AE6C37" w:rsidRPr="00A73805">
              <w:rPr>
                <w:sz w:val="16"/>
              </w:rPr>
              <w:br w:type="page"/>
            </w:r>
            <w:r w:rsidR="00AE6C37" w:rsidRPr="00A73805">
              <w:rPr>
                <w:sz w:val="16"/>
              </w:rPr>
              <w:br w:type="page"/>
            </w:r>
            <w:r w:rsidR="00AE6C37" w:rsidRPr="00A73805">
              <w:rPr>
                <w:sz w:val="22"/>
              </w:rPr>
              <w:br w:type="page"/>
            </w:r>
            <w:r w:rsidR="00AE6C37" w:rsidRPr="00A73805">
              <w:rPr>
                <w:b/>
                <w:sz w:val="22"/>
              </w:rPr>
              <w:t>SUMMARY OF CHANGES</w:t>
            </w:r>
          </w:p>
        </w:tc>
      </w:tr>
      <w:tr w:rsidR="00D91D01" w:rsidRPr="00D91D01" w14:paraId="02E6324A" w14:textId="77777777" w:rsidTr="002925E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DF39" w14:textId="65A374A3" w:rsidR="00AC2888" w:rsidRPr="0092167D" w:rsidRDefault="003E0091" w:rsidP="003E009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  <w:r w:rsidR="0092167D" w:rsidRPr="0092167D">
              <w:rPr>
                <w:color w:val="000000" w:themeColor="text1"/>
                <w:sz w:val="20"/>
              </w:rPr>
              <w:t xml:space="preserve"> &amp; </w:t>
            </w:r>
            <w:r w:rsidR="00875E5E">
              <w:rPr>
                <w:color w:val="000000" w:themeColor="text1"/>
                <w:sz w:val="20"/>
              </w:rPr>
              <w:t>10</w:t>
            </w:r>
            <w:r>
              <w:rPr>
                <w:color w:val="000000" w:themeColor="text1"/>
                <w:sz w:val="20"/>
              </w:rPr>
              <w:t>6</w:t>
            </w:r>
            <w:r w:rsidR="0092167D" w:rsidRPr="0092167D">
              <w:rPr>
                <w:color w:val="000000" w:themeColor="text1"/>
                <w:sz w:val="20"/>
              </w:rPr>
              <w:t>/2021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6E11" w14:textId="355FE745" w:rsidR="00AC2888" w:rsidRPr="0092167D" w:rsidRDefault="003E0091" w:rsidP="00B3455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chronic fatigue syndrome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1DBD" w14:textId="0F567DB0" w:rsidR="00AC2888" w:rsidRPr="00D91D01" w:rsidRDefault="00AC2888" w:rsidP="001B1B5D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color w:val="000000" w:themeColor="text1"/>
              </w:rPr>
            </w:pPr>
            <w:r w:rsidRPr="00D91D01">
              <w:rPr>
                <w:color w:val="000000" w:themeColor="text1"/>
              </w:rPr>
              <w:t xml:space="preserve">These Instruments result </w:t>
            </w:r>
            <w:r w:rsidR="003E0091" w:rsidRPr="003E0091">
              <w:rPr>
                <w:color w:val="000000" w:themeColor="text1"/>
              </w:rPr>
              <w:t xml:space="preserve">from an investigation notified by the Authority in the Government Notices Gazette of 9 March 2021 concerning </w:t>
            </w:r>
            <w:r w:rsidR="003E0091" w:rsidRPr="003E0091">
              <w:rPr>
                <w:i/>
                <w:color w:val="000000" w:themeColor="text1"/>
              </w:rPr>
              <w:t>chronic fatigue syndrome</w:t>
            </w:r>
            <w:r w:rsidR="003E0091" w:rsidRPr="003E0091">
              <w:rPr>
                <w:color w:val="000000" w:themeColor="text1"/>
              </w:rPr>
              <w:t xml:space="preserve"> in accordance with section 196G of the VEA.  The investigation involved an examination of the sound medical-scientific evidence now available to the Authority, including the sound medical-scientific evidence it has previously considered</w:t>
            </w:r>
            <w:r w:rsidR="00CD5505" w:rsidRPr="00D91D01">
              <w:rPr>
                <w:color w:val="000000" w:themeColor="text1"/>
              </w:rPr>
              <w:t>.</w:t>
            </w:r>
          </w:p>
          <w:p w14:paraId="30F85FBE" w14:textId="77777777" w:rsidR="00AC2888" w:rsidRPr="00D91D01" w:rsidRDefault="00AC2888" w:rsidP="00AC2888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color w:val="000000" w:themeColor="text1"/>
              </w:rPr>
            </w:pPr>
            <w:r w:rsidRPr="00D91D01">
              <w:rPr>
                <w:color w:val="000000" w:themeColor="text1"/>
              </w:rPr>
              <w:t>The contents of these Instruments are in similar terms as the repealed Instruments. Comparing these Instruments and the repealed Instruments, the differences include:</w:t>
            </w:r>
          </w:p>
          <w:p w14:paraId="5321704E" w14:textId="4211905D" w:rsidR="00AC2888" w:rsidRPr="00D91D01" w:rsidRDefault="00AC2888" w:rsidP="00611829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b/>
                <w:i/>
                <w:color w:val="000000" w:themeColor="text1"/>
              </w:rPr>
            </w:pPr>
            <w:r w:rsidRPr="00D91D01">
              <w:rPr>
                <w:b/>
                <w:i/>
                <w:color w:val="000000" w:themeColor="text1"/>
              </w:rPr>
              <w:t xml:space="preserve">For RH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SoP</w:t>
            </w:r>
            <w:proofErr w:type="spellEnd"/>
            <w:r w:rsidRPr="00D91D01">
              <w:rPr>
                <w:color w:val="000000" w:themeColor="text1"/>
              </w:rPr>
              <w:t xml:space="preserve"> </w:t>
            </w:r>
            <w:r w:rsidRPr="00D91D01">
              <w:rPr>
                <w:b/>
                <w:i/>
                <w:color w:val="000000" w:themeColor="text1"/>
              </w:rPr>
              <w:t xml:space="preserve">(Instrument No. </w:t>
            </w:r>
            <w:r w:rsidR="003E0091">
              <w:rPr>
                <w:b/>
                <w:i/>
                <w:color w:val="000000" w:themeColor="text1"/>
              </w:rPr>
              <w:t>105</w:t>
            </w:r>
            <w:r w:rsidRPr="00D91D01">
              <w:rPr>
                <w:b/>
                <w:i/>
                <w:color w:val="000000" w:themeColor="text1"/>
              </w:rPr>
              <w:t>/2021)</w:t>
            </w:r>
          </w:p>
          <w:p w14:paraId="4437108C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adopting the latest revised Instrument format, which commenced in 2015;</w:t>
            </w:r>
          </w:p>
          <w:p w14:paraId="0F829531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specifying a day of commencement for the Instrument in section 2;</w:t>
            </w:r>
          </w:p>
          <w:p w14:paraId="1FA2337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 of 'chronic fatigue syndrome' in subsection 7(2);</w:t>
            </w:r>
          </w:p>
          <w:p w14:paraId="2C9D650D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9(1) concerning having an acute infection, for clinical onset only;</w:t>
            </w:r>
          </w:p>
          <w:p w14:paraId="2D3A7120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9(2) concerning living or working in a hostile or life-threatening environment, for clinical onset only;</w:t>
            </w:r>
          </w:p>
          <w:p w14:paraId="3612A474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9(3) concerning experiencing severe childhood abuse, for clinical onset only;</w:t>
            </w:r>
          </w:p>
          <w:p w14:paraId="043BC917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9(4) concerning experiencing a category 1A stressor, for clinical onset only;</w:t>
            </w:r>
          </w:p>
          <w:p w14:paraId="049E2DC2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9(5) concerning experiencing a category 1B stressor, for clinical onset only;</w:t>
            </w:r>
          </w:p>
          <w:p w14:paraId="434E1A02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definitions of 'category 1A stressor', 'category 1B stressor', 'corpse', 'eyewitness', 'MRCA', 'severe childhood abuse', 'specified list of infections' and 'VEA' in Schedule 1 - Dictionary;</w:t>
            </w:r>
          </w:p>
          <w:p w14:paraId="264890DA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definitions of 'hostile or life-threatening environment' and 'relevant service' in Schedule 1 - Dictionary; and</w:t>
            </w:r>
          </w:p>
          <w:p w14:paraId="508608D0" w14:textId="48E9B1AB" w:rsidR="00D91D01" w:rsidRPr="00875E5E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proofErr w:type="gramStart"/>
            <w:r w:rsidRPr="003E0091">
              <w:rPr>
                <w:color w:val="000000" w:themeColor="text1"/>
                <w:sz w:val="20"/>
                <w:lang w:val="en-GB"/>
              </w:rPr>
              <w:t>deleting</w:t>
            </w:r>
            <w:proofErr w:type="gramEnd"/>
            <w:r w:rsidRPr="003E0091">
              <w:rPr>
                <w:color w:val="000000" w:themeColor="text1"/>
                <w:sz w:val="20"/>
                <w:lang w:val="en-GB"/>
              </w:rPr>
              <w:t xml:space="preserve"> the definition of 'an infection as specified'</w:t>
            </w:r>
            <w:r w:rsidR="00875E5E">
              <w:rPr>
                <w:color w:val="000000" w:themeColor="text1"/>
                <w:sz w:val="20"/>
                <w:lang w:val="en-GB"/>
              </w:rPr>
              <w:t>.</w:t>
            </w:r>
          </w:p>
          <w:p w14:paraId="7DE8D515" w14:textId="0277419B" w:rsidR="00611829" w:rsidRPr="00D91D01" w:rsidRDefault="00611829" w:rsidP="00611829">
            <w:pPr>
              <w:pStyle w:val="BodyText"/>
              <w:spacing w:before="60" w:after="60"/>
              <w:ind w:right="272"/>
              <w:jc w:val="both"/>
              <w:rPr>
                <w:b/>
                <w:i/>
                <w:color w:val="000000" w:themeColor="text1"/>
              </w:rPr>
            </w:pPr>
            <w:r w:rsidRPr="00D91D01">
              <w:rPr>
                <w:b/>
                <w:i/>
                <w:color w:val="000000" w:themeColor="text1"/>
              </w:rPr>
              <w:t xml:space="preserve">For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BoP</w:t>
            </w:r>
            <w:proofErr w:type="spellEnd"/>
            <w:r w:rsidRPr="00D91D0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SoP</w:t>
            </w:r>
            <w:proofErr w:type="spellEnd"/>
            <w:r w:rsidRPr="00D91D01">
              <w:rPr>
                <w:b/>
                <w:i/>
                <w:color w:val="000000" w:themeColor="text1"/>
              </w:rPr>
              <w:t xml:space="preserve"> (Instrument No. </w:t>
            </w:r>
            <w:r w:rsidR="00875E5E">
              <w:rPr>
                <w:b/>
                <w:i/>
                <w:color w:val="000000" w:themeColor="text1"/>
              </w:rPr>
              <w:t>10</w:t>
            </w:r>
            <w:r w:rsidR="003E0091">
              <w:rPr>
                <w:b/>
                <w:i/>
                <w:color w:val="000000" w:themeColor="text1"/>
              </w:rPr>
              <w:t>6</w:t>
            </w:r>
            <w:r w:rsidRPr="00D91D01">
              <w:rPr>
                <w:b/>
                <w:i/>
                <w:color w:val="000000" w:themeColor="text1"/>
              </w:rPr>
              <w:t>/2021)</w:t>
            </w:r>
          </w:p>
          <w:p w14:paraId="46CE90D6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adopting the latest revised Instrument format, which commenced in 2015;</w:t>
            </w:r>
          </w:p>
          <w:p w14:paraId="7D974CE3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specifying a day of commencement for the Instrument in section 2;</w:t>
            </w:r>
          </w:p>
          <w:p w14:paraId="306D96EE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 of 'chronic fatigue syndrome' in subsection 7(2);</w:t>
            </w:r>
          </w:p>
          <w:p w14:paraId="7743E2AD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9(1) concerning having an acute infection, for clinical onset only;</w:t>
            </w:r>
          </w:p>
          <w:p w14:paraId="025C0C3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definitions of 'MRCA', 'specified list of infections' and 'VEA' in Schedule 1 - Dictionary;</w:t>
            </w:r>
          </w:p>
          <w:p w14:paraId="204DA67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 of 'relevant service' in Schedule 1 - Dictionary; and</w:t>
            </w:r>
          </w:p>
          <w:p w14:paraId="3D1D2DDD" w14:textId="5DF8398A" w:rsidR="00D91D01" w:rsidRPr="00875E5E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proofErr w:type="gramStart"/>
            <w:r w:rsidRPr="003E0091">
              <w:rPr>
                <w:color w:val="000000" w:themeColor="text1"/>
                <w:sz w:val="20"/>
                <w:lang w:val="en-GB"/>
              </w:rPr>
              <w:t>deleting</w:t>
            </w:r>
            <w:proofErr w:type="gramEnd"/>
            <w:r w:rsidRPr="003E0091">
              <w:rPr>
                <w:color w:val="000000" w:themeColor="text1"/>
                <w:sz w:val="20"/>
                <w:lang w:val="en-GB"/>
              </w:rPr>
              <w:t xml:space="preserve"> the definition of 'an infection as specified'</w:t>
            </w:r>
            <w:r w:rsidR="00D91D01" w:rsidRPr="00875E5E">
              <w:rPr>
                <w:color w:val="000000" w:themeColor="text1"/>
                <w:sz w:val="20"/>
                <w:lang w:val="en-GB"/>
              </w:rPr>
              <w:t>.</w:t>
            </w:r>
          </w:p>
          <w:p w14:paraId="51674C47" w14:textId="6997B001" w:rsidR="00611829" w:rsidRPr="00D91D01" w:rsidRDefault="00611829" w:rsidP="003E0091">
            <w:pPr>
              <w:pStyle w:val="BodyText"/>
              <w:spacing w:after="60"/>
              <w:ind w:right="272"/>
              <w:jc w:val="both"/>
              <w:rPr>
                <w:color w:val="000000" w:themeColor="text1"/>
              </w:rPr>
            </w:pPr>
            <w:r w:rsidRPr="00D91D01">
              <w:rPr>
                <w:b/>
                <w:color w:val="000000" w:themeColor="text1"/>
              </w:rPr>
              <w:t xml:space="preserve">The determining of these Instruments finalises the investigation in relation to </w:t>
            </w:r>
            <w:r w:rsidR="003E0091">
              <w:rPr>
                <w:b/>
                <w:i/>
                <w:color w:val="000000" w:themeColor="text1"/>
              </w:rPr>
              <w:t>chronic fatigue syndrome</w:t>
            </w:r>
            <w:r w:rsidRPr="00D91D01">
              <w:rPr>
                <w:b/>
                <w:color w:val="000000" w:themeColor="text1"/>
              </w:rPr>
              <w:t xml:space="preserve"> as advertised in the Government Notices Gazette of </w:t>
            </w:r>
            <w:r w:rsidR="00875E5E">
              <w:rPr>
                <w:b/>
                <w:color w:val="000000" w:themeColor="text1"/>
              </w:rPr>
              <w:t>9 March</w:t>
            </w:r>
            <w:r w:rsidR="00B330AA" w:rsidRPr="00D91D01">
              <w:rPr>
                <w:b/>
                <w:color w:val="000000" w:themeColor="text1"/>
              </w:rPr>
              <w:t xml:space="preserve"> 2021</w:t>
            </w:r>
            <w:r w:rsidRPr="00D91D01">
              <w:rPr>
                <w:b/>
                <w:color w:val="000000" w:themeColor="text1"/>
              </w:rPr>
              <w:t>.</w:t>
            </w:r>
          </w:p>
        </w:tc>
      </w:tr>
      <w:tr w:rsidR="00F812CE" w:rsidRPr="00F812CE" w14:paraId="2A1F210C" w14:textId="77777777" w:rsidTr="0092167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E9897" w14:textId="3EE93384" w:rsidR="00AE6C37" w:rsidRPr="0092167D" w:rsidRDefault="00CA334F" w:rsidP="003E009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  <w:r w:rsidR="003E0091">
              <w:rPr>
                <w:color w:val="000000" w:themeColor="text1"/>
                <w:sz w:val="20"/>
              </w:rPr>
              <w:t>7</w:t>
            </w:r>
            <w:r w:rsidR="0092167D" w:rsidRPr="0092167D">
              <w:rPr>
                <w:color w:val="000000" w:themeColor="text1"/>
                <w:sz w:val="20"/>
              </w:rPr>
              <w:t xml:space="preserve"> &amp; </w:t>
            </w:r>
            <w:r>
              <w:rPr>
                <w:color w:val="000000" w:themeColor="text1"/>
                <w:sz w:val="20"/>
              </w:rPr>
              <w:t>10</w:t>
            </w:r>
            <w:r w:rsidR="003E0091">
              <w:rPr>
                <w:color w:val="000000" w:themeColor="text1"/>
                <w:sz w:val="20"/>
              </w:rPr>
              <w:t>8</w:t>
            </w:r>
            <w:r w:rsidR="0092167D" w:rsidRPr="0092167D">
              <w:rPr>
                <w:color w:val="000000" w:themeColor="text1"/>
                <w:sz w:val="20"/>
              </w:rPr>
              <w:t>/2021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098C6" w14:textId="354FA9BD" w:rsidR="00AE6C37" w:rsidRPr="0092167D" w:rsidRDefault="003E0091" w:rsidP="00B3455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fibromyalgia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19516" w14:textId="3FF6F148" w:rsidR="00AE6C37" w:rsidRPr="007A4C76" w:rsidRDefault="005D2C90" w:rsidP="001B1B5D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color w:val="000000" w:themeColor="text1"/>
              </w:rPr>
            </w:pPr>
            <w:r w:rsidRPr="007A4C76">
              <w:rPr>
                <w:color w:val="000000" w:themeColor="text1"/>
              </w:rPr>
              <w:t xml:space="preserve">These Instruments result </w:t>
            </w:r>
            <w:r w:rsidR="003E0091" w:rsidRPr="003E0091">
              <w:rPr>
                <w:color w:val="000000" w:themeColor="text1"/>
              </w:rPr>
              <w:t xml:space="preserve">from an investigation notified by the Authority in the Government Notices Gazette of 9 March 2021 concerning </w:t>
            </w:r>
            <w:r w:rsidR="003E0091" w:rsidRPr="003E0091">
              <w:rPr>
                <w:i/>
                <w:color w:val="000000" w:themeColor="text1"/>
              </w:rPr>
              <w:t>fibromyalgia</w:t>
            </w:r>
            <w:r w:rsidR="003E0091" w:rsidRPr="003E0091">
              <w:rPr>
                <w:color w:val="000000" w:themeColor="text1"/>
              </w:rPr>
              <w:t xml:space="preserve"> in accordance with section 196G of the VEA.  The investigation involved an examination of the sound medical-scientific evidence now available to the Authority, including the sound medical-scientific evidence it has previously considered</w:t>
            </w:r>
            <w:r w:rsidR="00271AD1" w:rsidRPr="007A4C76">
              <w:rPr>
                <w:color w:val="000000" w:themeColor="text1"/>
              </w:rPr>
              <w:t>.</w:t>
            </w:r>
          </w:p>
          <w:p w14:paraId="56C12676" w14:textId="77777777" w:rsidR="00AE6C37" w:rsidRPr="007A4C76" w:rsidRDefault="00AE6C37" w:rsidP="001B1B5D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color w:val="000000" w:themeColor="text1"/>
              </w:rPr>
            </w:pPr>
            <w:r w:rsidRPr="007A4C76">
              <w:rPr>
                <w:color w:val="000000" w:themeColor="text1"/>
              </w:rPr>
              <w:t>The contents of these Instruments are in similar terms as the repealed Instruments. Comparing these Instruments and the repealed Instruments, the differences include:</w:t>
            </w:r>
          </w:p>
          <w:p w14:paraId="14DD3026" w14:textId="58FE3ED1" w:rsidR="00CA334F" w:rsidRPr="00D91D01" w:rsidRDefault="00CA334F" w:rsidP="00CA334F">
            <w:pPr>
              <w:pStyle w:val="BodyText"/>
              <w:tabs>
                <w:tab w:val="left" w:pos="6753"/>
              </w:tabs>
              <w:spacing w:after="60"/>
              <w:ind w:right="33"/>
              <w:jc w:val="both"/>
              <w:rPr>
                <w:b/>
                <w:i/>
                <w:color w:val="000000" w:themeColor="text1"/>
              </w:rPr>
            </w:pPr>
            <w:r w:rsidRPr="00D91D01">
              <w:rPr>
                <w:b/>
                <w:i/>
                <w:color w:val="000000" w:themeColor="text1"/>
              </w:rPr>
              <w:t xml:space="preserve">For RH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SoP</w:t>
            </w:r>
            <w:proofErr w:type="spellEnd"/>
            <w:r w:rsidRPr="00D91D01">
              <w:rPr>
                <w:color w:val="000000" w:themeColor="text1"/>
              </w:rPr>
              <w:t xml:space="preserve"> </w:t>
            </w:r>
            <w:r w:rsidRPr="00D91D01">
              <w:rPr>
                <w:b/>
                <w:i/>
                <w:color w:val="000000" w:themeColor="text1"/>
              </w:rPr>
              <w:t xml:space="preserve">(Instrument No. </w:t>
            </w:r>
            <w:r>
              <w:rPr>
                <w:b/>
                <w:i/>
                <w:color w:val="000000" w:themeColor="text1"/>
              </w:rPr>
              <w:t>10</w:t>
            </w:r>
            <w:r w:rsidR="003E0091">
              <w:rPr>
                <w:b/>
                <w:i/>
                <w:color w:val="000000" w:themeColor="text1"/>
              </w:rPr>
              <w:t>7</w:t>
            </w:r>
            <w:r w:rsidRPr="00D91D01">
              <w:rPr>
                <w:b/>
                <w:i/>
                <w:color w:val="000000" w:themeColor="text1"/>
              </w:rPr>
              <w:t>/2021)</w:t>
            </w:r>
          </w:p>
          <w:p w14:paraId="3D1ADBA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adopting the latest revised Instrument format, which commenced in 2015;</w:t>
            </w:r>
          </w:p>
          <w:p w14:paraId="4A69AC5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specifying a day of commencement for the Instrument in section 2;</w:t>
            </w:r>
          </w:p>
          <w:p w14:paraId="5305B6E3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 of 'fibromyalgia' in subsection 7(2);</w:t>
            </w:r>
          </w:p>
          <w:p w14:paraId="1D45F32A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reference to 'ICD-10-AM code' in subsection 7(4);</w:t>
            </w:r>
          </w:p>
          <w:p w14:paraId="1F8E5DCA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9(1) concerning experiencing severe childhood abuse, for clinical onset only;</w:t>
            </w:r>
          </w:p>
          <w:p w14:paraId="33B0C575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9(2) concerning being overweight or obese, for clinical onset only;</w:t>
            </w:r>
          </w:p>
          <w:p w14:paraId="1F93E063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9(3) concerning having an autoimmune inflammatory condition which is associated with the development of arthritis, for clinical onset only;</w:t>
            </w:r>
          </w:p>
          <w:p w14:paraId="0714095D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9(4) concerning experiencing a category 1A stressor, for clinical onset only;</w:t>
            </w:r>
          </w:p>
          <w:p w14:paraId="26B7EEA2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lastRenderedPageBreak/>
              <w:t>new factor in subsection 9(5) concerning having a severe, chronic medical condition, for clinical onset only;</w:t>
            </w:r>
          </w:p>
          <w:p w14:paraId="794A7904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definitions of 'being overweight or obese', 'BMI', 'category 1A stressor', 'MRCA', 'severe, chronic medical condition', 'specified list of regions' and 'VEA' in Schedule 1 - Dictionary;</w:t>
            </w:r>
          </w:p>
          <w:p w14:paraId="39118930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definitions of 'relevant service', 'symptom severity scale score' and 'widespread pain index' in Schedule 1 - Dictionary; and</w:t>
            </w:r>
          </w:p>
          <w:p w14:paraId="0956491F" w14:textId="70C8BE4B" w:rsidR="00CA334F" w:rsidRPr="00875E5E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proofErr w:type="gramStart"/>
            <w:r w:rsidRPr="003E0091">
              <w:rPr>
                <w:color w:val="000000" w:themeColor="text1"/>
                <w:sz w:val="20"/>
                <w:lang w:val="en-GB"/>
              </w:rPr>
              <w:t>deleting</w:t>
            </w:r>
            <w:proofErr w:type="gramEnd"/>
            <w:r w:rsidRPr="003E0091">
              <w:rPr>
                <w:color w:val="000000" w:themeColor="text1"/>
                <w:sz w:val="20"/>
                <w:lang w:val="en-GB"/>
              </w:rPr>
              <w:t xml:space="preserve"> the definitions of 'being obese', 'inflammatory arthritis' and 'specified areas'</w:t>
            </w:r>
            <w:r w:rsidR="00CA334F">
              <w:rPr>
                <w:color w:val="000000" w:themeColor="text1"/>
                <w:sz w:val="20"/>
                <w:lang w:val="en-GB"/>
              </w:rPr>
              <w:t>.</w:t>
            </w:r>
          </w:p>
          <w:p w14:paraId="4E3FD92B" w14:textId="37809898" w:rsidR="00CA334F" w:rsidRPr="00D91D01" w:rsidRDefault="00CA334F" w:rsidP="00CA334F">
            <w:pPr>
              <w:pStyle w:val="BodyText"/>
              <w:spacing w:before="60" w:after="60"/>
              <w:ind w:right="272"/>
              <w:jc w:val="both"/>
              <w:rPr>
                <w:b/>
                <w:i/>
                <w:color w:val="000000" w:themeColor="text1"/>
              </w:rPr>
            </w:pPr>
            <w:r w:rsidRPr="00D91D01">
              <w:rPr>
                <w:b/>
                <w:i/>
                <w:color w:val="000000" w:themeColor="text1"/>
              </w:rPr>
              <w:t xml:space="preserve">For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BoP</w:t>
            </w:r>
            <w:proofErr w:type="spellEnd"/>
            <w:r w:rsidRPr="00D91D01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D91D01">
              <w:rPr>
                <w:b/>
                <w:i/>
                <w:color w:val="000000" w:themeColor="text1"/>
              </w:rPr>
              <w:t>SoP</w:t>
            </w:r>
            <w:proofErr w:type="spellEnd"/>
            <w:r w:rsidRPr="00D91D01">
              <w:rPr>
                <w:b/>
                <w:i/>
                <w:color w:val="000000" w:themeColor="text1"/>
              </w:rPr>
              <w:t xml:space="preserve"> (Instrument No. </w:t>
            </w:r>
            <w:r>
              <w:rPr>
                <w:b/>
                <w:i/>
                <w:color w:val="000000" w:themeColor="text1"/>
              </w:rPr>
              <w:t>10</w:t>
            </w:r>
            <w:r w:rsidR="003E0091">
              <w:rPr>
                <w:b/>
                <w:i/>
                <w:color w:val="000000" w:themeColor="text1"/>
              </w:rPr>
              <w:t>8</w:t>
            </w:r>
            <w:r w:rsidRPr="00D91D01">
              <w:rPr>
                <w:b/>
                <w:i/>
                <w:color w:val="000000" w:themeColor="text1"/>
              </w:rPr>
              <w:t>/2021)</w:t>
            </w:r>
          </w:p>
          <w:p w14:paraId="117263DF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adopting the latest revised Instrument format, which commenced in 2015;</w:t>
            </w:r>
          </w:p>
          <w:p w14:paraId="6C6E1A35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specifying a day of commencement for the Instrument in section 2;</w:t>
            </w:r>
          </w:p>
          <w:p w14:paraId="56F045EF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 of 'fibromyalgia' in subsection 7(2);</w:t>
            </w:r>
          </w:p>
          <w:p w14:paraId="5AB7C434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reference to 'ICD-10-AM code' in subsection 7(4);</w:t>
            </w:r>
          </w:p>
          <w:p w14:paraId="56EEEBAF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factor in subsection 9(1) concerning experiencing severe childhood abuse, for clinical onset only;</w:t>
            </w:r>
          </w:p>
          <w:p w14:paraId="26D48EE3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9(2) concerning being overweight or obese, for clinical onset only;</w:t>
            </w:r>
          </w:p>
          <w:p w14:paraId="437A6D0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factor in subsection 9(3) concerning having an autoimmune inflammatory condition which is associated with the development of arthritis, for clinical onset only;</w:t>
            </w:r>
          </w:p>
          <w:p w14:paraId="4AB5D28D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new definitions of 'being overweight or obese', 'BMI', 'MRCA', 'specified list of regions' and 'VEA' in Schedule 1 - Dictionary;</w:t>
            </w:r>
          </w:p>
          <w:p w14:paraId="3C5B54B9" w14:textId="77777777" w:rsidR="003E0091" w:rsidRPr="003E0091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r w:rsidRPr="003E0091">
              <w:rPr>
                <w:color w:val="000000" w:themeColor="text1"/>
                <w:sz w:val="20"/>
                <w:lang w:val="en-GB"/>
              </w:rPr>
              <w:t>revising the definitions of 'relevant service', 'symptom severity scale' and 'widespread pain index' in Schedule 1 - Dictionary; and</w:t>
            </w:r>
          </w:p>
          <w:p w14:paraId="3BBA4C3B" w14:textId="16CE0D75" w:rsidR="007A4C76" w:rsidRPr="000A19F0" w:rsidRDefault="003E0091" w:rsidP="003E0091">
            <w:pPr>
              <w:numPr>
                <w:ilvl w:val="0"/>
                <w:numId w:val="1"/>
              </w:numPr>
              <w:ind w:left="306" w:hanging="306"/>
              <w:jc w:val="both"/>
              <w:rPr>
                <w:color w:val="000000" w:themeColor="text1"/>
                <w:sz w:val="20"/>
                <w:lang w:val="en-GB"/>
              </w:rPr>
            </w:pPr>
            <w:proofErr w:type="gramStart"/>
            <w:r w:rsidRPr="003E0091">
              <w:rPr>
                <w:color w:val="000000" w:themeColor="text1"/>
                <w:sz w:val="20"/>
                <w:lang w:val="en-GB"/>
              </w:rPr>
              <w:t>deleting</w:t>
            </w:r>
            <w:proofErr w:type="gramEnd"/>
            <w:r w:rsidRPr="003E0091">
              <w:rPr>
                <w:color w:val="000000" w:themeColor="text1"/>
                <w:sz w:val="20"/>
                <w:lang w:val="en-GB"/>
              </w:rPr>
              <w:t xml:space="preserve"> the definition of 'specified areas'</w:t>
            </w:r>
            <w:r w:rsidR="00CA334F" w:rsidRPr="00875E5E">
              <w:rPr>
                <w:color w:val="000000" w:themeColor="text1"/>
                <w:sz w:val="20"/>
                <w:lang w:val="en-GB"/>
              </w:rPr>
              <w:t>.</w:t>
            </w:r>
          </w:p>
          <w:p w14:paraId="44A9333A" w14:textId="59C9CB52" w:rsidR="00AE6C37" w:rsidRPr="00F812CE" w:rsidRDefault="00AE6C37" w:rsidP="003E0091">
            <w:pPr>
              <w:pStyle w:val="BodyText"/>
              <w:spacing w:after="60"/>
              <w:ind w:right="272"/>
              <w:jc w:val="both"/>
              <w:rPr>
                <w:b/>
                <w:color w:val="7030A0"/>
                <w:sz w:val="19"/>
                <w:szCs w:val="19"/>
              </w:rPr>
            </w:pPr>
            <w:r w:rsidRPr="002443DD">
              <w:rPr>
                <w:b/>
                <w:color w:val="000000" w:themeColor="text1"/>
              </w:rPr>
              <w:t>The determining of these Instruments finalises the investigation in relation to</w:t>
            </w:r>
            <w:r w:rsidR="004D033A" w:rsidRPr="002443DD">
              <w:rPr>
                <w:b/>
                <w:color w:val="000000" w:themeColor="text1"/>
              </w:rPr>
              <w:t xml:space="preserve"> </w:t>
            </w:r>
            <w:r w:rsidR="003E0091">
              <w:rPr>
                <w:b/>
                <w:i/>
                <w:color w:val="000000" w:themeColor="text1"/>
              </w:rPr>
              <w:t>fibromyalgia</w:t>
            </w:r>
            <w:r w:rsidR="000A19F0" w:rsidRPr="000A19F0">
              <w:rPr>
                <w:b/>
                <w:i/>
                <w:color w:val="000000" w:themeColor="text1"/>
              </w:rPr>
              <w:t xml:space="preserve"> </w:t>
            </w:r>
            <w:r w:rsidRPr="002443DD">
              <w:rPr>
                <w:b/>
                <w:color w:val="000000" w:themeColor="text1"/>
              </w:rPr>
              <w:t>as advertised in the</w:t>
            </w:r>
            <w:r w:rsidR="00DA6D10" w:rsidRPr="002443DD">
              <w:rPr>
                <w:b/>
                <w:color w:val="000000" w:themeColor="text1"/>
              </w:rPr>
              <w:t xml:space="preserve"> Government Notices Gazette of </w:t>
            </w:r>
            <w:r w:rsidR="003E0091">
              <w:rPr>
                <w:b/>
                <w:color w:val="000000" w:themeColor="text1"/>
              </w:rPr>
              <w:t>9 March</w:t>
            </w:r>
            <w:r w:rsidR="000A19F0">
              <w:rPr>
                <w:b/>
                <w:color w:val="000000" w:themeColor="text1"/>
              </w:rPr>
              <w:t xml:space="preserve"> 2021</w:t>
            </w:r>
            <w:r w:rsidRPr="002443DD">
              <w:rPr>
                <w:b/>
                <w:color w:val="000000" w:themeColor="text1"/>
              </w:rPr>
              <w:t>.</w:t>
            </w:r>
          </w:p>
        </w:tc>
      </w:tr>
    </w:tbl>
    <w:p w14:paraId="7EB96880" w14:textId="77777777" w:rsidR="00705897" w:rsidRPr="00F812CE" w:rsidRDefault="00705897" w:rsidP="00705897">
      <w:pPr>
        <w:pStyle w:val="SHHeader"/>
        <w:rPr>
          <w:rStyle w:val="CharAmSchNo"/>
          <w:color w:val="7030A0"/>
          <w:sz w:val="2"/>
          <w:szCs w:val="2"/>
        </w:rPr>
      </w:pPr>
      <w:bookmarkStart w:id="1" w:name="opcAmSched"/>
      <w:bookmarkStart w:id="2" w:name="opcCurrentFind"/>
      <w:bookmarkStart w:id="3" w:name="_Toc432150360"/>
      <w:bookmarkStart w:id="4" w:name="_Toc511294279"/>
      <w:bookmarkEnd w:id="1"/>
      <w:bookmarkEnd w:id="2"/>
      <w:bookmarkEnd w:id="3"/>
      <w:bookmarkEnd w:id="4"/>
    </w:p>
    <w:sectPr w:rsidR="00705897" w:rsidRPr="00F812CE" w:rsidSect="00046BC0">
      <w:footerReference w:type="even" r:id="rId11"/>
      <w:footerReference w:type="default" r:id="rId12"/>
      <w:pgSz w:w="11907" w:h="16834" w:code="9"/>
      <w:pgMar w:top="357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2A8D" w14:textId="77777777" w:rsidR="00910007" w:rsidRDefault="00910007">
      <w:r>
        <w:separator/>
      </w:r>
    </w:p>
  </w:endnote>
  <w:endnote w:type="continuationSeparator" w:id="0">
    <w:p w14:paraId="71F868C2" w14:textId="77777777" w:rsidR="00910007" w:rsidRDefault="0091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46C8" w14:textId="77777777" w:rsidR="00910007" w:rsidRDefault="00910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E33C86" w14:textId="77777777" w:rsidR="00910007" w:rsidRDefault="00910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0762" w14:textId="77777777" w:rsidR="00910007" w:rsidRDefault="00910007">
    <w:pPr>
      <w:pStyle w:val="Footer"/>
      <w:framePr w:wrap="around" w:vAnchor="text" w:hAnchor="margin" w:xAlign="right" w:y="1"/>
      <w:rPr>
        <w:rStyle w:val="PageNumber"/>
      </w:rPr>
    </w:pPr>
  </w:p>
  <w:p w14:paraId="6FE11B55" w14:textId="60F57E98" w:rsidR="00910007" w:rsidRDefault="00910007">
    <w:pPr>
      <w:pStyle w:val="Footer"/>
      <w:ind w:right="360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D702DB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D702DB"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B4E0" w14:textId="77777777" w:rsidR="00910007" w:rsidRDefault="00910007">
      <w:r>
        <w:separator/>
      </w:r>
    </w:p>
  </w:footnote>
  <w:footnote w:type="continuationSeparator" w:id="0">
    <w:p w14:paraId="6D04CD66" w14:textId="77777777" w:rsidR="00910007" w:rsidRDefault="0091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E33"/>
    <w:multiLevelType w:val="hybridMultilevel"/>
    <w:tmpl w:val="F6942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47104"/>
    <w:multiLevelType w:val="singleLevel"/>
    <w:tmpl w:val="51E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78746F8"/>
    <w:multiLevelType w:val="hybridMultilevel"/>
    <w:tmpl w:val="091CC770"/>
    <w:lvl w:ilvl="0" w:tplc="977CF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3409"/>
    <w:multiLevelType w:val="hybridMultilevel"/>
    <w:tmpl w:val="38184F34"/>
    <w:lvl w:ilvl="0" w:tplc="C6E287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3954"/>
    <w:multiLevelType w:val="hybridMultilevel"/>
    <w:tmpl w:val="028AE4E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2BE70A3"/>
    <w:multiLevelType w:val="hybridMultilevel"/>
    <w:tmpl w:val="B5701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DF"/>
    <w:rsid w:val="00000D6B"/>
    <w:rsid w:val="00002683"/>
    <w:rsid w:val="00002F6F"/>
    <w:rsid w:val="00005258"/>
    <w:rsid w:val="0001043D"/>
    <w:rsid w:val="000118B2"/>
    <w:rsid w:val="0002308C"/>
    <w:rsid w:val="0003279D"/>
    <w:rsid w:val="00041106"/>
    <w:rsid w:val="00043EA4"/>
    <w:rsid w:val="00045A6F"/>
    <w:rsid w:val="00046BC0"/>
    <w:rsid w:val="000476EA"/>
    <w:rsid w:val="00056496"/>
    <w:rsid w:val="00056AD5"/>
    <w:rsid w:val="00056FDE"/>
    <w:rsid w:val="00061463"/>
    <w:rsid w:val="0006348A"/>
    <w:rsid w:val="000659B1"/>
    <w:rsid w:val="000703B6"/>
    <w:rsid w:val="00075AC6"/>
    <w:rsid w:val="00077B12"/>
    <w:rsid w:val="000835F2"/>
    <w:rsid w:val="000858B4"/>
    <w:rsid w:val="000870E2"/>
    <w:rsid w:val="000910A4"/>
    <w:rsid w:val="000911E3"/>
    <w:rsid w:val="00091719"/>
    <w:rsid w:val="00095E81"/>
    <w:rsid w:val="00096226"/>
    <w:rsid w:val="00096A45"/>
    <w:rsid w:val="00097D55"/>
    <w:rsid w:val="000A10D1"/>
    <w:rsid w:val="000A10DE"/>
    <w:rsid w:val="000A19F0"/>
    <w:rsid w:val="000A3F2B"/>
    <w:rsid w:val="000B27C3"/>
    <w:rsid w:val="000C362A"/>
    <w:rsid w:val="000C58FF"/>
    <w:rsid w:val="000C68A0"/>
    <w:rsid w:val="000C7132"/>
    <w:rsid w:val="000D4E94"/>
    <w:rsid w:val="000D5DB1"/>
    <w:rsid w:val="000E1869"/>
    <w:rsid w:val="000E4174"/>
    <w:rsid w:val="000E4DEF"/>
    <w:rsid w:val="000E7744"/>
    <w:rsid w:val="000F589C"/>
    <w:rsid w:val="000F6397"/>
    <w:rsid w:val="000F75CC"/>
    <w:rsid w:val="00103CB4"/>
    <w:rsid w:val="00104879"/>
    <w:rsid w:val="00104B7B"/>
    <w:rsid w:val="00105188"/>
    <w:rsid w:val="00106EE5"/>
    <w:rsid w:val="001158F6"/>
    <w:rsid w:val="0011752D"/>
    <w:rsid w:val="00120EE4"/>
    <w:rsid w:val="0012462F"/>
    <w:rsid w:val="00126B55"/>
    <w:rsid w:val="00127C7C"/>
    <w:rsid w:val="00131865"/>
    <w:rsid w:val="001360E9"/>
    <w:rsid w:val="001412A2"/>
    <w:rsid w:val="00142130"/>
    <w:rsid w:val="001433FB"/>
    <w:rsid w:val="0015159D"/>
    <w:rsid w:val="00151F5C"/>
    <w:rsid w:val="001530EF"/>
    <w:rsid w:val="00154EC4"/>
    <w:rsid w:val="00155A84"/>
    <w:rsid w:val="00162CE4"/>
    <w:rsid w:val="00167B4D"/>
    <w:rsid w:val="00170C4E"/>
    <w:rsid w:val="00174E0F"/>
    <w:rsid w:val="00182314"/>
    <w:rsid w:val="001848A1"/>
    <w:rsid w:val="00191145"/>
    <w:rsid w:val="00191676"/>
    <w:rsid w:val="00193AAF"/>
    <w:rsid w:val="00196A4A"/>
    <w:rsid w:val="00197F92"/>
    <w:rsid w:val="001A1546"/>
    <w:rsid w:val="001A30F3"/>
    <w:rsid w:val="001A417B"/>
    <w:rsid w:val="001A68B8"/>
    <w:rsid w:val="001A78B4"/>
    <w:rsid w:val="001B1B5D"/>
    <w:rsid w:val="001B235D"/>
    <w:rsid w:val="001B31C5"/>
    <w:rsid w:val="001B5219"/>
    <w:rsid w:val="001B5AA0"/>
    <w:rsid w:val="001B7E10"/>
    <w:rsid w:val="001C027F"/>
    <w:rsid w:val="001C4639"/>
    <w:rsid w:val="001C491B"/>
    <w:rsid w:val="001C5985"/>
    <w:rsid w:val="001D08DE"/>
    <w:rsid w:val="001D09BC"/>
    <w:rsid w:val="001D1846"/>
    <w:rsid w:val="001D5766"/>
    <w:rsid w:val="001D620B"/>
    <w:rsid w:val="001D68C9"/>
    <w:rsid w:val="001D774E"/>
    <w:rsid w:val="001D7F9A"/>
    <w:rsid w:val="001E0473"/>
    <w:rsid w:val="001E5265"/>
    <w:rsid w:val="001E5AED"/>
    <w:rsid w:val="001E5BC7"/>
    <w:rsid w:val="001E676D"/>
    <w:rsid w:val="001E7260"/>
    <w:rsid w:val="001F0234"/>
    <w:rsid w:val="001F3F0B"/>
    <w:rsid w:val="001F4762"/>
    <w:rsid w:val="001F783E"/>
    <w:rsid w:val="001F7961"/>
    <w:rsid w:val="00201057"/>
    <w:rsid w:val="00204C27"/>
    <w:rsid w:val="00210125"/>
    <w:rsid w:val="0021180B"/>
    <w:rsid w:val="00211DA4"/>
    <w:rsid w:val="0021422C"/>
    <w:rsid w:val="002148F7"/>
    <w:rsid w:val="00214B51"/>
    <w:rsid w:val="0021686D"/>
    <w:rsid w:val="00222918"/>
    <w:rsid w:val="002273F1"/>
    <w:rsid w:val="0023135A"/>
    <w:rsid w:val="00236278"/>
    <w:rsid w:val="002375CC"/>
    <w:rsid w:val="00240F71"/>
    <w:rsid w:val="0024289C"/>
    <w:rsid w:val="00243AA1"/>
    <w:rsid w:val="002443DD"/>
    <w:rsid w:val="00244B31"/>
    <w:rsid w:val="002469F2"/>
    <w:rsid w:val="00252D35"/>
    <w:rsid w:val="002546A6"/>
    <w:rsid w:val="00257785"/>
    <w:rsid w:val="0026085E"/>
    <w:rsid w:val="0026282F"/>
    <w:rsid w:val="0026679F"/>
    <w:rsid w:val="00271AD1"/>
    <w:rsid w:val="00275D29"/>
    <w:rsid w:val="00275EEF"/>
    <w:rsid w:val="0027650B"/>
    <w:rsid w:val="00276E92"/>
    <w:rsid w:val="002814C7"/>
    <w:rsid w:val="00282756"/>
    <w:rsid w:val="0028335B"/>
    <w:rsid w:val="00285993"/>
    <w:rsid w:val="0028740F"/>
    <w:rsid w:val="002919AC"/>
    <w:rsid w:val="002924B3"/>
    <w:rsid w:val="002925E7"/>
    <w:rsid w:val="002A2E87"/>
    <w:rsid w:val="002A5455"/>
    <w:rsid w:val="002B2E1F"/>
    <w:rsid w:val="002B3FDD"/>
    <w:rsid w:val="002C03BC"/>
    <w:rsid w:val="002C21CA"/>
    <w:rsid w:val="002C3145"/>
    <w:rsid w:val="002C5EE6"/>
    <w:rsid w:val="002E0408"/>
    <w:rsid w:val="002E15D1"/>
    <w:rsid w:val="002E1723"/>
    <w:rsid w:val="002E4479"/>
    <w:rsid w:val="002E64B2"/>
    <w:rsid w:val="003000E4"/>
    <w:rsid w:val="00303672"/>
    <w:rsid w:val="003045E2"/>
    <w:rsid w:val="003054F9"/>
    <w:rsid w:val="00305686"/>
    <w:rsid w:val="00305A79"/>
    <w:rsid w:val="003101BA"/>
    <w:rsid w:val="00311E5C"/>
    <w:rsid w:val="003167DA"/>
    <w:rsid w:val="00317403"/>
    <w:rsid w:val="003175F7"/>
    <w:rsid w:val="003213E2"/>
    <w:rsid w:val="00321482"/>
    <w:rsid w:val="00321B80"/>
    <w:rsid w:val="0032302D"/>
    <w:rsid w:val="00323B01"/>
    <w:rsid w:val="00332C3A"/>
    <w:rsid w:val="003363C7"/>
    <w:rsid w:val="00345C2C"/>
    <w:rsid w:val="00347FA7"/>
    <w:rsid w:val="00351BBE"/>
    <w:rsid w:val="00351F87"/>
    <w:rsid w:val="0035585A"/>
    <w:rsid w:val="00357377"/>
    <w:rsid w:val="00360FCF"/>
    <w:rsid w:val="003617AC"/>
    <w:rsid w:val="00363EE2"/>
    <w:rsid w:val="0036666D"/>
    <w:rsid w:val="00367E28"/>
    <w:rsid w:val="00373492"/>
    <w:rsid w:val="00375E23"/>
    <w:rsid w:val="003810FC"/>
    <w:rsid w:val="00381A3C"/>
    <w:rsid w:val="003855E9"/>
    <w:rsid w:val="003908EE"/>
    <w:rsid w:val="00392F78"/>
    <w:rsid w:val="003A0EDD"/>
    <w:rsid w:val="003A18BF"/>
    <w:rsid w:val="003A3ECF"/>
    <w:rsid w:val="003A578C"/>
    <w:rsid w:val="003A58B0"/>
    <w:rsid w:val="003B06D3"/>
    <w:rsid w:val="003B1BB8"/>
    <w:rsid w:val="003B495C"/>
    <w:rsid w:val="003B6F13"/>
    <w:rsid w:val="003C1413"/>
    <w:rsid w:val="003C3A92"/>
    <w:rsid w:val="003C42EE"/>
    <w:rsid w:val="003D0783"/>
    <w:rsid w:val="003D60B8"/>
    <w:rsid w:val="003D6698"/>
    <w:rsid w:val="003E0091"/>
    <w:rsid w:val="003E1837"/>
    <w:rsid w:val="003E1E3C"/>
    <w:rsid w:val="003E23EA"/>
    <w:rsid w:val="003E4825"/>
    <w:rsid w:val="003E65E7"/>
    <w:rsid w:val="003E6746"/>
    <w:rsid w:val="003F32B2"/>
    <w:rsid w:val="003F7437"/>
    <w:rsid w:val="00401FC6"/>
    <w:rsid w:val="00402481"/>
    <w:rsid w:val="00403239"/>
    <w:rsid w:val="0040349E"/>
    <w:rsid w:val="00405793"/>
    <w:rsid w:val="00405AC5"/>
    <w:rsid w:val="004079C3"/>
    <w:rsid w:val="00407CB8"/>
    <w:rsid w:val="004108EE"/>
    <w:rsid w:val="004111B9"/>
    <w:rsid w:val="00411343"/>
    <w:rsid w:val="004133C2"/>
    <w:rsid w:val="0041348F"/>
    <w:rsid w:val="0041602D"/>
    <w:rsid w:val="00416E1B"/>
    <w:rsid w:val="00424AD7"/>
    <w:rsid w:val="004347E1"/>
    <w:rsid w:val="00434A2A"/>
    <w:rsid w:val="00435E37"/>
    <w:rsid w:val="00440DA9"/>
    <w:rsid w:val="00442CBB"/>
    <w:rsid w:val="004439A8"/>
    <w:rsid w:val="0044487E"/>
    <w:rsid w:val="00447D76"/>
    <w:rsid w:val="00453419"/>
    <w:rsid w:val="00453710"/>
    <w:rsid w:val="00454821"/>
    <w:rsid w:val="004669F2"/>
    <w:rsid w:val="004708A8"/>
    <w:rsid w:val="004717B1"/>
    <w:rsid w:val="00473F0A"/>
    <w:rsid w:val="004747C1"/>
    <w:rsid w:val="004755B9"/>
    <w:rsid w:val="004762AD"/>
    <w:rsid w:val="00480004"/>
    <w:rsid w:val="0048027A"/>
    <w:rsid w:val="0048426D"/>
    <w:rsid w:val="00484C2B"/>
    <w:rsid w:val="00485E1E"/>
    <w:rsid w:val="00486590"/>
    <w:rsid w:val="00493433"/>
    <w:rsid w:val="004964AB"/>
    <w:rsid w:val="004A08C2"/>
    <w:rsid w:val="004A119A"/>
    <w:rsid w:val="004A1F8A"/>
    <w:rsid w:val="004A2969"/>
    <w:rsid w:val="004A4025"/>
    <w:rsid w:val="004A40D3"/>
    <w:rsid w:val="004A64B2"/>
    <w:rsid w:val="004A79FF"/>
    <w:rsid w:val="004B407D"/>
    <w:rsid w:val="004B7169"/>
    <w:rsid w:val="004C087A"/>
    <w:rsid w:val="004C0E5F"/>
    <w:rsid w:val="004C1B11"/>
    <w:rsid w:val="004C38CB"/>
    <w:rsid w:val="004C54D5"/>
    <w:rsid w:val="004C5886"/>
    <w:rsid w:val="004D033A"/>
    <w:rsid w:val="004D059B"/>
    <w:rsid w:val="004D632C"/>
    <w:rsid w:val="004D7CA1"/>
    <w:rsid w:val="004E00E7"/>
    <w:rsid w:val="004E356E"/>
    <w:rsid w:val="004E6814"/>
    <w:rsid w:val="004F0E6B"/>
    <w:rsid w:val="004F109C"/>
    <w:rsid w:val="004F15F4"/>
    <w:rsid w:val="004F4428"/>
    <w:rsid w:val="004F4BA0"/>
    <w:rsid w:val="004F6079"/>
    <w:rsid w:val="004F68D6"/>
    <w:rsid w:val="004F799F"/>
    <w:rsid w:val="0050724A"/>
    <w:rsid w:val="00515703"/>
    <w:rsid w:val="00517506"/>
    <w:rsid w:val="005217A7"/>
    <w:rsid w:val="00526290"/>
    <w:rsid w:val="005272F5"/>
    <w:rsid w:val="005320D3"/>
    <w:rsid w:val="0053367B"/>
    <w:rsid w:val="00533E20"/>
    <w:rsid w:val="00536FD2"/>
    <w:rsid w:val="00537CDC"/>
    <w:rsid w:val="00542E0C"/>
    <w:rsid w:val="0054535F"/>
    <w:rsid w:val="0054538E"/>
    <w:rsid w:val="005454BF"/>
    <w:rsid w:val="00546D0C"/>
    <w:rsid w:val="00553A9B"/>
    <w:rsid w:val="0056555F"/>
    <w:rsid w:val="005711D1"/>
    <w:rsid w:val="00573043"/>
    <w:rsid w:val="00574C11"/>
    <w:rsid w:val="00580CFE"/>
    <w:rsid w:val="00584CC8"/>
    <w:rsid w:val="0058568D"/>
    <w:rsid w:val="0058615C"/>
    <w:rsid w:val="00586229"/>
    <w:rsid w:val="0058666E"/>
    <w:rsid w:val="00586726"/>
    <w:rsid w:val="005875CA"/>
    <w:rsid w:val="005903C2"/>
    <w:rsid w:val="00591828"/>
    <w:rsid w:val="00594393"/>
    <w:rsid w:val="00595C6B"/>
    <w:rsid w:val="00597273"/>
    <w:rsid w:val="00597C72"/>
    <w:rsid w:val="00597D0F"/>
    <w:rsid w:val="005A3278"/>
    <w:rsid w:val="005A4168"/>
    <w:rsid w:val="005A6D4A"/>
    <w:rsid w:val="005B31FA"/>
    <w:rsid w:val="005B6C06"/>
    <w:rsid w:val="005C29F9"/>
    <w:rsid w:val="005C48E6"/>
    <w:rsid w:val="005C48F9"/>
    <w:rsid w:val="005C51B6"/>
    <w:rsid w:val="005C6B3F"/>
    <w:rsid w:val="005C79A9"/>
    <w:rsid w:val="005D0CE6"/>
    <w:rsid w:val="005D2320"/>
    <w:rsid w:val="005D2BD9"/>
    <w:rsid w:val="005D2C90"/>
    <w:rsid w:val="005D375D"/>
    <w:rsid w:val="005D4C2A"/>
    <w:rsid w:val="005D5463"/>
    <w:rsid w:val="005D67D4"/>
    <w:rsid w:val="005E49B2"/>
    <w:rsid w:val="005E6B82"/>
    <w:rsid w:val="005F2EAD"/>
    <w:rsid w:val="005F3937"/>
    <w:rsid w:val="005F60B6"/>
    <w:rsid w:val="00604AD8"/>
    <w:rsid w:val="00605651"/>
    <w:rsid w:val="006076A6"/>
    <w:rsid w:val="00611829"/>
    <w:rsid w:val="0061700A"/>
    <w:rsid w:val="0062480A"/>
    <w:rsid w:val="00625847"/>
    <w:rsid w:val="00632B7A"/>
    <w:rsid w:val="00640A93"/>
    <w:rsid w:val="0064194F"/>
    <w:rsid w:val="006426E1"/>
    <w:rsid w:val="00642904"/>
    <w:rsid w:val="00647664"/>
    <w:rsid w:val="00652316"/>
    <w:rsid w:val="00655734"/>
    <w:rsid w:val="006558C5"/>
    <w:rsid w:val="0066235F"/>
    <w:rsid w:val="00687EA7"/>
    <w:rsid w:val="00694850"/>
    <w:rsid w:val="006952B9"/>
    <w:rsid w:val="00695A0D"/>
    <w:rsid w:val="006A3CB2"/>
    <w:rsid w:val="006A58DD"/>
    <w:rsid w:val="006B26EA"/>
    <w:rsid w:val="006B2F25"/>
    <w:rsid w:val="006B355C"/>
    <w:rsid w:val="006B573A"/>
    <w:rsid w:val="006C180B"/>
    <w:rsid w:val="006C221D"/>
    <w:rsid w:val="006C36B8"/>
    <w:rsid w:val="006C6F65"/>
    <w:rsid w:val="006D3625"/>
    <w:rsid w:val="006E1180"/>
    <w:rsid w:val="006E1F2D"/>
    <w:rsid w:val="006E3D68"/>
    <w:rsid w:val="006E6667"/>
    <w:rsid w:val="006F19D6"/>
    <w:rsid w:val="006F3CE4"/>
    <w:rsid w:val="006F3E19"/>
    <w:rsid w:val="006F4C7C"/>
    <w:rsid w:val="006F7672"/>
    <w:rsid w:val="0070306F"/>
    <w:rsid w:val="007033C1"/>
    <w:rsid w:val="00705897"/>
    <w:rsid w:val="00705CCB"/>
    <w:rsid w:val="007122E3"/>
    <w:rsid w:val="007155A5"/>
    <w:rsid w:val="007204A7"/>
    <w:rsid w:val="00720C74"/>
    <w:rsid w:val="00723B41"/>
    <w:rsid w:val="00726C5A"/>
    <w:rsid w:val="007278CC"/>
    <w:rsid w:val="0073248F"/>
    <w:rsid w:val="007340A3"/>
    <w:rsid w:val="0073445F"/>
    <w:rsid w:val="007356A5"/>
    <w:rsid w:val="007414C8"/>
    <w:rsid w:val="00742216"/>
    <w:rsid w:val="007443AC"/>
    <w:rsid w:val="00744EEC"/>
    <w:rsid w:val="007477AE"/>
    <w:rsid w:val="00751BCC"/>
    <w:rsid w:val="00752893"/>
    <w:rsid w:val="007571D6"/>
    <w:rsid w:val="00761EDB"/>
    <w:rsid w:val="007629F4"/>
    <w:rsid w:val="00766FED"/>
    <w:rsid w:val="007718C2"/>
    <w:rsid w:val="00772F5D"/>
    <w:rsid w:val="00773FEF"/>
    <w:rsid w:val="007800D1"/>
    <w:rsid w:val="007803DD"/>
    <w:rsid w:val="007935DE"/>
    <w:rsid w:val="00797338"/>
    <w:rsid w:val="00797E9A"/>
    <w:rsid w:val="007A39E1"/>
    <w:rsid w:val="007A4C76"/>
    <w:rsid w:val="007A5232"/>
    <w:rsid w:val="007A6D9D"/>
    <w:rsid w:val="007B1F16"/>
    <w:rsid w:val="007B25EC"/>
    <w:rsid w:val="007B454D"/>
    <w:rsid w:val="007C098B"/>
    <w:rsid w:val="007C1C18"/>
    <w:rsid w:val="007C753D"/>
    <w:rsid w:val="007D6658"/>
    <w:rsid w:val="007D69E7"/>
    <w:rsid w:val="007D7849"/>
    <w:rsid w:val="007E1AB5"/>
    <w:rsid w:val="007E2F9C"/>
    <w:rsid w:val="007E3905"/>
    <w:rsid w:val="007E6E49"/>
    <w:rsid w:val="007F294A"/>
    <w:rsid w:val="0080326C"/>
    <w:rsid w:val="00804993"/>
    <w:rsid w:val="0080510B"/>
    <w:rsid w:val="008069F5"/>
    <w:rsid w:val="00807DB4"/>
    <w:rsid w:val="00812B7B"/>
    <w:rsid w:val="00812EF7"/>
    <w:rsid w:val="00813AE9"/>
    <w:rsid w:val="00815FBB"/>
    <w:rsid w:val="0082062E"/>
    <w:rsid w:val="008274E5"/>
    <w:rsid w:val="00830FB8"/>
    <w:rsid w:val="00834B76"/>
    <w:rsid w:val="008464E6"/>
    <w:rsid w:val="00847749"/>
    <w:rsid w:val="00850CE2"/>
    <w:rsid w:val="0085113D"/>
    <w:rsid w:val="00852FE0"/>
    <w:rsid w:val="00853BCE"/>
    <w:rsid w:val="00854491"/>
    <w:rsid w:val="008545BE"/>
    <w:rsid w:val="00857C1C"/>
    <w:rsid w:val="00860CEE"/>
    <w:rsid w:val="008624E3"/>
    <w:rsid w:val="0086328E"/>
    <w:rsid w:val="00863A4C"/>
    <w:rsid w:val="008700C2"/>
    <w:rsid w:val="00870747"/>
    <w:rsid w:val="00872C0D"/>
    <w:rsid w:val="00875E5E"/>
    <w:rsid w:val="00876FB6"/>
    <w:rsid w:val="00877886"/>
    <w:rsid w:val="00880280"/>
    <w:rsid w:val="00881B88"/>
    <w:rsid w:val="00882ABA"/>
    <w:rsid w:val="0088710F"/>
    <w:rsid w:val="00887B1C"/>
    <w:rsid w:val="00887C9E"/>
    <w:rsid w:val="00890D56"/>
    <w:rsid w:val="00891131"/>
    <w:rsid w:val="00891C9B"/>
    <w:rsid w:val="00892B3B"/>
    <w:rsid w:val="0089374A"/>
    <w:rsid w:val="008943A8"/>
    <w:rsid w:val="00897A14"/>
    <w:rsid w:val="008A32D5"/>
    <w:rsid w:val="008B165A"/>
    <w:rsid w:val="008B4715"/>
    <w:rsid w:val="008C1A2B"/>
    <w:rsid w:val="008C2396"/>
    <w:rsid w:val="008C3EF9"/>
    <w:rsid w:val="008C41D6"/>
    <w:rsid w:val="008C4BA6"/>
    <w:rsid w:val="008E2D20"/>
    <w:rsid w:val="008F36E2"/>
    <w:rsid w:val="008F555D"/>
    <w:rsid w:val="009010EE"/>
    <w:rsid w:val="00901104"/>
    <w:rsid w:val="009027A0"/>
    <w:rsid w:val="0090304E"/>
    <w:rsid w:val="00904B10"/>
    <w:rsid w:val="00905545"/>
    <w:rsid w:val="0090566D"/>
    <w:rsid w:val="00910007"/>
    <w:rsid w:val="0091279A"/>
    <w:rsid w:val="00912D9C"/>
    <w:rsid w:val="00914C40"/>
    <w:rsid w:val="009176D7"/>
    <w:rsid w:val="0092167D"/>
    <w:rsid w:val="0092223C"/>
    <w:rsid w:val="009271E7"/>
    <w:rsid w:val="00930E67"/>
    <w:rsid w:val="00931D3C"/>
    <w:rsid w:val="00943882"/>
    <w:rsid w:val="00953055"/>
    <w:rsid w:val="0095580C"/>
    <w:rsid w:val="00965508"/>
    <w:rsid w:val="0096638E"/>
    <w:rsid w:val="00966D63"/>
    <w:rsid w:val="00972462"/>
    <w:rsid w:val="009741B2"/>
    <w:rsid w:val="00974E24"/>
    <w:rsid w:val="00975CF9"/>
    <w:rsid w:val="0098194E"/>
    <w:rsid w:val="00984799"/>
    <w:rsid w:val="00985155"/>
    <w:rsid w:val="009929DD"/>
    <w:rsid w:val="009935AA"/>
    <w:rsid w:val="0099374E"/>
    <w:rsid w:val="009959E5"/>
    <w:rsid w:val="009A5E41"/>
    <w:rsid w:val="009B0D88"/>
    <w:rsid w:val="009B53A2"/>
    <w:rsid w:val="009B6352"/>
    <w:rsid w:val="009C12BE"/>
    <w:rsid w:val="009D1C93"/>
    <w:rsid w:val="009D4D22"/>
    <w:rsid w:val="009E529D"/>
    <w:rsid w:val="009E5D11"/>
    <w:rsid w:val="009F18BA"/>
    <w:rsid w:val="009F61B7"/>
    <w:rsid w:val="009F7CAD"/>
    <w:rsid w:val="00A00923"/>
    <w:rsid w:val="00A03580"/>
    <w:rsid w:val="00A04271"/>
    <w:rsid w:val="00A06826"/>
    <w:rsid w:val="00A12DEF"/>
    <w:rsid w:val="00A16F94"/>
    <w:rsid w:val="00A2228B"/>
    <w:rsid w:val="00A30237"/>
    <w:rsid w:val="00A34C3C"/>
    <w:rsid w:val="00A3569F"/>
    <w:rsid w:val="00A376D2"/>
    <w:rsid w:val="00A41AE1"/>
    <w:rsid w:val="00A463CB"/>
    <w:rsid w:val="00A54709"/>
    <w:rsid w:val="00A551AC"/>
    <w:rsid w:val="00A5522B"/>
    <w:rsid w:val="00A57480"/>
    <w:rsid w:val="00A63FDF"/>
    <w:rsid w:val="00A64C8E"/>
    <w:rsid w:val="00A73805"/>
    <w:rsid w:val="00A7423F"/>
    <w:rsid w:val="00A812AC"/>
    <w:rsid w:val="00A876D4"/>
    <w:rsid w:val="00A9200E"/>
    <w:rsid w:val="00A92676"/>
    <w:rsid w:val="00A94532"/>
    <w:rsid w:val="00A95608"/>
    <w:rsid w:val="00A95B5D"/>
    <w:rsid w:val="00A95F00"/>
    <w:rsid w:val="00AA1792"/>
    <w:rsid w:val="00AA315B"/>
    <w:rsid w:val="00AA5238"/>
    <w:rsid w:val="00AB3052"/>
    <w:rsid w:val="00AB4482"/>
    <w:rsid w:val="00AB4B98"/>
    <w:rsid w:val="00AB68B5"/>
    <w:rsid w:val="00AC04AD"/>
    <w:rsid w:val="00AC0E6C"/>
    <w:rsid w:val="00AC2205"/>
    <w:rsid w:val="00AC2888"/>
    <w:rsid w:val="00AC36E9"/>
    <w:rsid w:val="00AC5DAB"/>
    <w:rsid w:val="00AC6B3D"/>
    <w:rsid w:val="00AD054C"/>
    <w:rsid w:val="00AD18E1"/>
    <w:rsid w:val="00AD3DC3"/>
    <w:rsid w:val="00AD5B52"/>
    <w:rsid w:val="00AD6E67"/>
    <w:rsid w:val="00AD7581"/>
    <w:rsid w:val="00AE3563"/>
    <w:rsid w:val="00AE53A9"/>
    <w:rsid w:val="00AE6C37"/>
    <w:rsid w:val="00AF7EA6"/>
    <w:rsid w:val="00B016B0"/>
    <w:rsid w:val="00B02F16"/>
    <w:rsid w:val="00B03B3C"/>
    <w:rsid w:val="00B12BC4"/>
    <w:rsid w:val="00B13678"/>
    <w:rsid w:val="00B15F81"/>
    <w:rsid w:val="00B16CA3"/>
    <w:rsid w:val="00B174C2"/>
    <w:rsid w:val="00B17F12"/>
    <w:rsid w:val="00B22FE9"/>
    <w:rsid w:val="00B23DE0"/>
    <w:rsid w:val="00B2575D"/>
    <w:rsid w:val="00B264D8"/>
    <w:rsid w:val="00B329B5"/>
    <w:rsid w:val="00B330AA"/>
    <w:rsid w:val="00B34550"/>
    <w:rsid w:val="00B346A3"/>
    <w:rsid w:val="00B40633"/>
    <w:rsid w:val="00B408EE"/>
    <w:rsid w:val="00B452A2"/>
    <w:rsid w:val="00B507A5"/>
    <w:rsid w:val="00B53D19"/>
    <w:rsid w:val="00B56D13"/>
    <w:rsid w:val="00B60D70"/>
    <w:rsid w:val="00B62B3E"/>
    <w:rsid w:val="00B65304"/>
    <w:rsid w:val="00B66441"/>
    <w:rsid w:val="00B70CAA"/>
    <w:rsid w:val="00B76236"/>
    <w:rsid w:val="00B803B0"/>
    <w:rsid w:val="00B80718"/>
    <w:rsid w:val="00B8384B"/>
    <w:rsid w:val="00B861E3"/>
    <w:rsid w:val="00B8651E"/>
    <w:rsid w:val="00B87480"/>
    <w:rsid w:val="00B976B3"/>
    <w:rsid w:val="00BA1274"/>
    <w:rsid w:val="00BA3D91"/>
    <w:rsid w:val="00BA4E2D"/>
    <w:rsid w:val="00BB0A84"/>
    <w:rsid w:val="00BB19CE"/>
    <w:rsid w:val="00BB328D"/>
    <w:rsid w:val="00BB690D"/>
    <w:rsid w:val="00BB7038"/>
    <w:rsid w:val="00BB77DA"/>
    <w:rsid w:val="00BB7B5C"/>
    <w:rsid w:val="00BC0A31"/>
    <w:rsid w:val="00BC6098"/>
    <w:rsid w:val="00BD1EE7"/>
    <w:rsid w:val="00BD3102"/>
    <w:rsid w:val="00BD6588"/>
    <w:rsid w:val="00BE1FAE"/>
    <w:rsid w:val="00BE3317"/>
    <w:rsid w:val="00BE4ADD"/>
    <w:rsid w:val="00BF1F4D"/>
    <w:rsid w:val="00BF38B4"/>
    <w:rsid w:val="00BF7D54"/>
    <w:rsid w:val="00C0040D"/>
    <w:rsid w:val="00C06A95"/>
    <w:rsid w:val="00C11CE4"/>
    <w:rsid w:val="00C1282F"/>
    <w:rsid w:val="00C15A71"/>
    <w:rsid w:val="00C15F3C"/>
    <w:rsid w:val="00C160EF"/>
    <w:rsid w:val="00C17637"/>
    <w:rsid w:val="00C17DA9"/>
    <w:rsid w:val="00C20561"/>
    <w:rsid w:val="00C212DE"/>
    <w:rsid w:val="00C2378F"/>
    <w:rsid w:val="00C23D8C"/>
    <w:rsid w:val="00C240D9"/>
    <w:rsid w:val="00C25612"/>
    <w:rsid w:val="00C32249"/>
    <w:rsid w:val="00C32D33"/>
    <w:rsid w:val="00C333D8"/>
    <w:rsid w:val="00C3767F"/>
    <w:rsid w:val="00C40D00"/>
    <w:rsid w:val="00C46B56"/>
    <w:rsid w:val="00C50A1B"/>
    <w:rsid w:val="00C513D2"/>
    <w:rsid w:val="00C560CF"/>
    <w:rsid w:val="00C5734D"/>
    <w:rsid w:val="00C61EF0"/>
    <w:rsid w:val="00C63141"/>
    <w:rsid w:val="00C67E82"/>
    <w:rsid w:val="00C7059F"/>
    <w:rsid w:val="00C706BB"/>
    <w:rsid w:val="00C7113B"/>
    <w:rsid w:val="00C731C6"/>
    <w:rsid w:val="00C74969"/>
    <w:rsid w:val="00C80225"/>
    <w:rsid w:val="00C82602"/>
    <w:rsid w:val="00C83B61"/>
    <w:rsid w:val="00C84BC7"/>
    <w:rsid w:val="00C867EB"/>
    <w:rsid w:val="00C925E4"/>
    <w:rsid w:val="00C95605"/>
    <w:rsid w:val="00CA334F"/>
    <w:rsid w:val="00CA50C8"/>
    <w:rsid w:val="00CB0A5A"/>
    <w:rsid w:val="00CB3C1D"/>
    <w:rsid w:val="00CB55FC"/>
    <w:rsid w:val="00CB7C0C"/>
    <w:rsid w:val="00CC27FB"/>
    <w:rsid w:val="00CC61F1"/>
    <w:rsid w:val="00CD09EC"/>
    <w:rsid w:val="00CD0AC1"/>
    <w:rsid w:val="00CD223F"/>
    <w:rsid w:val="00CD4020"/>
    <w:rsid w:val="00CD51AC"/>
    <w:rsid w:val="00CD5505"/>
    <w:rsid w:val="00CD65BE"/>
    <w:rsid w:val="00CE140D"/>
    <w:rsid w:val="00CE4E6C"/>
    <w:rsid w:val="00CE7770"/>
    <w:rsid w:val="00CE77E3"/>
    <w:rsid w:val="00CE7866"/>
    <w:rsid w:val="00CE7941"/>
    <w:rsid w:val="00CF4B95"/>
    <w:rsid w:val="00D016BD"/>
    <w:rsid w:val="00D02420"/>
    <w:rsid w:val="00D11DEE"/>
    <w:rsid w:val="00D14C11"/>
    <w:rsid w:val="00D1758E"/>
    <w:rsid w:val="00D23541"/>
    <w:rsid w:val="00D243FF"/>
    <w:rsid w:val="00D24602"/>
    <w:rsid w:val="00D3020E"/>
    <w:rsid w:val="00D31D9E"/>
    <w:rsid w:val="00D33D0C"/>
    <w:rsid w:val="00D3458F"/>
    <w:rsid w:val="00D40212"/>
    <w:rsid w:val="00D43A30"/>
    <w:rsid w:val="00D43B57"/>
    <w:rsid w:val="00D43FB9"/>
    <w:rsid w:val="00D45A5C"/>
    <w:rsid w:val="00D51401"/>
    <w:rsid w:val="00D5572B"/>
    <w:rsid w:val="00D62ED9"/>
    <w:rsid w:val="00D63954"/>
    <w:rsid w:val="00D67BDC"/>
    <w:rsid w:val="00D702DB"/>
    <w:rsid w:val="00D731BF"/>
    <w:rsid w:val="00D7698B"/>
    <w:rsid w:val="00D771CA"/>
    <w:rsid w:val="00D82C1B"/>
    <w:rsid w:val="00D84F1F"/>
    <w:rsid w:val="00D91073"/>
    <w:rsid w:val="00D915AD"/>
    <w:rsid w:val="00D91D01"/>
    <w:rsid w:val="00D926C3"/>
    <w:rsid w:val="00DA08F8"/>
    <w:rsid w:val="00DA3B20"/>
    <w:rsid w:val="00DA4A31"/>
    <w:rsid w:val="00DA4B2D"/>
    <w:rsid w:val="00DA58C4"/>
    <w:rsid w:val="00DA6D10"/>
    <w:rsid w:val="00DA7705"/>
    <w:rsid w:val="00DB3B69"/>
    <w:rsid w:val="00DB3DC2"/>
    <w:rsid w:val="00DB6362"/>
    <w:rsid w:val="00DC15AE"/>
    <w:rsid w:val="00DC32DB"/>
    <w:rsid w:val="00DC43F5"/>
    <w:rsid w:val="00DC68E2"/>
    <w:rsid w:val="00DC776C"/>
    <w:rsid w:val="00DD2E02"/>
    <w:rsid w:val="00DD7F78"/>
    <w:rsid w:val="00DE4362"/>
    <w:rsid w:val="00DE56B2"/>
    <w:rsid w:val="00DF0DF2"/>
    <w:rsid w:val="00DF22AE"/>
    <w:rsid w:val="00E04147"/>
    <w:rsid w:val="00E05A30"/>
    <w:rsid w:val="00E11983"/>
    <w:rsid w:val="00E1345D"/>
    <w:rsid w:val="00E136CE"/>
    <w:rsid w:val="00E25AF1"/>
    <w:rsid w:val="00E26F8B"/>
    <w:rsid w:val="00E309B9"/>
    <w:rsid w:val="00E321A8"/>
    <w:rsid w:val="00E32682"/>
    <w:rsid w:val="00E34DC5"/>
    <w:rsid w:val="00E464C2"/>
    <w:rsid w:val="00E46D7E"/>
    <w:rsid w:val="00E46EFD"/>
    <w:rsid w:val="00E4719A"/>
    <w:rsid w:val="00E47B27"/>
    <w:rsid w:val="00E50A6C"/>
    <w:rsid w:val="00E50D77"/>
    <w:rsid w:val="00E53019"/>
    <w:rsid w:val="00E600E9"/>
    <w:rsid w:val="00E6037F"/>
    <w:rsid w:val="00E6090E"/>
    <w:rsid w:val="00E709BA"/>
    <w:rsid w:val="00E75522"/>
    <w:rsid w:val="00E76C7A"/>
    <w:rsid w:val="00E83F7F"/>
    <w:rsid w:val="00E85A44"/>
    <w:rsid w:val="00E96581"/>
    <w:rsid w:val="00E97C20"/>
    <w:rsid w:val="00EA33B4"/>
    <w:rsid w:val="00EA3814"/>
    <w:rsid w:val="00EB2BE5"/>
    <w:rsid w:val="00EB4F2A"/>
    <w:rsid w:val="00EB59A4"/>
    <w:rsid w:val="00EB71CC"/>
    <w:rsid w:val="00ED1922"/>
    <w:rsid w:val="00ED2F62"/>
    <w:rsid w:val="00EE0153"/>
    <w:rsid w:val="00EE03AB"/>
    <w:rsid w:val="00EE1894"/>
    <w:rsid w:val="00EE1ED2"/>
    <w:rsid w:val="00EE456A"/>
    <w:rsid w:val="00EE5AEA"/>
    <w:rsid w:val="00EF0A4B"/>
    <w:rsid w:val="00EF1FC7"/>
    <w:rsid w:val="00EF3D25"/>
    <w:rsid w:val="00EF6BF3"/>
    <w:rsid w:val="00F03806"/>
    <w:rsid w:val="00F0393C"/>
    <w:rsid w:val="00F050C0"/>
    <w:rsid w:val="00F30F87"/>
    <w:rsid w:val="00F32AC2"/>
    <w:rsid w:val="00F35BBF"/>
    <w:rsid w:val="00F41AE4"/>
    <w:rsid w:val="00F41E35"/>
    <w:rsid w:val="00F42569"/>
    <w:rsid w:val="00F44372"/>
    <w:rsid w:val="00F47240"/>
    <w:rsid w:val="00F47F7C"/>
    <w:rsid w:val="00F5081C"/>
    <w:rsid w:val="00F51977"/>
    <w:rsid w:val="00F53340"/>
    <w:rsid w:val="00F608A8"/>
    <w:rsid w:val="00F634B5"/>
    <w:rsid w:val="00F676DC"/>
    <w:rsid w:val="00F7201C"/>
    <w:rsid w:val="00F731B4"/>
    <w:rsid w:val="00F74D34"/>
    <w:rsid w:val="00F750C8"/>
    <w:rsid w:val="00F812CE"/>
    <w:rsid w:val="00F84748"/>
    <w:rsid w:val="00F84F5E"/>
    <w:rsid w:val="00F8500C"/>
    <w:rsid w:val="00F92CFF"/>
    <w:rsid w:val="00FA1841"/>
    <w:rsid w:val="00FA4356"/>
    <w:rsid w:val="00FA54D5"/>
    <w:rsid w:val="00FB0997"/>
    <w:rsid w:val="00FB3AFE"/>
    <w:rsid w:val="00FC553B"/>
    <w:rsid w:val="00FC667A"/>
    <w:rsid w:val="00FD0D47"/>
    <w:rsid w:val="00FD18CD"/>
    <w:rsid w:val="00FD4ACE"/>
    <w:rsid w:val="00FD4F74"/>
    <w:rsid w:val="00FD4FFF"/>
    <w:rsid w:val="00FD7706"/>
    <w:rsid w:val="00FE0453"/>
    <w:rsid w:val="00FE1455"/>
    <w:rsid w:val="00FE16AD"/>
    <w:rsid w:val="00FE1CEA"/>
    <w:rsid w:val="00FE6388"/>
    <w:rsid w:val="00FE6FA4"/>
    <w:rsid w:val="00FF0417"/>
    <w:rsid w:val="00FF0656"/>
    <w:rsid w:val="00FF2453"/>
    <w:rsid w:val="00FF62E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2349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D7698B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7698B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7655"/>
      </w:tabs>
      <w:ind w:right="271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7655"/>
      </w:tabs>
      <w:ind w:right="271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7655"/>
      </w:tabs>
      <w:ind w:right="271"/>
      <w:jc w:val="both"/>
    </w:pPr>
    <w:rPr>
      <w:b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rmTitle">
    <w:name w:val="Form Title"/>
    <w:pPr>
      <w:spacing w:before="420" w:after="140" w:line="280" w:lineRule="atLeast"/>
      <w:jc w:val="center"/>
    </w:pPr>
    <w:rPr>
      <w:rFonts w:ascii="Arial" w:hAnsi="Arial" w:cs="Arial"/>
      <w:b/>
      <w:caps/>
      <w:szCs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AB68B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935AA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5C48F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7698B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D7698B"/>
    <w:rPr>
      <w:rFonts w:ascii="Times New Roman" w:hAnsi="Times New Roman"/>
      <w:b/>
    </w:rPr>
  </w:style>
  <w:style w:type="table" w:styleId="TableGrid">
    <w:name w:val="Table Grid"/>
    <w:basedOn w:val="TableNormal"/>
    <w:uiPriority w:val="59"/>
    <w:rsid w:val="00DA4B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mSchNo">
    <w:name w:val="CharAmSchNo"/>
    <w:basedOn w:val="DefaultParagraphFont"/>
    <w:uiPriority w:val="2"/>
    <w:semiHidden/>
    <w:qFormat/>
    <w:rsid w:val="00705897"/>
  </w:style>
  <w:style w:type="paragraph" w:customStyle="1" w:styleId="SH1">
    <w:name w:val="SH 1"/>
    <w:basedOn w:val="Normal"/>
    <w:autoRedefine/>
    <w:qFormat/>
    <w:rsid w:val="00705897"/>
    <w:pPr>
      <w:spacing w:before="200" w:line="280" w:lineRule="atLeast"/>
      <w:outlineLvl w:val="1"/>
    </w:pPr>
    <w:rPr>
      <w:rFonts w:eastAsia="Calibri"/>
      <w:b/>
      <w:sz w:val="32"/>
      <w:szCs w:val="32"/>
      <w:lang w:eastAsia="en-US"/>
    </w:rPr>
  </w:style>
  <w:style w:type="paragraph" w:customStyle="1" w:styleId="SHHeader">
    <w:name w:val="SH Header"/>
    <w:autoRedefine/>
    <w:uiPriority w:val="2"/>
    <w:qFormat/>
    <w:rsid w:val="00705897"/>
    <w:rPr>
      <w:rFonts w:ascii="Times New Roman" w:eastAsia="Calibri" w:hAnsi="Times New Roman"/>
      <w:b/>
      <w:color w:val="000000"/>
      <w:sz w:val="22"/>
      <w:szCs w:val="22"/>
      <w:lang w:eastAsia="en-US"/>
    </w:rPr>
  </w:style>
  <w:style w:type="paragraph" w:customStyle="1" w:styleId="ItemHead">
    <w:name w:val="ItemHead"/>
    <w:aliases w:val="ih"/>
    <w:basedOn w:val="Normal"/>
    <w:next w:val="Normal"/>
    <w:rsid w:val="00705897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character" w:styleId="CommentReference">
    <w:name w:val="annotation reference"/>
    <w:basedOn w:val="DefaultParagraphFont"/>
    <w:semiHidden/>
    <w:unhideWhenUsed/>
    <w:rsid w:val="001A15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15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54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154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law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8700-4AD2-46A1-A0E4-5CFFF9BC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2021-11-01T07:05:00Z</dcterms:created>
  <dcterms:modified xsi:type="dcterms:W3CDTF">2021-11-01T10:51:00Z</dcterms:modified>
</cp:coreProperties>
</file>