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FF62E2" w:rsidRPr="00FE0453">
        <w:rPr>
          <w:b/>
        </w:rPr>
        <w:t>1</w:t>
      </w:r>
      <w:r w:rsidR="00EE0153">
        <w:rPr>
          <w:b/>
        </w:rPr>
        <w:t>7</w:t>
      </w:r>
      <w:r w:rsidR="00D43B57" w:rsidRPr="00FE0453">
        <w:rPr>
          <w:b/>
        </w:rPr>
        <w:t xml:space="preserve"> </w:t>
      </w:r>
      <w:r w:rsidR="00912D9C">
        <w:rPr>
          <w:b/>
        </w:rPr>
        <w:t xml:space="preserve">to </w:t>
      </w:r>
      <w:r w:rsidR="00EE0153">
        <w:rPr>
          <w:b/>
        </w:rPr>
        <w:t>44</w:t>
      </w:r>
      <w:r w:rsidRPr="00FE0453">
        <w:rPr>
          <w:b/>
        </w:rPr>
        <w:t xml:space="preserve"> </w:t>
      </w:r>
      <w:r w:rsidR="00CD65BE">
        <w:rPr>
          <w:b/>
        </w:rPr>
        <w:t>of</w:t>
      </w:r>
      <w:r w:rsidRPr="00FE0453">
        <w:rPr>
          <w:b/>
        </w:rPr>
        <w:t xml:space="preserve"> 201</w:t>
      </w:r>
      <w:r w:rsidR="00FF62E2" w:rsidRPr="00FE0453">
        <w:rPr>
          <w:b/>
        </w:rPr>
        <w:t>9</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2E0408" w:rsidRPr="00FE0453" w:rsidRDefault="002E0408" w:rsidP="002E0408">
      <w:pPr>
        <w:tabs>
          <w:tab w:val="left" w:pos="2410"/>
          <w:tab w:val="left" w:pos="7655"/>
        </w:tabs>
        <w:jc w:val="both"/>
      </w:pPr>
      <w:r w:rsidRPr="00FE0453">
        <w:t xml:space="preserve">Statements of Principles Nos. </w:t>
      </w:r>
      <w:r w:rsidR="00FF62E2" w:rsidRPr="00FE0453">
        <w:t>1</w:t>
      </w:r>
      <w:r w:rsidR="00EE0153">
        <w:t>7</w:t>
      </w:r>
      <w:r w:rsidR="00F74D34" w:rsidRPr="00FE0453">
        <w:t xml:space="preserve"> </w:t>
      </w:r>
      <w:r w:rsidRPr="00FE0453">
        <w:t xml:space="preserve">to </w:t>
      </w:r>
      <w:r w:rsidR="00EE0153">
        <w:t>44</w:t>
      </w:r>
      <w:r w:rsidRPr="00FE0453">
        <w:t xml:space="preserve"> of 201</w:t>
      </w:r>
      <w:r w:rsidR="00FF62E2" w:rsidRPr="00FE0453">
        <w:t>9</w:t>
      </w:r>
      <w:r w:rsidR="00367E28" w:rsidRPr="00FE0453">
        <w:t xml:space="preserve"> </w:t>
      </w:r>
      <w:r w:rsidRPr="00FE0453">
        <w:t xml:space="preserve">were signed by the Chairperson of the Repatriation Medical Authority (the Authority) on </w:t>
      </w:r>
      <w:r w:rsidR="00FF62E2" w:rsidRPr="00FE0453">
        <w:t>1</w:t>
      </w:r>
      <w:r w:rsidR="00360FCF" w:rsidRPr="00FE0453">
        <w:t xml:space="preserve"> </w:t>
      </w:r>
      <w:r w:rsidR="00EE0153">
        <w:t xml:space="preserve">March </w:t>
      </w:r>
      <w:r w:rsidR="00BB7B5C" w:rsidRPr="00FE0453">
        <w:t>201</w:t>
      </w:r>
      <w:r w:rsidR="00EE0153">
        <w:t>9</w:t>
      </w:r>
      <w:r w:rsidRPr="00FE0453">
        <w:t xml:space="preserve">. </w:t>
      </w:r>
    </w:p>
    <w:p w:rsidR="002E0408" w:rsidRPr="00FE0453" w:rsidRDefault="002E0408" w:rsidP="002E0408">
      <w:pPr>
        <w:tabs>
          <w:tab w:val="left" w:pos="2410"/>
          <w:tab w:val="left" w:pos="7655"/>
        </w:tabs>
        <w:jc w:val="both"/>
      </w:pPr>
    </w:p>
    <w:p w:rsidR="00B803B0" w:rsidRDefault="002E0408" w:rsidP="00B803B0">
      <w:pPr>
        <w:tabs>
          <w:tab w:val="left" w:pos="2410"/>
          <w:tab w:val="left" w:pos="7655"/>
        </w:tabs>
        <w:jc w:val="both"/>
      </w:pPr>
      <w:r w:rsidRPr="00FE0453">
        <w:t xml:space="preserve">The Instruments have been lodged and registered with the Federal Register of Legislation, pursuant to section 15G of the </w:t>
      </w:r>
      <w:r w:rsidRPr="00FE0453">
        <w:rPr>
          <w:i/>
        </w:rPr>
        <w:t xml:space="preserve">Legislation Act 2003 </w:t>
      </w:r>
      <w:r w:rsidRPr="00FE0453">
        <w:t xml:space="preserve">(Legislation Act).  </w:t>
      </w:r>
      <w:r w:rsidR="00EE0153" w:rsidRPr="004C50BC">
        <w:t xml:space="preserve">The day of commencement as specified in each of the </w:t>
      </w:r>
      <w:r w:rsidR="00EE0153">
        <w:t xml:space="preserve">Instruments </w:t>
      </w:r>
      <w:r w:rsidR="00EE0153" w:rsidRPr="004C50BC">
        <w:t xml:space="preserve">is </w:t>
      </w:r>
      <w:r w:rsidR="00A41AE1">
        <w:t>25 March</w:t>
      </w:r>
      <w:r w:rsidR="00EE0153">
        <w:t xml:space="preserve"> 2019</w:t>
      </w:r>
      <w:r w:rsidR="00EE0153" w:rsidRPr="004C50BC">
        <w:t>.</w:t>
      </w:r>
      <w:r w:rsidR="00DD2E02" w:rsidRPr="00FE0453">
        <w:t xml:space="preserve"> </w:t>
      </w:r>
      <w:r w:rsidR="00EE0153">
        <w:t xml:space="preserve">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7A6D9D" w:rsidP="004669F2">
      <w:pPr>
        <w:tabs>
          <w:tab w:val="left" w:pos="2410"/>
          <w:tab w:val="left" w:pos="7655"/>
        </w:tabs>
        <w:rPr>
          <w:sz w:val="16"/>
        </w:rPr>
      </w:pPr>
      <w:r>
        <w:t>8</w:t>
      </w:r>
      <w:r w:rsidR="000B27C3">
        <w:t xml:space="preserve"> </w:t>
      </w:r>
      <w:r>
        <w:t>March</w:t>
      </w:r>
      <w:r w:rsidR="00870747">
        <w:t xml:space="preserve"> 201</w:t>
      </w:r>
      <w:r w:rsidR="00FF62E2">
        <w:t>9</w:t>
      </w:r>
      <w:r w:rsidR="00744EEC" w:rsidRPr="0080326C">
        <w:br w:type="page"/>
      </w:r>
    </w:p>
    <w:p w:rsidR="00191676" w:rsidRPr="0080326C" w:rsidRDefault="00744EEC">
      <w:pPr>
        <w:pStyle w:val="Header"/>
        <w:jc w:val="center"/>
        <w:outlineLvl w:val="0"/>
        <w:rPr>
          <w:b/>
        </w:rPr>
      </w:pPr>
      <w:r w:rsidRPr="0080326C">
        <w:rPr>
          <w:b/>
        </w:rPr>
        <w:lastRenderedPageBreak/>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FF62E2" w:rsidP="00C160EF">
            <w:pPr>
              <w:rPr>
                <w:szCs w:val="24"/>
              </w:rPr>
            </w:pPr>
            <w:r>
              <w:rPr>
                <w:szCs w:val="24"/>
              </w:rPr>
              <w:t>1</w:t>
            </w:r>
            <w:r w:rsidR="00C160EF">
              <w:rPr>
                <w:szCs w:val="24"/>
              </w:rPr>
              <w:t>7</w:t>
            </w:r>
            <w:r w:rsidR="00DE56B2">
              <w:rPr>
                <w:szCs w:val="24"/>
              </w:rPr>
              <w:t xml:space="preserve"> &amp; </w:t>
            </w:r>
            <w:r w:rsidR="00C160EF">
              <w:rPr>
                <w:szCs w:val="24"/>
              </w:rPr>
              <w:t>18</w:t>
            </w:r>
            <w:r w:rsidR="00DE56B2">
              <w:rPr>
                <w:szCs w:val="24"/>
              </w:rPr>
              <w:t>/201</w:t>
            </w:r>
            <w:r>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6076A6" w:rsidP="00DE56B2">
            <w:r w:rsidRPr="006076A6">
              <w:t>methaemoglobinaemia</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6076A6" w:rsidP="006076A6">
            <w:pPr>
              <w:rPr>
                <w:szCs w:val="24"/>
              </w:rPr>
            </w:pPr>
            <w:r>
              <w:rPr>
                <w:szCs w:val="24"/>
              </w:rPr>
              <w:t>01</w:t>
            </w:r>
            <w:r w:rsidR="00DE56B2">
              <w:rPr>
                <w:szCs w:val="24"/>
              </w:rPr>
              <w:t>/</w:t>
            </w:r>
            <w:r w:rsidR="00FF62E2">
              <w:rPr>
                <w:szCs w:val="24"/>
              </w:rPr>
              <w:t>0</w:t>
            </w:r>
            <w:r>
              <w:rPr>
                <w:szCs w:val="24"/>
              </w:rPr>
              <w:t>4</w:t>
            </w:r>
            <w:r w:rsidR="00DE56B2">
              <w:rPr>
                <w:szCs w:val="24"/>
              </w:rPr>
              <w:t>/201</w:t>
            </w:r>
            <w:r w:rsidR="00FF62E2">
              <w:rPr>
                <w:szCs w:val="24"/>
              </w:rPr>
              <w:t>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6076A6" w:rsidP="00DE56B2">
            <w:pPr>
              <w:rPr>
                <w:szCs w:val="24"/>
              </w:rPr>
            </w:pPr>
            <w:r w:rsidRPr="006076A6">
              <w:rPr>
                <w:szCs w:val="24"/>
              </w:rPr>
              <w:t>D74</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BB7B5C" w:rsidRDefault="00DE56B2" w:rsidP="00DE56B2"/>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C160EF" w:rsidP="00C160EF">
            <w:pPr>
              <w:rPr>
                <w:szCs w:val="24"/>
              </w:rPr>
            </w:pPr>
            <w:r>
              <w:rPr>
                <w:szCs w:val="24"/>
              </w:rPr>
              <w:t>19</w:t>
            </w:r>
            <w:r w:rsidR="00DE56B2">
              <w:rPr>
                <w:szCs w:val="24"/>
              </w:rPr>
              <w:t xml:space="preserve"> &amp; </w:t>
            </w:r>
            <w:r>
              <w:rPr>
                <w:szCs w:val="24"/>
              </w:rPr>
              <w:t>20</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6076A6" w:rsidP="00DE56B2">
            <w:r w:rsidRPr="006076A6">
              <w:t>dental malocclusion</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6076A6" w:rsidP="00DE56B2">
            <w:pPr>
              <w:rPr>
                <w:szCs w:val="24"/>
              </w:rPr>
            </w:pPr>
            <w:r w:rsidRPr="006076A6">
              <w:rPr>
                <w:szCs w:val="24"/>
              </w:rPr>
              <w:t>K07.2 or K07.4</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C160EF" w:rsidP="00C160EF">
            <w:pPr>
              <w:rPr>
                <w:szCs w:val="24"/>
              </w:rPr>
            </w:pPr>
            <w:r>
              <w:rPr>
                <w:szCs w:val="24"/>
              </w:rPr>
              <w:t>21</w:t>
            </w:r>
            <w:r w:rsidR="00DE56B2">
              <w:rPr>
                <w:szCs w:val="24"/>
              </w:rPr>
              <w:t xml:space="preserve"> &amp; </w:t>
            </w:r>
            <w:r>
              <w:rPr>
                <w:szCs w:val="24"/>
              </w:rPr>
              <w:t>22</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6076A6" w:rsidP="006076A6">
            <w:r>
              <w:t>acute articular cartilage tear</w:t>
            </w:r>
          </w:p>
        </w:tc>
        <w:tc>
          <w:tcPr>
            <w:tcW w:w="1984" w:type="dxa"/>
            <w:tcBorders>
              <w:top w:val="single" w:sz="6" w:space="0" w:color="auto"/>
              <w:left w:val="single" w:sz="6" w:space="0" w:color="auto"/>
              <w:bottom w:val="single" w:sz="6" w:space="0" w:color="auto"/>
              <w:right w:val="single" w:sz="6" w:space="0" w:color="auto"/>
            </w:tcBorders>
          </w:tcPr>
          <w:p w:rsidR="00DE56B2"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6076A6" w:rsidP="00DE56B2">
            <w:pPr>
              <w:rPr>
                <w:szCs w:val="24"/>
              </w:rPr>
            </w:pPr>
            <w:r>
              <w:rPr>
                <w:szCs w:val="24"/>
              </w:rPr>
              <w:t>Nil</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C160EF" w:rsidP="00C160EF">
            <w:pPr>
              <w:rPr>
                <w:szCs w:val="24"/>
              </w:rPr>
            </w:pPr>
            <w:r>
              <w:rPr>
                <w:szCs w:val="24"/>
              </w:rPr>
              <w:t>23</w:t>
            </w:r>
            <w:r w:rsidR="00DE56B2">
              <w:rPr>
                <w:szCs w:val="24"/>
              </w:rPr>
              <w:t xml:space="preserve"> &amp; </w:t>
            </w:r>
            <w:r>
              <w:rPr>
                <w:szCs w:val="24"/>
              </w:rPr>
              <w:t>24/</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Default="006076A6" w:rsidP="00DE56B2">
            <w:r w:rsidRPr="006076A6">
              <w:t>sinus barotrauma</w:t>
            </w:r>
          </w:p>
        </w:tc>
        <w:tc>
          <w:tcPr>
            <w:tcW w:w="1984" w:type="dxa"/>
            <w:tcBorders>
              <w:top w:val="single" w:sz="6" w:space="0" w:color="auto"/>
              <w:left w:val="single" w:sz="6" w:space="0" w:color="auto"/>
              <w:bottom w:val="single" w:sz="6" w:space="0" w:color="auto"/>
              <w:right w:val="single" w:sz="6" w:space="0" w:color="auto"/>
            </w:tcBorders>
          </w:tcPr>
          <w:p w:rsidR="00DE56B2"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6076A6" w:rsidP="00DE56B2">
            <w:pPr>
              <w:rPr>
                <w:szCs w:val="24"/>
              </w:rPr>
            </w:pPr>
            <w:r w:rsidRPr="006076A6">
              <w:rPr>
                <w:szCs w:val="24"/>
              </w:rPr>
              <w:t>T70.1</w:t>
            </w: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FF62E2" w:rsidP="00FF62E2">
            <w:pPr>
              <w:rPr>
                <w:szCs w:val="24"/>
              </w:rPr>
            </w:pP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FF62E2" w:rsidP="00DE56B2"/>
        </w:tc>
        <w:tc>
          <w:tcPr>
            <w:tcW w:w="1984" w:type="dxa"/>
            <w:tcBorders>
              <w:top w:val="single" w:sz="6" w:space="0" w:color="auto"/>
              <w:left w:val="single" w:sz="6" w:space="0" w:color="auto"/>
              <w:bottom w:val="single" w:sz="6" w:space="0" w:color="auto"/>
              <w:right w:val="single" w:sz="6" w:space="0" w:color="auto"/>
            </w:tcBorders>
          </w:tcPr>
          <w:p w:rsidR="00FF62E2" w:rsidRDefault="00FF62E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FF62E2" w:rsidP="00DE56B2">
            <w:pPr>
              <w:rPr>
                <w:szCs w:val="24"/>
              </w:rPr>
            </w:pP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C160EF" w:rsidP="00C160EF">
            <w:pPr>
              <w:rPr>
                <w:szCs w:val="24"/>
              </w:rPr>
            </w:pPr>
            <w:r>
              <w:rPr>
                <w:szCs w:val="24"/>
              </w:rPr>
              <w:t>25</w:t>
            </w:r>
            <w:r w:rsidR="00FF62E2">
              <w:rPr>
                <w:szCs w:val="24"/>
              </w:rPr>
              <w:t xml:space="preserve"> &amp; </w:t>
            </w:r>
            <w:r>
              <w:rPr>
                <w:szCs w:val="24"/>
              </w:rPr>
              <w:t>26</w:t>
            </w:r>
            <w:r w:rsidR="00FF62E2">
              <w:rPr>
                <w:szCs w:val="24"/>
              </w:rPr>
              <w:t>/2019</w:t>
            </w:r>
          </w:p>
        </w:tc>
        <w:tc>
          <w:tcPr>
            <w:tcW w:w="2835" w:type="dxa"/>
            <w:tcBorders>
              <w:top w:val="single" w:sz="6" w:space="0" w:color="auto"/>
              <w:left w:val="single" w:sz="6" w:space="0" w:color="auto"/>
              <w:bottom w:val="single" w:sz="6" w:space="0" w:color="auto"/>
              <w:right w:val="single" w:sz="6" w:space="0" w:color="auto"/>
            </w:tcBorders>
          </w:tcPr>
          <w:p w:rsidR="006076A6" w:rsidRDefault="006076A6" w:rsidP="006076A6">
            <w:r>
              <w:t xml:space="preserve">acute meniscal tear of the </w:t>
            </w:r>
          </w:p>
          <w:p w:rsidR="00FF62E2" w:rsidRPr="00BE4E80" w:rsidRDefault="006076A6" w:rsidP="006076A6">
            <w:r>
              <w:t>knee</w:t>
            </w:r>
          </w:p>
        </w:tc>
        <w:tc>
          <w:tcPr>
            <w:tcW w:w="1984" w:type="dxa"/>
            <w:tcBorders>
              <w:top w:val="single" w:sz="6" w:space="0" w:color="auto"/>
              <w:left w:val="single" w:sz="6" w:space="0" w:color="auto"/>
              <w:bottom w:val="single" w:sz="6" w:space="0" w:color="auto"/>
              <w:right w:val="single" w:sz="6" w:space="0" w:color="auto"/>
            </w:tcBorders>
          </w:tcPr>
          <w:p w:rsidR="00FF62E2"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9E529D" w:rsidP="00DE56B2">
            <w:pPr>
              <w:rPr>
                <w:szCs w:val="24"/>
              </w:rPr>
            </w:pPr>
            <w:r w:rsidRPr="009E529D">
              <w:rPr>
                <w:szCs w:val="24"/>
              </w:rPr>
              <w:t>S83.2</w:t>
            </w: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FF62E2" w:rsidP="00FF62E2">
            <w:pPr>
              <w:rPr>
                <w:szCs w:val="24"/>
              </w:rPr>
            </w:pP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FF62E2" w:rsidP="00DE56B2"/>
        </w:tc>
        <w:tc>
          <w:tcPr>
            <w:tcW w:w="1984" w:type="dxa"/>
            <w:tcBorders>
              <w:top w:val="single" w:sz="6" w:space="0" w:color="auto"/>
              <w:left w:val="single" w:sz="6" w:space="0" w:color="auto"/>
              <w:bottom w:val="single" w:sz="6" w:space="0" w:color="auto"/>
              <w:right w:val="single" w:sz="6" w:space="0" w:color="auto"/>
            </w:tcBorders>
          </w:tcPr>
          <w:p w:rsidR="00FF62E2" w:rsidRDefault="00FF62E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FF62E2" w:rsidP="00DE56B2">
            <w:pPr>
              <w:rPr>
                <w:szCs w:val="24"/>
              </w:rPr>
            </w:pPr>
          </w:p>
        </w:tc>
      </w:tr>
      <w:tr w:rsidR="00FF62E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F62E2" w:rsidRDefault="00C160EF" w:rsidP="00C160EF">
            <w:pPr>
              <w:rPr>
                <w:szCs w:val="24"/>
              </w:rPr>
            </w:pPr>
            <w:r>
              <w:rPr>
                <w:szCs w:val="24"/>
              </w:rPr>
              <w:t>27</w:t>
            </w:r>
            <w:r w:rsidR="00FF62E2">
              <w:rPr>
                <w:szCs w:val="24"/>
              </w:rPr>
              <w:t xml:space="preserve"> &amp; 2</w:t>
            </w:r>
            <w:r>
              <w:rPr>
                <w:szCs w:val="24"/>
              </w:rPr>
              <w:t>8</w:t>
            </w:r>
            <w:r w:rsidR="00FF62E2">
              <w:rPr>
                <w:szCs w:val="24"/>
              </w:rPr>
              <w:t>/2019</w:t>
            </w:r>
          </w:p>
        </w:tc>
        <w:tc>
          <w:tcPr>
            <w:tcW w:w="2835" w:type="dxa"/>
            <w:tcBorders>
              <w:top w:val="single" w:sz="6" w:space="0" w:color="auto"/>
              <w:left w:val="single" w:sz="6" w:space="0" w:color="auto"/>
              <w:bottom w:val="single" w:sz="6" w:space="0" w:color="auto"/>
              <w:right w:val="single" w:sz="6" w:space="0" w:color="auto"/>
            </w:tcBorders>
          </w:tcPr>
          <w:p w:rsidR="00FF62E2" w:rsidRPr="00BE4E80" w:rsidRDefault="006076A6" w:rsidP="00DE56B2">
            <w:r w:rsidRPr="006076A6">
              <w:t>pilonidal sinus</w:t>
            </w:r>
          </w:p>
        </w:tc>
        <w:tc>
          <w:tcPr>
            <w:tcW w:w="1984" w:type="dxa"/>
            <w:tcBorders>
              <w:top w:val="single" w:sz="6" w:space="0" w:color="auto"/>
              <w:left w:val="single" w:sz="6" w:space="0" w:color="auto"/>
              <w:bottom w:val="single" w:sz="6" w:space="0" w:color="auto"/>
              <w:right w:val="single" w:sz="6" w:space="0" w:color="auto"/>
            </w:tcBorders>
          </w:tcPr>
          <w:p w:rsidR="00FF62E2"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FF62E2" w:rsidRPr="00DE56B2" w:rsidRDefault="009E529D" w:rsidP="00DE56B2">
            <w:pPr>
              <w:rPr>
                <w:szCs w:val="24"/>
              </w:rPr>
            </w:pPr>
            <w:r w:rsidRPr="009E529D">
              <w:rPr>
                <w:szCs w:val="24"/>
              </w:rPr>
              <w:t>L05</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C160EF" w:rsidP="00DE56B2">
            <w:pPr>
              <w:rPr>
                <w:szCs w:val="24"/>
              </w:rPr>
            </w:pP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r>
              <w:rPr>
                <w:szCs w:val="24"/>
              </w:rPr>
              <w:t>29 &amp; 30/2019</w:t>
            </w: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6076A6" w:rsidP="00DE56B2">
            <w:r w:rsidRPr="006076A6">
              <w:t>blepharitis</w:t>
            </w:r>
          </w:p>
        </w:tc>
        <w:tc>
          <w:tcPr>
            <w:tcW w:w="1984" w:type="dxa"/>
            <w:tcBorders>
              <w:top w:val="single" w:sz="6" w:space="0" w:color="auto"/>
              <w:left w:val="single" w:sz="6" w:space="0" w:color="auto"/>
              <w:bottom w:val="single" w:sz="6" w:space="0" w:color="auto"/>
              <w:right w:val="single" w:sz="6" w:space="0" w:color="auto"/>
            </w:tcBorders>
          </w:tcPr>
          <w:p w:rsidR="00C160EF"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9E529D" w:rsidP="00DE56B2">
            <w:pPr>
              <w:rPr>
                <w:szCs w:val="24"/>
              </w:rPr>
            </w:pPr>
            <w:r>
              <w:rPr>
                <w:szCs w:val="24"/>
              </w:rPr>
              <w:t>Nil</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C160EF" w:rsidP="00DE56B2">
            <w:pPr>
              <w:rPr>
                <w:szCs w:val="24"/>
              </w:rPr>
            </w:pP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r>
              <w:rPr>
                <w:szCs w:val="24"/>
              </w:rPr>
              <w:t>31 &amp; 32/2019</w:t>
            </w: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6076A6" w:rsidP="00DE56B2">
            <w:r w:rsidRPr="006076A6">
              <w:t xml:space="preserve">chronic pruritus </w:t>
            </w:r>
            <w:proofErr w:type="spellStart"/>
            <w:r w:rsidRPr="006076A6">
              <w:t>ani</w:t>
            </w:r>
            <w:proofErr w:type="spellEnd"/>
          </w:p>
        </w:tc>
        <w:tc>
          <w:tcPr>
            <w:tcW w:w="1984" w:type="dxa"/>
            <w:tcBorders>
              <w:top w:val="single" w:sz="6" w:space="0" w:color="auto"/>
              <w:left w:val="single" w:sz="6" w:space="0" w:color="auto"/>
              <w:bottom w:val="single" w:sz="6" w:space="0" w:color="auto"/>
              <w:right w:val="single" w:sz="6" w:space="0" w:color="auto"/>
            </w:tcBorders>
          </w:tcPr>
          <w:p w:rsidR="00C160EF"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9E529D" w:rsidP="00DE56B2">
            <w:pPr>
              <w:rPr>
                <w:szCs w:val="24"/>
              </w:rPr>
            </w:pPr>
            <w:r>
              <w:rPr>
                <w:szCs w:val="24"/>
              </w:rPr>
              <w:t>Nil</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C160EF" w:rsidP="00DE56B2">
            <w:pPr>
              <w:rPr>
                <w:szCs w:val="24"/>
              </w:rPr>
            </w:pP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C160EF">
            <w:pPr>
              <w:rPr>
                <w:szCs w:val="24"/>
              </w:rPr>
            </w:pPr>
            <w:r>
              <w:rPr>
                <w:szCs w:val="24"/>
              </w:rPr>
              <w:t>33 &amp; 34/2019</w:t>
            </w:r>
          </w:p>
        </w:tc>
        <w:tc>
          <w:tcPr>
            <w:tcW w:w="2835" w:type="dxa"/>
            <w:tcBorders>
              <w:top w:val="single" w:sz="6" w:space="0" w:color="auto"/>
              <w:left w:val="single" w:sz="6" w:space="0" w:color="auto"/>
              <w:bottom w:val="single" w:sz="6" w:space="0" w:color="auto"/>
              <w:right w:val="single" w:sz="6" w:space="0" w:color="auto"/>
            </w:tcBorders>
          </w:tcPr>
          <w:p w:rsidR="00C160EF" w:rsidRPr="00FF62E2" w:rsidRDefault="006076A6" w:rsidP="00DE56B2">
            <w:r w:rsidRPr="006076A6">
              <w:t>Alzheimer disease</w:t>
            </w:r>
          </w:p>
        </w:tc>
        <w:tc>
          <w:tcPr>
            <w:tcW w:w="1984" w:type="dxa"/>
            <w:tcBorders>
              <w:top w:val="single" w:sz="6" w:space="0" w:color="auto"/>
              <w:left w:val="single" w:sz="6" w:space="0" w:color="auto"/>
              <w:bottom w:val="single" w:sz="6" w:space="0" w:color="auto"/>
              <w:right w:val="single" w:sz="6" w:space="0" w:color="auto"/>
            </w:tcBorders>
          </w:tcPr>
          <w:p w:rsidR="00C160EF"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C160EF" w:rsidRPr="001B7E10" w:rsidRDefault="009E529D" w:rsidP="00DE56B2">
            <w:pPr>
              <w:rPr>
                <w:szCs w:val="24"/>
              </w:rPr>
            </w:pPr>
            <w:r w:rsidRPr="009E529D">
              <w:rPr>
                <w:szCs w:val="24"/>
              </w:rPr>
              <w:t>G30.0, G30.1, G30.8 or G30.9</w:t>
            </w:r>
          </w:p>
        </w:tc>
      </w:tr>
      <w:tr w:rsidR="002919AC"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2919AC" w:rsidRDefault="002919AC" w:rsidP="00C160EF">
            <w:pPr>
              <w:rPr>
                <w:szCs w:val="24"/>
              </w:rPr>
            </w:pPr>
          </w:p>
        </w:tc>
        <w:tc>
          <w:tcPr>
            <w:tcW w:w="2835" w:type="dxa"/>
            <w:tcBorders>
              <w:top w:val="single" w:sz="6" w:space="0" w:color="auto"/>
              <w:left w:val="single" w:sz="6" w:space="0" w:color="auto"/>
              <w:bottom w:val="single" w:sz="6" w:space="0" w:color="auto"/>
              <w:right w:val="single" w:sz="6" w:space="0" w:color="auto"/>
            </w:tcBorders>
          </w:tcPr>
          <w:p w:rsidR="002919AC" w:rsidRPr="006076A6" w:rsidRDefault="002919AC" w:rsidP="00DE56B2"/>
        </w:tc>
        <w:tc>
          <w:tcPr>
            <w:tcW w:w="1984" w:type="dxa"/>
            <w:tcBorders>
              <w:top w:val="single" w:sz="6" w:space="0" w:color="auto"/>
              <w:left w:val="single" w:sz="6" w:space="0" w:color="auto"/>
              <w:bottom w:val="single" w:sz="6" w:space="0" w:color="auto"/>
              <w:right w:val="single" w:sz="6" w:space="0" w:color="auto"/>
            </w:tcBorders>
          </w:tcPr>
          <w:p w:rsidR="002919AC" w:rsidRDefault="002919AC"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2919AC" w:rsidRPr="009E529D" w:rsidRDefault="002919AC" w:rsidP="00DE56B2">
            <w:pPr>
              <w:rPr>
                <w:szCs w:val="24"/>
              </w:rPr>
            </w:pPr>
          </w:p>
        </w:tc>
      </w:tr>
      <w:tr w:rsidR="002919AC" w:rsidRPr="00A73805" w:rsidTr="007A4674">
        <w:trPr>
          <w:cantSplit/>
        </w:trPr>
        <w:tc>
          <w:tcPr>
            <w:tcW w:w="1862" w:type="dxa"/>
            <w:tcBorders>
              <w:top w:val="single" w:sz="6" w:space="0" w:color="auto"/>
              <w:left w:val="single" w:sz="6" w:space="0" w:color="auto"/>
              <w:bottom w:val="single" w:sz="6" w:space="0" w:color="auto"/>
              <w:right w:val="single" w:sz="6" w:space="0" w:color="auto"/>
            </w:tcBorders>
          </w:tcPr>
          <w:p w:rsidR="002919AC" w:rsidRPr="00A73805" w:rsidRDefault="002919AC" w:rsidP="007A4674">
            <w:pPr>
              <w:rPr>
                <w:szCs w:val="24"/>
              </w:rPr>
            </w:pPr>
            <w:r>
              <w:rPr>
                <w:szCs w:val="24"/>
              </w:rPr>
              <w:t>35 &amp; 36/2019</w:t>
            </w:r>
          </w:p>
        </w:tc>
        <w:tc>
          <w:tcPr>
            <w:tcW w:w="2835" w:type="dxa"/>
            <w:tcBorders>
              <w:top w:val="single" w:sz="6" w:space="0" w:color="auto"/>
              <w:left w:val="single" w:sz="6" w:space="0" w:color="auto"/>
              <w:bottom w:val="single" w:sz="6" w:space="0" w:color="auto"/>
              <w:right w:val="single" w:sz="6" w:space="0" w:color="auto"/>
            </w:tcBorders>
          </w:tcPr>
          <w:p w:rsidR="002919AC" w:rsidRDefault="002919AC" w:rsidP="007A4674">
            <w:r w:rsidRPr="006076A6">
              <w:t>neurocognitive disorder with Lewy bodies</w:t>
            </w:r>
          </w:p>
        </w:tc>
        <w:tc>
          <w:tcPr>
            <w:tcW w:w="1984" w:type="dxa"/>
            <w:tcBorders>
              <w:top w:val="single" w:sz="6" w:space="0" w:color="auto"/>
              <w:left w:val="single" w:sz="6" w:space="0" w:color="auto"/>
              <w:bottom w:val="single" w:sz="6" w:space="0" w:color="auto"/>
              <w:right w:val="single" w:sz="6" w:space="0" w:color="auto"/>
            </w:tcBorders>
          </w:tcPr>
          <w:p w:rsidR="002919AC" w:rsidRPr="00A73805" w:rsidRDefault="002919AC" w:rsidP="007A4674">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2919AC" w:rsidRPr="00A73805" w:rsidRDefault="002919AC" w:rsidP="007A4674">
            <w:pPr>
              <w:rPr>
                <w:szCs w:val="24"/>
              </w:rPr>
            </w:pPr>
            <w:r w:rsidRPr="009E529D">
              <w:rPr>
                <w:szCs w:val="24"/>
              </w:rPr>
              <w:t>G31.3 with F02.8</w:t>
            </w:r>
          </w:p>
        </w:tc>
      </w:tr>
      <w:tr w:rsidR="002919AC"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2919AC" w:rsidRDefault="002919AC" w:rsidP="00C160EF">
            <w:pPr>
              <w:rPr>
                <w:szCs w:val="24"/>
              </w:rPr>
            </w:pPr>
          </w:p>
        </w:tc>
        <w:tc>
          <w:tcPr>
            <w:tcW w:w="2835" w:type="dxa"/>
            <w:tcBorders>
              <w:top w:val="single" w:sz="6" w:space="0" w:color="auto"/>
              <w:left w:val="single" w:sz="6" w:space="0" w:color="auto"/>
              <w:bottom w:val="single" w:sz="6" w:space="0" w:color="auto"/>
              <w:right w:val="single" w:sz="6" w:space="0" w:color="auto"/>
            </w:tcBorders>
          </w:tcPr>
          <w:p w:rsidR="002919AC" w:rsidRPr="006076A6" w:rsidRDefault="002919AC" w:rsidP="00DE56B2"/>
        </w:tc>
        <w:tc>
          <w:tcPr>
            <w:tcW w:w="1984" w:type="dxa"/>
            <w:tcBorders>
              <w:top w:val="single" w:sz="6" w:space="0" w:color="auto"/>
              <w:left w:val="single" w:sz="6" w:space="0" w:color="auto"/>
              <w:bottom w:val="single" w:sz="6" w:space="0" w:color="auto"/>
              <w:right w:val="single" w:sz="6" w:space="0" w:color="auto"/>
            </w:tcBorders>
          </w:tcPr>
          <w:p w:rsidR="002919AC" w:rsidRDefault="002919AC"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2919AC" w:rsidRPr="009E529D" w:rsidRDefault="002919AC" w:rsidP="00DE56B2">
            <w:pPr>
              <w:rPr>
                <w:szCs w:val="24"/>
              </w:rPr>
            </w:pPr>
          </w:p>
        </w:tc>
      </w:tr>
      <w:tr w:rsidR="00C160EF" w:rsidRPr="00A73805" w:rsidTr="006076A6">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160EF" w:rsidRPr="006076A6" w:rsidRDefault="00C160EF" w:rsidP="00DE56B2">
            <w:pPr>
              <w:rPr>
                <w:b/>
                <w:szCs w:val="24"/>
              </w:rPr>
            </w:pPr>
            <w:r w:rsidRPr="006076A6">
              <w:rPr>
                <w:b/>
              </w:rPr>
              <w:t>D</w:t>
            </w:r>
            <w:r w:rsidRPr="006076A6">
              <w:rPr>
                <w:b/>
                <w:szCs w:val="24"/>
              </w:rPr>
              <w:t>ETERMINATIONS</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r>
              <w:rPr>
                <w:szCs w:val="24"/>
              </w:rPr>
              <w:t>37 &amp; 38/2019</w:t>
            </w:r>
          </w:p>
        </w:tc>
        <w:tc>
          <w:tcPr>
            <w:tcW w:w="2835" w:type="dxa"/>
            <w:tcBorders>
              <w:top w:val="single" w:sz="6" w:space="0" w:color="auto"/>
              <w:left w:val="single" w:sz="6" w:space="0" w:color="auto"/>
              <w:bottom w:val="single" w:sz="6" w:space="0" w:color="auto"/>
              <w:right w:val="single" w:sz="6" w:space="0" w:color="auto"/>
            </w:tcBorders>
          </w:tcPr>
          <w:p w:rsidR="00C160EF" w:rsidRDefault="006076A6" w:rsidP="00DE56B2">
            <w:r w:rsidRPr="006076A6">
              <w:t>chronic insomnia disorder</w:t>
            </w:r>
          </w:p>
        </w:tc>
        <w:tc>
          <w:tcPr>
            <w:tcW w:w="1984" w:type="dxa"/>
            <w:tcBorders>
              <w:top w:val="single" w:sz="6" w:space="0" w:color="auto"/>
              <w:left w:val="single" w:sz="6" w:space="0" w:color="auto"/>
              <w:bottom w:val="single" w:sz="6" w:space="0" w:color="auto"/>
              <w:right w:val="single" w:sz="6" w:space="0" w:color="auto"/>
            </w:tcBorders>
          </w:tcPr>
          <w:p w:rsidR="00C160EF" w:rsidRPr="00A73805"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C160EF" w:rsidRPr="00A73805" w:rsidRDefault="009E529D" w:rsidP="00DE56B2">
            <w:pPr>
              <w:rPr>
                <w:szCs w:val="24"/>
              </w:rPr>
            </w:pPr>
            <w:r>
              <w:rPr>
                <w:szCs w:val="24"/>
              </w:rPr>
              <w:t>Nil</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r>
              <w:rPr>
                <w:szCs w:val="24"/>
              </w:rPr>
              <w:t>39 &amp; 40/2019</w:t>
            </w:r>
          </w:p>
        </w:tc>
        <w:tc>
          <w:tcPr>
            <w:tcW w:w="2835" w:type="dxa"/>
            <w:tcBorders>
              <w:top w:val="single" w:sz="6" w:space="0" w:color="auto"/>
              <w:left w:val="single" w:sz="6" w:space="0" w:color="auto"/>
              <w:bottom w:val="single" w:sz="6" w:space="0" w:color="auto"/>
              <w:right w:val="single" w:sz="6" w:space="0" w:color="auto"/>
            </w:tcBorders>
          </w:tcPr>
          <w:p w:rsidR="00C160EF" w:rsidRDefault="006076A6" w:rsidP="00DE56B2">
            <w:r w:rsidRPr="006076A6">
              <w:t>trigger finger</w:t>
            </w:r>
          </w:p>
        </w:tc>
        <w:tc>
          <w:tcPr>
            <w:tcW w:w="1984" w:type="dxa"/>
            <w:tcBorders>
              <w:top w:val="single" w:sz="6" w:space="0" w:color="auto"/>
              <w:left w:val="single" w:sz="6" w:space="0" w:color="auto"/>
              <w:bottom w:val="single" w:sz="6" w:space="0" w:color="auto"/>
              <w:right w:val="single" w:sz="6" w:space="0" w:color="auto"/>
            </w:tcBorders>
          </w:tcPr>
          <w:p w:rsidR="00C160EF" w:rsidRPr="00A73805"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C160EF" w:rsidRPr="00A73805" w:rsidRDefault="009E529D" w:rsidP="00DE56B2">
            <w:pPr>
              <w:rPr>
                <w:szCs w:val="24"/>
              </w:rPr>
            </w:pPr>
            <w:r w:rsidRPr="009E529D">
              <w:rPr>
                <w:szCs w:val="24"/>
              </w:rPr>
              <w:t>M65.3</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Default="00C160EF" w:rsidP="00DE56B2">
            <w:pPr>
              <w:rPr>
                <w:szCs w:val="24"/>
              </w:rPr>
            </w:pPr>
            <w:r>
              <w:rPr>
                <w:szCs w:val="24"/>
              </w:rPr>
              <w:t>41 &amp; 42/2019</w:t>
            </w:r>
          </w:p>
        </w:tc>
        <w:tc>
          <w:tcPr>
            <w:tcW w:w="2835" w:type="dxa"/>
            <w:tcBorders>
              <w:top w:val="single" w:sz="6" w:space="0" w:color="auto"/>
              <w:left w:val="single" w:sz="6" w:space="0" w:color="auto"/>
              <w:bottom w:val="single" w:sz="6" w:space="0" w:color="auto"/>
              <w:right w:val="single" w:sz="6" w:space="0" w:color="auto"/>
            </w:tcBorders>
          </w:tcPr>
          <w:p w:rsidR="00C160EF" w:rsidRDefault="006076A6" w:rsidP="00DE56B2">
            <w:r w:rsidRPr="006076A6">
              <w:t xml:space="preserve">de Quervain </w:t>
            </w:r>
            <w:r w:rsidR="002919AC" w:rsidRPr="002919AC">
              <w:t>tendinopathy</w:t>
            </w:r>
          </w:p>
        </w:tc>
        <w:tc>
          <w:tcPr>
            <w:tcW w:w="1984" w:type="dxa"/>
            <w:tcBorders>
              <w:top w:val="single" w:sz="6" w:space="0" w:color="auto"/>
              <w:left w:val="single" w:sz="6" w:space="0" w:color="auto"/>
              <w:bottom w:val="single" w:sz="6" w:space="0" w:color="auto"/>
              <w:right w:val="single" w:sz="6" w:space="0" w:color="auto"/>
            </w:tcBorders>
          </w:tcPr>
          <w:p w:rsidR="00C160EF" w:rsidRPr="00A73805"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C160EF" w:rsidRPr="00A73805" w:rsidRDefault="009E529D" w:rsidP="00DE56B2">
            <w:pPr>
              <w:rPr>
                <w:szCs w:val="24"/>
              </w:rPr>
            </w:pPr>
            <w:r w:rsidRPr="009E529D">
              <w:rPr>
                <w:szCs w:val="24"/>
              </w:rPr>
              <w:t>M65.4</w:t>
            </w:r>
          </w:p>
        </w:tc>
      </w:tr>
      <w:tr w:rsidR="00C160EF"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C160EF" w:rsidRDefault="00C160EF" w:rsidP="00DE56B2"/>
        </w:tc>
        <w:tc>
          <w:tcPr>
            <w:tcW w:w="1984"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C160EF" w:rsidRPr="00A73805" w:rsidRDefault="00C160EF" w:rsidP="00DE56B2">
            <w:pPr>
              <w:rPr>
                <w:szCs w:val="24"/>
              </w:rPr>
            </w:pPr>
          </w:p>
        </w:tc>
      </w:tr>
      <w:tr w:rsidR="00DE56B2"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56B2" w:rsidRPr="00A73805" w:rsidRDefault="00DE56B2" w:rsidP="00DE56B2">
            <w:pPr>
              <w:rPr>
                <w:b/>
              </w:rPr>
            </w:pPr>
            <w:r>
              <w:rPr>
                <w:b/>
              </w:rPr>
              <w:t>AMENDMENTS</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DE56B2" w:rsidP="00DE56B2">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C160EF" w:rsidP="00C160EF">
            <w:pPr>
              <w:rPr>
                <w:szCs w:val="24"/>
              </w:rPr>
            </w:pPr>
            <w:r>
              <w:rPr>
                <w:szCs w:val="24"/>
              </w:rPr>
              <w:t>4</w:t>
            </w:r>
            <w:r w:rsidR="00FF62E2">
              <w:rPr>
                <w:szCs w:val="24"/>
              </w:rPr>
              <w:t xml:space="preserve">3 &amp; </w:t>
            </w:r>
            <w:r>
              <w:rPr>
                <w:szCs w:val="24"/>
              </w:rPr>
              <w:t>4</w:t>
            </w:r>
            <w:r w:rsidR="00FF62E2">
              <w:rPr>
                <w:szCs w:val="24"/>
              </w:rPr>
              <w:t>4/2019</w:t>
            </w:r>
          </w:p>
        </w:tc>
        <w:tc>
          <w:tcPr>
            <w:tcW w:w="2835" w:type="dxa"/>
            <w:tcBorders>
              <w:top w:val="single" w:sz="6" w:space="0" w:color="auto"/>
              <w:left w:val="single" w:sz="6" w:space="0" w:color="auto"/>
              <w:bottom w:val="single" w:sz="6" w:space="0" w:color="auto"/>
              <w:right w:val="single" w:sz="6" w:space="0" w:color="auto"/>
            </w:tcBorders>
          </w:tcPr>
          <w:p w:rsidR="00DE56B2" w:rsidRPr="003E7A50" w:rsidRDefault="006076A6" w:rsidP="00DE56B2">
            <w:r w:rsidRPr="006076A6">
              <w:t>subdural haematoma</w:t>
            </w:r>
          </w:p>
        </w:tc>
        <w:tc>
          <w:tcPr>
            <w:tcW w:w="1984" w:type="dxa"/>
            <w:tcBorders>
              <w:top w:val="single" w:sz="6" w:space="0" w:color="auto"/>
              <w:left w:val="single" w:sz="6" w:space="0" w:color="auto"/>
              <w:bottom w:val="single" w:sz="6" w:space="0" w:color="auto"/>
              <w:right w:val="single" w:sz="6" w:space="0" w:color="auto"/>
            </w:tcBorders>
          </w:tcPr>
          <w:p w:rsidR="00DE56B2" w:rsidRDefault="006076A6" w:rsidP="00DE56B2">
            <w:pPr>
              <w:rPr>
                <w:szCs w:val="24"/>
              </w:rPr>
            </w:pPr>
            <w:r>
              <w:rPr>
                <w:szCs w:val="24"/>
              </w:rPr>
              <w:t>01/04/2019</w:t>
            </w:r>
          </w:p>
        </w:tc>
        <w:tc>
          <w:tcPr>
            <w:tcW w:w="2250"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r>
              <w:rPr>
                <w:szCs w:val="24"/>
              </w:rPr>
              <w:t>N/A</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CD65BE"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CD65BE"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Pr="00CD65BE"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CD65BE" w:rsidRDefault="00DE56B2" w:rsidP="00DE56B2">
            <w:pPr>
              <w:rPr>
                <w:szCs w:val="24"/>
              </w:rPr>
            </w:pPr>
          </w:p>
        </w:tc>
      </w:tr>
    </w:tbl>
    <w:p w:rsidR="00953055" w:rsidRPr="000476EA" w:rsidRDefault="00953055" w:rsidP="00B803B0">
      <w:pPr>
        <w:spacing w:after="60"/>
        <w:ind w:left="360"/>
        <w:jc w:val="both"/>
        <w:rPr>
          <w:sz w:val="16"/>
          <w:szCs w:val="16"/>
        </w:rPr>
      </w:pPr>
    </w:p>
    <w:p w:rsidR="00FF62E2" w:rsidRPr="00591828" w:rsidRDefault="00FF62E2" w:rsidP="00FF62E2">
      <w:pPr>
        <w:spacing w:after="60"/>
        <w:ind w:left="142"/>
        <w:rPr>
          <w:b/>
        </w:rPr>
      </w:pPr>
      <w:r w:rsidRPr="00591828">
        <w:rPr>
          <w:b/>
        </w:rPr>
        <w:t>Note:</w:t>
      </w:r>
    </w:p>
    <w:p w:rsidR="006076A6" w:rsidRPr="00C0040D" w:rsidRDefault="00C0040D" w:rsidP="006076A6">
      <w:pPr>
        <w:ind w:left="142"/>
        <w:jc w:val="both"/>
        <w:rPr>
          <w:szCs w:val="24"/>
        </w:rPr>
      </w:pPr>
      <w:r w:rsidRPr="00C0040D">
        <w:rPr>
          <w:szCs w:val="24"/>
        </w:rPr>
        <w:t xml:space="preserve">The investigation concerning 'Alzheimer-type dementia' has resulted in the revocation of Statements of Principles concerning Alzheimer-type dementia and </w:t>
      </w:r>
      <w:r>
        <w:rPr>
          <w:szCs w:val="24"/>
        </w:rPr>
        <w:t xml:space="preserve">the </w:t>
      </w:r>
      <w:r w:rsidRPr="00C0040D">
        <w:rPr>
          <w:szCs w:val="24"/>
        </w:rPr>
        <w:t xml:space="preserve">determination of Statements of Principles concerning </w:t>
      </w:r>
      <w:r w:rsidR="006076A6" w:rsidRPr="00C0040D">
        <w:rPr>
          <w:b/>
          <w:szCs w:val="24"/>
        </w:rPr>
        <w:t>Alzheimer disease</w:t>
      </w:r>
      <w:r w:rsidR="006076A6" w:rsidRPr="00C0040D">
        <w:rPr>
          <w:szCs w:val="24"/>
        </w:rPr>
        <w:t xml:space="preserve"> and Statements of Principles concerning </w:t>
      </w:r>
      <w:r w:rsidR="006076A6" w:rsidRPr="00C0040D">
        <w:rPr>
          <w:b/>
          <w:szCs w:val="24"/>
        </w:rPr>
        <w:t>neurocognitive disorder with Lewy bodies</w:t>
      </w:r>
      <w:r w:rsidR="006076A6" w:rsidRPr="00C0040D">
        <w:rPr>
          <w:szCs w:val="24"/>
        </w:rPr>
        <w:t>.</w:t>
      </w:r>
    </w:p>
    <w:p w:rsidR="006076A6" w:rsidRPr="006076A6" w:rsidRDefault="006076A6" w:rsidP="006076A6">
      <w:pPr>
        <w:ind w:left="142"/>
        <w:jc w:val="both"/>
      </w:pPr>
    </w:p>
    <w:p w:rsidR="00CD223F" w:rsidRPr="00C7059F" w:rsidRDefault="006076A6" w:rsidP="00C0040D">
      <w:pPr>
        <w:ind w:left="142"/>
        <w:jc w:val="both"/>
        <w:rPr>
          <w:sz w:val="16"/>
        </w:rPr>
      </w:pPr>
      <w:r w:rsidRPr="006076A6">
        <w:t>The investigation concerning '</w:t>
      </w:r>
      <w:proofErr w:type="spellStart"/>
      <w:r w:rsidRPr="006076A6">
        <w:t>stenosing</w:t>
      </w:r>
      <w:proofErr w:type="spellEnd"/>
      <w:r w:rsidRPr="006076A6">
        <w:t xml:space="preserve"> tenosynovitis (in particular trigger finger/thumb and de Quervain tenosynovitis)' has resulted in the determination of Statements of Principles concerning </w:t>
      </w:r>
      <w:r w:rsidRPr="006076A6">
        <w:rPr>
          <w:b/>
        </w:rPr>
        <w:t xml:space="preserve">trigger finger </w:t>
      </w:r>
      <w:r w:rsidRPr="006076A6">
        <w:t xml:space="preserve">and Statements of Principles concerning </w:t>
      </w:r>
      <w:r w:rsidRPr="006076A6">
        <w:rPr>
          <w:b/>
        </w:rPr>
        <w:t>de Quervain tendinopathy</w:t>
      </w:r>
      <w:r w:rsidRPr="006076A6">
        <w:t>.</w:t>
      </w:r>
      <w:r w:rsidR="00CD223F"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842"/>
        <w:gridCol w:w="7912"/>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C513D2" w:rsidRPr="00C513D2" w:rsidTr="006A58DD">
        <w:tc>
          <w:tcPr>
            <w:tcW w:w="993" w:type="dxa"/>
            <w:tcBorders>
              <w:top w:val="single" w:sz="6" w:space="0" w:color="auto"/>
              <w:left w:val="single" w:sz="6" w:space="0" w:color="auto"/>
              <w:bottom w:val="single" w:sz="6" w:space="0" w:color="auto"/>
              <w:right w:val="single" w:sz="6" w:space="0" w:color="auto"/>
            </w:tcBorders>
          </w:tcPr>
          <w:p w:rsidR="00FF0656" w:rsidRPr="006D3625" w:rsidRDefault="001B7E10" w:rsidP="00C0040D">
            <w:pPr>
              <w:rPr>
                <w:sz w:val="20"/>
              </w:rPr>
            </w:pPr>
            <w:r>
              <w:rPr>
                <w:sz w:val="20"/>
              </w:rPr>
              <w:t>1</w:t>
            </w:r>
            <w:r w:rsidR="00C0040D">
              <w:rPr>
                <w:sz w:val="20"/>
              </w:rPr>
              <w:t>7</w:t>
            </w:r>
            <w:r w:rsidR="00DA4B2D" w:rsidRPr="006D3625">
              <w:rPr>
                <w:sz w:val="20"/>
              </w:rPr>
              <w:t xml:space="preserve"> &amp; </w:t>
            </w:r>
            <w:r w:rsidR="00C0040D">
              <w:rPr>
                <w:sz w:val="20"/>
              </w:rPr>
              <w:t>18</w:t>
            </w:r>
            <w:r w:rsidR="00DA4B2D" w:rsidRPr="006D3625">
              <w:rPr>
                <w:sz w:val="20"/>
              </w:rPr>
              <w:t>/201</w:t>
            </w:r>
            <w:r>
              <w:rPr>
                <w:sz w:val="20"/>
              </w:rPr>
              <w:t>9</w:t>
            </w:r>
          </w:p>
        </w:tc>
        <w:tc>
          <w:tcPr>
            <w:tcW w:w="1842" w:type="dxa"/>
            <w:tcBorders>
              <w:top w:val="single" w:sz="2" w:space="0" w:color="auto"/>
              <w:left w:val="single" w:sz="6" w:space="0" w:color="auto"/>
              <w:bottom w:val="single" w:sz="6" w:space="0" w:color="auto"/>
              <w:right w:val="single" w:sz="6" w:space="0" w:color="auto"/>
            </w:tcBorders>
          </w:tcPr>
          <w:p w:rsidR="00FF0656" w:rsidRPr="006D3625" w:rsidRDefault="00985155" w:rsidP="00985155">
            <w:pPr>
              <w:rPr>
                <w:sz w:val="20"/>
              </w:rPr>
            </w:pPr>
            <w:r>
              <w:rPr>
                <w:sz w:val="20"/>
              </w:rPr>
              <w:t>m</w:t>
            </w:r>
            <w:r w:rsidR="00C0040D" w:rsidRPr="00C0040D">
              <w:rPr>
                <w:sz w:val="20"/>
              </w:rPr>
              <w:t>ethaemoglobin</w:t>
            </w:r>
            <w:r w:rsidR="00C0040D">
              <w:rPr>
                <w:sz w:val="20"/>
              </w:rPr>
              <w:t>-</w:t>
            </w:r>
            <w:r w:rsidR="00C0040D" w:rsidRPr="00C0040D">
              <w:rPr>
                <w:sz w:val="20"/>
              </w:rPr>
              <w:t>aemia</w:t>
            </w:r>
          </w:p>
        </w:tc>
        <w:tc>
          <w:tcPr>
            <w:tcW w:w="791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006D3625" w:rsidRPr="006D3625">
              <w:t>14 November 2017</w:t>
            </w:r>
            <w:r w:rsidR="007C1C18">
              <w:t xml:space="preserve"> </w:t>
            </w:r>
            <w:r w:rsidRPr="00A73805">
              <w:t xml:space="preserve">concerning </w:t>
            </w:r>
            <w:r w:rsidR="00C0040D" w:rsidRPr="00C0040D">
              <w:rPr>
                <w:i/>
              </w:rPr>
              <w:t>methaemoglobinaemia</w:t>
            </w:r>
            <w:r w:rsidR="00E85A44" w:rsidRPr="00E85A44">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6B2F25" w:rsidRPr="00A73805" w:rsidRDefault="006B2F25" w:rsidP="007E6E49">
            <w:pPr>
              <w:pStyle w:val="BodyText"/>
              <w:tabs>
                <w:tab w:val="left" w:pos="6753"/>
              </w:tabs>
              <w:spacing w:before="60" w:after="60"/>
              <w:ind w:right="34"/>
              <w:jc w:val="both"/>
              <w:rPr>
                <w:b/>
                <w:i/>
              </w:rPr>
            </w:pPr>
            <w:r w:rsidRPr="00A73805">
              <w:rPr>
                <w:b/>
                <w:i/>
              </w:rPr>
              <w:t>For RH</w:t>
            </w:r>
            <w:r w:rsidR="00276E92">
              <w:rPr>
                <w:b/>
                <w:i/>
              </w:rPr>
              <w:t xml:space="preserve"> </w:t>
            </w:r>
            <w:r w:rsidR="00B12BC4">
              <w:rPr>
                <w:b/>
                <w:i/>
              </w:rPr>
              <w:t xml:space="preserve">&amp; </w:t>
            </w:r>
            <w:proofErr w:type="spellStart"/>
            <w:r w:rsidR="00B12BC4">
              <w:rPr>
                <w:b/>
                <w:i/>
              </w:rPr>
              <w:t>BoP</w:t>
            </w:r>
            <w:proofErr w:type="spellEnd"/>
            <w:r w:rsidR="00B12BC4">
              <w:rPr>
                <w:b/>
                <w:i/>
              </w:rPr>
              <w:t xml:space="preserve"> </w:t>
            </w:r>
            <w:proofErr w:type="spellStart"/>
            <w:r w:rsidRPr="00A73805">
              <w:rPr>
                <w:b/>
                <w:i/>
              </w:rPr>
              <w:t>SoP</w:t>
            </w:r>
            <w:r w:rsidR="00B12BC4">
              <w:rPr>
                <w:b/>
                <w:i/>
              </w:rPr>
              <w:t>s</w:t>
            </w:r>
            <w:proofErr w:type="spellEnd"/>
            <w:r w:rsidRPr="00A73805">
              <w:t xml:space="preserve"> </w:t>
            </w:r>
            <w:r w:rsidRPr="00A73805">
              <w:rPr>
                <w:b/>
                <w:i/>
              </w:rPr>
              <w:t>(Instrument No</w:t>
            </w:r>
            <w:r w:rsidR="00B12BC4">
              <w:rPr>
                <w:b/>
                <w:i/>
              </w:rPr>
              <w:t>s</w:t>
            </w:r>
            <w:r w:rsidRPr="00A73805">
              <w:rPr>
                <w:b/>
                <w:i/>
              </w:rPr>
              <w:t xml:space="preserve">. </w:t>
            </w:r>
            <w:r w:rsidR="001B7E10">
              <w:rPr>
                <w:b/>
                <w:i/>
              </w:rPr>
              <w:t>1</w:t>
            </w:r>
            <w:r w:rsidR="00C0040D">
              <w:rPr>
                <w:b/>
                <w:i/>
              </w:rPr>
              <w:t>7</w:t>
            </w:r>
            <w:r w:rsidR="00B12BC4">
              <w:rPr>
                <w:b/>
                <w:i/>
              </w:rPr>
              <w:t xml:space="preserve"> &amp; 18</w:t>
            </w:r>
            <w:r w:rsidRPr="00A73805">
              <w:rPr>
                <w:b/>
                <w:i/>
              </w:rPr>
              <w:t>/</w:t>
            </w:r>
            <w:r>
              <w:rPr>
                <w:b/>
                <w:i/>
              </w:rPr>
              <w:t>201</w:t>
            </w:r>
            <w:r w:rsidR="001B7E10">
              <w:rPr>
                <w:b/>
                <w:i/>
              </w:rPr>
              <w:t>9</w:t>
            </w:r>
            <w:r w:rsidRPr="00A73805">
              <w:rPr>
                <w:b/>
                <w:i/>
              </w:rPr>
              <w:t>)</w:t>
            </w:r>
          </w:p>
          <w:p w:rsidR="00B12BC4" w:rsidRPr="00B12BC4" w:rsidRDefault="00B12BC4" w:rsidP="00B12BC4">
            <w:pPr>
              <w:numPr>
                <w:ilvl w:val="0"/>
                <w:numId w:val="2"/>
              </w:numPr>
              <w:tabs>
                <w:tab w:val="clear" w:pos="720"/>
                <w:tab w:val="num" w:pos="318"/>
              </w:tabs>
              <w:ind w:left="318" w:hanging="284"/>
              <w:jc w:val="both"/>
              <w:rPr>
                <w:sz w:val="20"/>
                <w:lang w:val="en-GB"/>
              </w:rPr>
            </w:pPr>
            <w:r w:rsidRPr="00B12BC4">
              <w:rPr>
                <w:sz w:val="20"/>
                <w:lang w:val="en-GB"/>
              </w:rPr>
              <w:t>adopting the latest revised Instrument format, which commenced in 2015;</w:t>
            </w:r>
          </w:p>
          <w:p w:rsidR="00B12BC4" w:rsidRPr="00B12BC4" w:rsidRDefault="00B12BC4" w:rsidP="00B12BC4">
            <w:pPr>
              <w:numPr>
                <w:ilvl w:val="0"/>
                <w:numId w:val="2"/>
              </w:numPr>
              <w:tabs>
                <w:tab w:val="clear" w:pos="720"/>
                <w:tab w:val="num" w:pos="318"/>
              </w:tabs>
              <w:ind w:left="318" w:hanging="284"/>
              <w:jc w:val="both"/>
              <w:rPr>
                <w:sz w:val="20"/>
                <w:lang w:val="en-GB"/>
              </w:rPr>
            </w:pPr>
            <w:r w:rsidRPr="00B12BC4">
              <w:rPr>
                <w:sz w:val="20"/>
                <w:lang w:val="en-GB"/>
              </w:rPr>
              <w:t>specifying a day of commencement for the Instrument in section 2;</w:t>
            </w:r>
          </w:p>
          <w:p w:rsidR="00B12BC4" w:rsidRPr="00B12BC4" w:rsidRDefault="00B12BC4" w:rsidP="00B12BC4">
            <w:pPr>
              <w:numPr>
                <w:ilvl w:val="0"/>
                <w:numId w:val="2"/>
              </w:numPr>
              <w:tabs>
                <w:tab w:val="clear" w:pos="720"/>
                <w:tab w:val="num" w:pos="318"/>
              </w:tabs>
              <w:ind w:left="318" w:hanging="284"/>
              <w:jc w:val="both"/>
              <w:rPr>
                <w:sz w:val="20"/>
                <w:lang w:val="en-GB"/>
              </w:rPr>
            </w:pPr>
            <w:r w:rsidRPr="00B12BC4">
              <w:rPr>
                <w:sz w:val="20"/>
                <w:lang w:val="en-GB"/>
              </w:rPr>
              <w:t>revising the definition of 'methaemoglobinaemia' in subsection 7(2);</w:t>
            </w:r>
          </w:p>
          <w:p w:rsidR="00B12BC4" w:rsidRPr="00B12BC4" w:rsidRDefault="00B12BC4" w:rsidP="00B12BC4">
            <w:pPr>
              <w:numPr>
                <w:ilvl w:val="0"/>
                <w:numId w:val="2"/>
              </w:numPr>
              <w:tabs>
                <w:tab w:val="clear" w:pos="720"/>
                <w:tab w:val="num" w:pos="318"/>
              </w:tabs>
              <w:ind w:left="318" w:hanging="284"/>
              <w:jc w:val="both"/>
              <w:rPr>
                <w:sz w:val="20"/>
                <w:lang w:val="en-GB"/>
              </w:rPr>
            </w:pPr>
            <w:r w:rsidRPr="00B12BC4">
              <w:rPr>
                <w:sz w:val="20"/>
                <w:lang w:val="en-GB"/>
              </w:rPr>
              <w:t>revising the ICD-10-AM code for 'methaemoglobinaemia' in subsection 7(3);</w:t>
            </w:r>
          </w:p>
          <w:p w:rsidR="00B12BC4" w:rsidRPr="00B12BC4" w:rsidRDefault="00B12BC4" w:rsidP="00B12BC4">
            <w:pPr>
              <w:numPr>
                <w:ilvl w:val="0"/>
                <w:numId w:val="2"/>
              </w:numPr>
              <w:tabs>
                <w:tab w:val="clear" w:pos="720"/>
                <w:tab w:val="num" w:pos="318"/>
              </w:tabs>
              <w:ind w:left="318" w:hanging="284"/>
              <w:jc w:val="both"/>
              <w:rPr>
                <w:sz w:val="20"/>
                <w:lang w:val="en-GB"/>
              </w:rPr>
            </w:pPr>
            <w:r w:rsidRPr="00B12BC4">
              <w:rPr>
                <w:sz w:val="20"/>
                <w:lang w:val="en-GB"/>
              </w:rPr>
              <w:t>revising the reference to 'ICD-10-AM code' in subsection 7(4);</w:t>
            </w:r>
          </w:p>
          <w:p w:rsidR="00B12BC4" w:rsidRPr="00B12BC4" w:rsidRDefault="00B12BC4" w:rsidP="00B12BC4">
            <w:pPr>
              <w:numPr>
                <w:ilvl w:val="0"/>
                <w:numId w:val="2"/>
              </w:numPr>
              <w:tabs>
                <w:tab w:val="clear" w:pos="720"/>
                <w:tab w:val="num" w:pos="318"/>
              </w:tabs>
              <w:ind w:left="318" w:hanging="284"/>
              <w:jc w:val="both"/>
              <w:rPr>
                <w:sz w:val="20"/>
                <w:lang w:val="en-GB"/>
              </w:rPr>
            </w:pPr>
            <w:r w:rsidRPr="00B12BC4">
              <w:rPr>
                <w:sz w:val="20"/>
                <w:lang w:val="en-GB"/>
              </w:rPr>
              <w:t xml:space="preserve">revising the factors in subsections 9(1) &amp; 9(5) concerning 'a drug that causes oxidation of haemoglobin', by the inclusion of a note; </w:t>
            </w:r>
          </w:p>
          <w:p w:rsidR="00B12BC4" w:rsidRPr="00B12BC4" w:rsidRDefault="00B12BC4" w:rsidP="00B12BC4">
            <w:pPr>
              <w:numPr>
                <w:ilvl w:val="0"/>
                <w:numId w:val="2"/>
              </w:numPr>
              <w:tabs>
                <w:tab w:val="clear" w:pos="720"/>
                <w:tab w:val="num" w:pos="318"/>
              </w:tabs>
              <w:ind w:left="318" w:hanging="284"/>
              <w:jc w:val="both"/>
              <w:rPr>
                <w:sz w:val="20"/>
                <w:lang w:val="en-GB"/>
              </w:rPr>
            </w:pPr>
            <w:r w:rsidRPr="00B12BC4">
              <w:rPr>
                <w:sz w:val="20"/>
                <w:lang w:val="en-GB"/>
              </w:rPr>
              <w:t>revising the factors in subsections 9(2) &amp; 9(6) concerning 'a chemical agent that causes oxidation of haemoglobin', by the inclusion of a note;</w:t>
            </w:r>
          </w:p>
          <w:p w:rsidR="00B12BC4" w:rsidRPr="00B12BC4" w:rsidRDefault="00B12BC4" w:rsidP="00B12BC4">
            <w:pPr>
              <w:numPr>
                <w:ilvl w:val="0"/>
                <w:numId w:val="2"/>
              </w:numPr>
              <w:tabs>
                <w:tab w:val="clear" w:pos="720"/>
                <w:tab w:val="num" w:pos="318"/>
              </w:tabs>
              <w:ind w:left="318" w:hanging="284"/>
              <w:jc w:val="both"/>
              <w:rPr>
                <w:sz w:val="20"/>
                <w:lang w:val="en-GB"/>
              </w:rPr>
            </w:pPr>
            <w:r w:rsidRPr="00B12BC4">
              <w:rPr>
                <w:sz w:val="20"/>
                <w:lang w:val="en-GB"/>
              </w:rPr>
              <w:t>new definitions of 'MRCA' and 'VEA' in Schedule 1 - Dictionary; and</w:t>
            </w:r>
          </w:p>
          <w:p w:rsidR="005C6B3F" w:rsidRPr="005C6B3F" w:rsidRDefault="00B12BC4" w:rsidP="00B12BC4">
            <w:pPr>
              <w:numPr>
                <w:ilvl w:val="0"/>
                <w:numId w:val="2"/>
              </w:numPr>
              <w:tabs>
                <w:tab w:val="clear" w:pos="720"/>
                <w:tab w:val="num" w:pos="318"/>
              </w:tabs>
              <w:spacing w:after="120"/>
              <w:ind w:left="318" w:hanging="284"/>
              <w:jc w:val="both"/>
              <w:rPr>
                <w:sz w:val="20"/>
                <w:lang w:val="en-GB"/>
              </w:rPr>
            </w:pPr>
            <w:r w:rsidRPr="00B12BC4">
              <w:rPr>
                <w:sz w:val="20"/>
                <w:lang w:val="en-GB"/>
              </w:rPr>
              <w:t>revising the definition of 'relevant service' in Schedule 1 – Dictionary.</w:t>
            </w:r>
          </w:p>
          <w:p w:rsidR="00FF0656" w:rsidRPr="00694850" w:rsidRDefault="006B2F25" w:rsidP="00C0040D">
            <w:pPr>
              <w:pStyle w:val="BodyText"/>
              <w:spacing w:after="60"/>
              <w:ind w:right="272"/>
              <w:jc w:val="both"/>
              <w:rPr>
                <w:b/>
                <w:sz w:val="19"/>
                <w:szCs w:val="19"/>
              </w:rPr>
            </w:pPr>
            <w:r w:rsidRPr="00A73805">
              <w:rPr>
                <w:b/>
              </w:rPr>
              <w:t xml:space="preserve">The determining of these Instruments finalises the investigation in relation to </w:t>
            </w:r>
            <w:r w:rsidR="00C0040D" w:rsidRPr="00C0040D">
              <w:rPr>
                <w:b/>
                <w:i/>
              </w:rPr>
              <w:t xml:space="preserve">methaemoglobinaemia </w:t>
            </w:r>
            <w:r w:rsidR="00E85A44" w:rsidRPr="00E85A44">
              <w:rPr>
                <w:b/>
                <w:i/>
              </w:rPr>
              <w:t xml:space="preserve"> </w:t>
            </w:r>
            <w:r w:rsidRPr="00A73805">
              <w:rPr>
                <w:b/>
              </w:rPr>
              <w:t xml:space="preserve">as advertised in the Government Notices Gazette of </w:t>
            </w:r>
            <w:r w:rsidR="006D3625" w:rsidRPr="006D3625">
              <w:rPr>
                <w:b/>
              </w:rPr>
              <w:t>14</w:t>
            </w:r>
            <w:r w:rsidR="00C0040D">
              <w:rPr>
                <w:b/>
              </w:rPr>
              <w:t> </w:t>
            </w:r>
            <w:r w:rsidR="006D3625" w:rsidRPr="006D3625">
              <w:rPr>
                <w:b/>
              </w:rPr>
              <w:t>November 2017</w:t>
            </w:r>
            <w:r w:rsidRPr="00A73805">
              <w:rPr>
                <w:b/>
              </w:rPr>
              <w:t>.</w:t>
            </w:r>
          </w:p>
        </w:tc>
      </w:tr>
      <w:tr w:rsidR="00852FE0" w:rsidRPr="00C513D2" w:rsidTr="006A58DD">
        <w:tc>
          <w:tcPr>
            <w:tcW w:w="993" w:type="dxa"/>
            <w:tcBorders>
              <w:top w:val="single" w:sz="6" w:space="0" w:color="auto"/>
              <w:left w:val="single" w:sz="6" w:space="0" w:color="auto"/>
              <w:bottom w:val="single" w:sz="6" w:space="0" w:color="auto"/>
              <w:right w:val="single" w:sz="6" w:space="0" w:color="auto"/>
            </w:tcBorders>
          </w:tcPr>
          <w:p w:rsidR="00852FE0" w:rsidRPr="00A73805" w:rsidRDefault="00B12BC4" w:rsidP="00852FE0">
            <w:pPr>
              <w:rPr>
                <w:sz w:val="20"/>
              </w:rPr>
            </w:pPr>
            <w:r>
              <w:rPr>
                <w:sz w:val="20"/>
              </w:rPr>
              <w:t>1</w:t>
            </w:r>
            <w:r w:rsidR="005F2EAD">
              <w:rPr>
                <w:sz w:val="20"/>
              </w:rPr>
              <w:t>9</w:t>
            </w:r>
            <w:r w:rsidR="00852FE0">
              <w:rPr>
                <w:sz w:val="20"/>
              </w:rPr>
              <w:t xml:space="preserve"> &amp; </w:t>
            </w:r>
            <w:r>
              <w:rPr>
                <w:sz w:val="20"/>
              </w:rPr>
              <w:t>20</w:t>
            </w:r>
            <w:r w:rsidR="00852FE0" w:rsidRPr="00A73805">
              <w:rPr>
                <w:sz w:val="20"/>
              </w:rPr>
              <w:t>/</w:t>
            </w:r>
            <w:r w:rsidR="00852FE0">
              <w:rPr>
                <w:sz w:val="20"/>
              </w:rPr>
              <w:t>201</w:t>
            </w:r>
            <w:r w:rsidR="001B7E10">
              <w:rPr>
                <w:sz w:val="20"/>
              </w:rPr>
              <w:t>9</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B12BC4" w:rsidP="00852FE0">
            <w:pPr>
              <w:rPr>
                <w:sz w:val="20"/>
              </w:rPr>
            </w:pPr>
            <w:r w:rsidRPr="00B12BC4">
              <w:rPr>
                <w:sz w:val="19"/>
                <w:szCs w:val="19"/>
              </w:rPr>
              <w:t>dental malocclusion</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006A58DD" w:rsidRPr="006A58DD">
              <w:rPr>
                <w:lang w:val="en-GB"/>
              </w:rPr>
              <w:t>14 November 2017</w:t>
            </w:r>
            <w:r w:rsidRPr="00A73805">
              <w:t xml:space="preserve"> concerning </w:t>
            </w:r>
            <w:r w:rsidR="00B12BC4" w:rsidRPr="00B12BC4">
              <w:rPr>
                <w:i/>
              </w:rPr>
              <w:t>dental malocclusion</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852FE0" w:rsidRPr="00A73805" w:rsidRDefault="00852FE0" w:rsidP="007E6E49">
            <w:pPr>
              <w:pStyle w:val="BodyText"/>
              <w:keepNext/>
              <w:tabs>
                <w:tab w:val="left" w:pos="6753"/>
              </w:tabs>
              <w:spacing w:before="60" w:after="60"/>
              <w:ind w:right="34"/>
              <w:jc w:val="both"/>
              <w:rPr>
                <w:b/>
                <w:i/>
              </w:rPr>
            </w:pPr>
            <w:r w:rsidRPr="00A73805">
              <w:rPr>
                <w:b/>
                <w:i/>
              </w:rPr>
              <w:t xml:space="preserve">For RH </w:t>
            </w:r>
            <w:r w:rsidR="005F2EAD">
              <w:rPr>
                <w:b/>
                <w:i/>
              </w:rPr>
              <w:t xml:space="preserve">&amp; </w:t>
            </w:r>
            <w:proofErr w:type="spellStart"/>
            <w:r w:rsidR="005F2EAD">
              <w:rPr>
                <w:b/>
                <w:i/>
              </w:rPr>
              <w:t>BoP</w:t>
            </w:r>
            <w:proofErr w:type="spellEnd"/>
            <w:r w:rsidR="005F2EAD">
              <w:rPr>
                <w:b/>
                <w:i/>
              </w:rPr>
              <w:t xml:space="preserve"> </w:t>
            </w:r>
            <w:proofErr w:type="spellStart"/>
            <w:r w:rsidRPr="00A73805">
              <w:rPr>
                <w:b/>
                <w:i/>
              </w:rPr>
              <w:t>SoP</w:t>
            </w:r>
            <w:r w:rsidR="005F2EAD">
              <w:rPr>
                <w:b/>
                <w:i/>
              </w:rPr>
              <w:t>s</w:t>
            </w:r>
            <w:proofErr w:type="spellEnd"/>
            <w:r w:rsidRPr="00A73805">
              <w:t xml:space="preserve"> </w:t>
            </w:r>
            <w:r w:rsidRPr="00A73805">
              <w:rPr>
                <w:b/>
                <w:i/>
              </w:rPr>
              <w:t>(Instrument No</w:t>
            </w:r>
            <w:r w:rsidR="005F2EAD">
              <w:rPr>
                <w:b/>
                <w:i/>
              </w:rPr>
              <w:t>s</w:t>
            </w:r>
            <w:r w:rsidRPr="00A73805">
              <w:rPr>
                <w:b/>
                <w:i/>
              </w:rPr>
              <w:t xml:space="preserve">. </w:t>
            </w:r>
            <w:r w:rsidR="005F2EAD">
              <w:rPr>
                <w:b/>
                <w:i/>
              </w:rPr>
              <w:t>19 &amp; 20</w:t>
            </w:r>
            <w:r w:rsidRPr="00A73805">
              <w:rPr>
                <w:b/>
                <w:i/>
              </w:rPr>
              <w:t>/</w:t>
            </w:r>
            <w:r>
              <w:rPr>
                <w:b/>
                <w:i/>
              </w:rPr>
              <w:t>201</w:t>
            </w:r>
            <w:r w:rsidR="002273F1">
              <w:rPr>
                <w:b/>
                <w:i/>
              </w:rPr>
              <w:t>9</w:t>
            </w:r>
            <w:r w:rsidRPr="00A73805">
              <w:rPr>
                <w:b/>
                <w:i/>
              </w:rPr>
              <w:t>)</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adopting the latest revised Instrument format, which commenced in 2015;</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specifying a day of commencement for the Instrument in section 2;</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revising the definition of 'dental malocclusion' in subsection 7(2);</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revising the reference to 'ICD-10-AM code' in subsection 7(4);</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revising the factors in subsections 9(1) &amp; 9(10) concerning 'injury resulting in distortion of the temporomandibular joint or fracture of the maxilla or mandible';</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new factors in subsections 9(2) &amp; 9(11) concerning 'surgery involving the temporomandibular joint, maxilla or mandible';</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revising the factors in subsections 9(3) &amp; 9(12) concerning 'loss of one or more teeth';</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revising the factors in subsections 9(4) &amp; 9(13) concerning 'maxillofacial disease';</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revising the factors in subsections 9(5) &amp; 9(14) concerning 'peripheral odontogenic fibroma or a peripheral ossifying fibroma';</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new factors in subsections 9(7) &amp; 9(16) concerning 'ill-fitting dental restoration or orthodontic device';</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new factors in subsections 9(8) &amp; 9(17) concerning 'advanced periodontitis';</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new factors in subsections 9(9) &amp; 9(18) concerning 'macroglossia';</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 xml:space="preserve">new definitions of 'dental </w:t>
            </w:r>
            <w:proofErr w:type="spellStart"/>
            <w:r w:rsidRPr="005F2EAD">
              <w:rPr>
                <w:sz w:val="20"/>
                <w:lang w:val="en-GB"/>
              </w:rPr>
              <w:t>hyperocclusion</w:t>
            </w:r>
            <w:proofErr w:type="spellEnd"/>
            <w:r w:rsidRPr="005F2EAD">
              <w:rPr>
                <w:sz w:val="20"/>
                <w:lang w:val="en-GB"/>
              </w:rPr>
              <w:t>', 'macroglossia', 'maxillofacial disease', 'MRCA' and 'VEA' in Schedule 1 – Dictionary;</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revising the definition of 'relevant service' in Schedule 1 – Dictionary; and</w:t>
            </w:r>
          </w:p>
          <w:p w:rsidR="006A58DD" w:rsidRPr="005F2EAD" w:rsidRDefault="005F2EAD" w:rsidP="005F2EAD">
            <w:pPr>
              <w:numPr>
                <w:ilvl w:val="0"/>
                <w:numId w:val="2"/>
              </w:numPr>
              <w:tabs>
                <w:tab w:val="clear" w:pos="720"/>
                <w:tab w:val="num" w:pos="318"/>
              </w:tabs>
              <w:spacing w:after="60"/>
              <w:ind w:left="318" w:hanging="284"/>
              <w:jc w:val="both"/>
              <w:rPr>
                <w:sz w:val="20"/>
                <w:lang w:val="en-GB"/>
              </w:rPr>
            </w:pPr>
            <w:r w:rsidRPr="005F2EAD">
              <w:rPr>
                <w:sz w:val="20"/>
                <w:lang w:val="en-GB"/>
              </w:rPr>
              <w:t>deleting the definitions of 'a mandibular repositioning appliance', 'a maxillofacial disease process' and 'maxillofacial trauma'.</w:t>
            </w:r>
          </w:p>
          <w:p w:rsidR="00852FE0" w:rsidRPr="00A73805" w:rsidRDefault="00852FE0" w:rsidP="006D3625">
            <w:pPr>
              <w:pStyle w:val="BodyText"/>
              <w:tabs>
                <w:tab w:val="left" w:pos="6753"/>
              </w:tabs>
              <w:spacing w:after="40"/>
              <w:ind w:left="34" w:right="34"/>
              <w:jc w:val="both"/>
              <w:rPr>
                <w:b/>
              </w:rPr>
            </w:pPr>
            <w:r w:rsidRPr="00A73805">
              <w:rPr>
                <w:b/>
              </w:rPr>
              <w:t xml:space="preserve">The determining of these Instruments finalises the investigation in relation to </w:t>
            </w:r>
            <w:r w:rsidR="00B12BC4" w:rsidRPr="00B12BC4">
              <w:rPr>
                <w:b/>
                <w:i/>
              </w:rPr>
              <w:t>dental malocclusion</w:t>
            </w:r>
            <w:r w:rsidRPr="004A1F8A">
              <w:rPr>
                <w:b/>
                <w:i/>
              </w:rPr>
              <w:t xml:space="preserve"> </w:t>
            </w:r>
            <w:r w:rsidRPr="00A73805">
              <w:rPr>
                <w:b/>
              </w:rPr>
              <w:t xml:space="preserve">as advertised in the Government Notices Gazette of </w:t>
            </w:r>
            <w:r w:rsidR="006A58DD" w:rsidRPr="006A58DD">
              <w:rPr>
                <w:b/>
                <w:lang w:val="en-GB"/>
              </w:rPr>
              <w:t>14 November 2017</w:t>
            </w:r>
            <w:r w:rsidRPr="00A73805">
              <w:rPr>
                <w:b/>
              </w:rPr>
              <w:t>.</w:t>
            </w:r>
          </w:p>
        </w:tc>
      </w:tr>
      <w:tr w:rsidR="00D5572B" w:rsidRPr="00C513D2" w:rsidTr="006A58DD">
        <w:tc>
          <w:tcPr>
            <w:tcW w:w="993" w:type="dxa"/>
            <w:tcBorders>
              <w:top w:val="single" w:sz="6" w:space="0" w:color="auto"/>
              <w:left w:val="single" w:sz="6" w:space="0" w:color="auto"/>
              <w:bottom w:val="single" w:sz="6" w:space="0" w:color="auto"/>
              <w:right w:val="single" w:sz="6" w:space="0" w:color="auto"/>
            </w:tcBorders>
          </w:tcPr>
          <w:p w:rsidR="00D5572B" w:rsidRDefault="005F2EAD" w:rsidP="005F2EAD">
            <w:pPr>
              <w:rPr>
                <w:sz w:val="20"/>
              </w:rPr>
            </w:pPr>
            <w:r>
              <w:rPr>
                <w:sz w:val="20"/>
              </w:rPr>
              <w:t>21</w:t>
            </w:r>
            <w:r w:rsidR="00D5572B">
              <w:rPr>
                <w:sz w:val="20"/>
              </w:rPr>
              <w:t xml:space="preserve"> &amp; </w:t>
            </w:r>
            <w:r>
              <w:rPr>
                <w:sz w:val="20"/>
              </w:rPr>
              <w:t>22</w:t>
            </w:r>
            <w:r w:rsidR="00D5572B">
              <w:rPr>
                <w:sz w:val="20"/>
              </w:rPr>
              <w:t>/201</w:t>
            </w:r>
            <w:r w:rsidR="006A58DD">
              <w:rPr>
                <w:sz w:val="20"/>
              </w:rPr>
              <w:t>9</w:t>
            </w:r>
          </w:p>
        </w:tc>
        <w:tc>
          <w:tcPr>
            <w:tcW w:w="1842" w:type="dxa"/>
            <w:tcBorders>
              <w:top w:val="single" w:sz="2" w:space="0" w:color="auto"/>
              <w:left w:val="single" w:sz="6" w:space="0" w:color="auto"/>
              <w:bottom w:val="single" w:sz="2" w:space="0" w:color="auto"/>
              <w:right w:val="single" w:sz="6" w:space="0" w:color="auto"/>
            </w:tcBorders>
          </w:tcPr>
          <w:p w:rsidR="00D5572B" w:rsidRPr="00726C5A" w:rsidRDefault="005F2EAD" w:rsidP="00726C5A">
            <w:pPr>
              <w:rPr>
                <w:sz w:val="20"/>
              </w:rPr>
            </w:pPr>
            <w:r w:rsidRPr="005F2EAD">
              <w:rPr>
                <w:sz w:val="20"/>
              </w:rPr>
              <w:t>acute articular cartilage tear</w:t>
            </w:r>
          </w:p>
        </w:tc>
        <w:tc>
          <w:tcPr>
            <w:tcW w:w="7912" w:type="dxa"/>
            <w:tcBorders>
              <w:top w:val="single" w:sz="6" w:space="0" w:color="auto"/>
              <w:left w:val="single" w:sz="6" w:space="0" w:color="auto"/>
              <w:bottom w:val="single" w:sz="6" w:space="0" w:color="auto"/>
              <w:right w:val="single" w:sz="6" w:space="0" w:color="auto"/>
            </w:tcBorders>
          </w:tcPr>
          <w:p w:rsidR="00D5572B" w:rsidRPr="00A73805" w:rsidRDefault="00D5572B" w:rsidP="00D5572B">
            <w:pPr>
              <w:pStyle w:val="BodyText"/>
              <w:tabs>
                <w:tab w:val="left" w:pos="6753"/>
              </w:tabs>
              <w:spacing w:after="60"/>
              <w:ind w:right="33"/>
              <w:jc w:val="both"/>
            </w:pPr>
            <w:r w:rsidRPr="00A73805">
              <w:t xml:space="preserve">These Instruments result from an investigation notified by the Authority in the Government Notices Gazette of </w:t>
            </w:r>
            <w:r w:rsidR="005F2EAD" w:rsidRPr="005F2EAD">
              <w:rPr>
                <w:lang w:val="en-GB"/>
              </w:rPr>
              <w:t>14 November 2017</w:t>
            </w:r>
            <w:r w:rsidRPr="00A73805">
              <w:t xml:space="preserve"> concerning </w:t>
            </w:r>
            <w:r w:rsidR="005F2EAD" w:rsidRPr="005F2EAD">
              <w:rPr>
                <w:i/>
              </w:rPr>
              <w:t>acute articular cartilage tear</w:t>
            </w:r>
            <w:r w:rsidR="006A58DD" w:rsidRPr="006A58DD">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D5572B" w:rsidRPr="00A73805" w:rsidRDefault="00D5572B" w:rsidP="00D5572B">
            <w:pPr>
              <w:pStyle w:val="BodyText"/>
              <w:tabs>
                <w:tab w:val="left" w:pos="6753"/>
              </w:tabs>
              <w:spacing w:after="60"/>
              <w:ind w:right="33"/>
              <w:jc w:val="both"/>
            </w:pPr>
            <w:r w:rsidRPr="00A73805">
              <w:lastRenderedPageBreak/>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D5572B" w:rsidRPr="00A73805" w:rsidRDefault="00403239" w:rsidP="007E6E49">
            <w:pPr>
              <w:pStyle w:val="BodyText"/>
              <w:keepNext/>
              <w:tabs>
                <w:tab w:val="left" w:pos="6753"/>
              </w:tabs>
              <w:spacing w:before="60" w:after="60"/>
              <w:ind w:right="34"/>
              <w:jc w:val="both"/>
              <w:rPr>
                <w:b/>
                <w:i/>
              </w:rPr>
            </w:pPr>
            <w:r w:rsidRPr="00A73805">
              <w:rPr>
                <w:b/>
                <w:i/>
              </w:rPr>
              <w:t>For RH</w:t>
            </w:r>
            <w:r w:rsidR="00B76236">
              <w:rPr>
                <w:b/>
                <w:i/>
              </w:rPr>
              <w:t xml:space="preserve">&amp; </w:t>
            </w:r>
            <w:proofErr w:type="spellStart"/>
            <w:r w:rsidR="00B76236">
              <w:rPr>
                <w:b/>
                <w:i/>
              </w:rPr>
              <w:t>BoP</w:t>
            </w:r>
            <w:proofErr w:type="spellEnd"/>
            <w:r w:rsidR="00B76236">
              <w:rPr>
                <w:b/>
                <w:i/>
              </w:rPr>
              <w:t xml:space="preserve"> </w:t>
            </w:r>
            <w:proofErr w:type="spellStart"/>
            <w:r w:rsidRPr="00A73805">
              <w:rPr>
                <w:b/>
                <w:i/>
              </w:rPr>
              <w:t>SoP</w:t>
            </w:r>
            <w:r w:rsidR="00B76236">
              <w:rPr>
                <w:b/>
                <w:i/>
              </w:rPr>
              <w:t>s</w:t>
            </w:r>
            <w:proofErr w:type="spellEnd"/>
            <w:r w:rsidRPr="00A73805">
              <w:t xml:space="preserve"> </w:t>
            </w:r>
            <w:r w:rsidRPr="00A73805">
              <w:rPr>
                <w:b/>
                <w:i/>
              </w:rPr>
              <w:t>(Instrument No</w:t>
            </w:r>
            <w:r w:rsidR="00B76236">
              <w:rPr>
                <w:b/>
                <w:i/>
              </w:rPr>
              <w:t>s</w:t>
            </w:r>
            <w:r w:rsidRPr="00A73805">
              <w:rPr>
                <w:b/>
                <w:i/>
              </w:rPr>
              <w:t xml:space="preserve">. </w:t>
            </w:r>
            <w:r w:rsidR="005F2EAD">
              <w:rPr>
                <w:b/>
                <w:i/>
              </w:rPr>
              <w:t>21</w:t>
            </w:r>
            <w:r w:rsidR="00B76236">
              <w:rPr>
                <w:b/>
                <w:i/>
              </w:rPr>
              <w:t xml:space="preserve"> &amp; 22</w:t>
            </w:r>
            <w:r w:rsidRPr="00A73805">
              <w:rPr>
                <w:b/>
                <w:i/>
              </w:rPr>
              <w:t>/</w:t>
            </w:r>
            <w:r>
              <w:rPr>
                <w:b/>
                <w:i/>
              </w:rPr>
              <w:t>2019</w:t>
            </w:r>
            <w:r w:rsidRPr="00A73805">
              <w:rPr>
                <w:b/>
                <w:i/>
              </w:rPr>
              <w:t>)</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adopting the latest revised Instrument format, which commenced in 2015;</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specifying a day of commencement for the Instrument in section 2;</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revising the definition of 'acute articular cartilage tear' in subsection 7(2);</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new factor in subsection 9(2) concerning 'intra-articular surgery';</w:t>
            </w:r>
          </w:p>
          <w:p w:rsidR="005F2EAD" w:rsidRPr="005F2EAD" w:rsidRDefault="005F2EAD" w:rsidP="005F2EAD">
            <w:pPr>
              <w:numPr>
                <w:ilvl w:val="0"/>
                <w:numId w:val="2"/>
              </w:numPr>
              <w:tabs>
                <w:tab w:val="clear" w:pos="720"/>
                <w:tab w:val="num" w:pos="318"/>
              </w:tabs>
              <w:ind w:left="318" w:hanging="284"/>
              <w:jc w:val="both"/>
              <w:rPr>
                <w:sz w:val="20"/>
                <w:lang w:val="en-GB"/>
              </w:rPr>
            </w:pPr>
            <w:r w:rsidRPr="005F2EAD">
              <w:rPr>
                <w:sz w:val="20"/>
                <w:lang w:val="en-GB"/>
              </w:rPr>
              <w:t>new definitions of 'MRCA' and 'VEA' in Schedule 1 - Dictionary; and</w:t>
            </w:r>
          </w:p>
          <w:p w:rsidR="006A58DD" w:rsidRPr="00B76236" w:rsidRDefault="005F2EAD" w:rsidP="00B76236">
            <w:pPr>
              <w:numPr>
                <w:ilvl w:val="0"/>
                <w:numId w:val="2"/>
              </w:numPr>
              <w:tabs>
                <w:tab w:val="clear" w:pos="720"/>
                <w:tab w:val="num" w:pos="318"/>
              </w:tabs>
              <w:spacing w:after="120"/>
              <w:ind w:left="318" w:hanging="284"/>
              <w:jc w:val="both"/>
              <w:rPr>
                <w:sz w:val="20"/>
                <w:lang w:val="en-GB"/>
              </w:rPr>
            </w:pPr>
            <w:r w:rsidRPr="005F2EAD">
              <w:rPr>
                <w:sz w:val="20"/>
                <w:lang w:val="en-GB"/>
              </w:rPr>
              <w:t>revising the definition of 'relevant service' in Schedule 1 – Dictionary.</w:t>
            </w:r>
          </w:p>
          <w:p w:rsidR="00D5572B" w:rsidRPr="00694850" w:rsidRDefault="00D5572B" w:rsidP="005F2EAD">
            <w:pPr>
              <w:pStyle w:val="BodyText"/>
              <w:spacing w:after="60"/>
              <w:ind w:left="34" w:right="272"/>
              <w:rPr>
                <w:b/>
                <w:sz w:val="19"/>
                <w:szCs w:val="19"/>
              </w:rPr>
            </w:pPr>
            <w:r w:rsidRPr="00A73805">
              <w:rPr>
                <w:b/>
              </w:rPr>
              <w:t xml:space="preserve">The determining of these Instruments finalises the investigation in relation to </w:t>
            </w:r>
            <w:r w:rsidR="005F2EAD" w:rsidRPr="005F2EAD">
              <w:rPr>
                <w:b/>
                <w:i/>
              </w:rPr>
              <w:t>acute articular cartilage tear</w:t>
            </w:r>
            <w:r w:rsidR="006A58DD" w:rsidRPr="006A58DD">
              <w:rPr>
                <w:b/>
                <w:i/>
              </w:rPr>
              <w:t xml:space="preserve"> </w:t>
            </w:r>
            <w:r w:rsidRPr="00A73805">
              <w:rPr>
                <w:b/>
              </w:rPr>
              <w:t xml:space="preserve">as advertised in the Government Notices Gazette of </w:t>
            </w:r>
            <w:r w:rsidR="005F2EAD" w:rsidRPr="005F2EAD">
              <w:rPr>
                <w:b/>
                <w:lang w:val="en-GB"/>
              </w:rPr>
              <w:t>14</w:t>
            </w:r>
            <w:r w:rsidR="005F2EAD">
              <w:rPr>
                <w:b/>
                <w:lang w:val="en-GB"/>
              </w:rPr>
              <w:t> </w:t>
            </w:r>
            <w:r w:rsidR="005F2EAD" w:rsidRPr="005F2EAD">
              <w:rPr>
                <w:b/>
                <w:lang w:val="en-GB"/>
              </w:rPr>
              <w:t>November 2017</w:t>
            </w:r>
            <w:r w:rsidRPr="00A73805">
              <w:rPr>
                <w:b/>
              </w:rPr>
              <w:t>.</w:t>
            </w:r>
          </w:p>
        </w:tc>
      </w:tr>
      <w:tr w:rsidR="00276E92" w:rsidRPr="00C513D2" w:rsidTr="006A58DD">
        <w:tc>
          <w:tcPr>
            <w:tcW w:w="993" w:type="dxa"/>
            <w:tcBorders>
              <w:top w:val="single" w:sz="6" w:space="0" w:color="auto"/>
              <w:left w:val="single" w:sz="6" w:space="0" w:color="auto"/>
              <w:bottom w:val="single" w:sz="6" w:space="0" w:color="auto"/>
              <w:right w:val="single" w:sz="6" w:space="0" w:color="auto"/>
            </w:tcBorders>
          </w:tcPr>
          <w:p w:rsidR="00276E92" w:rsidRPr="00B76236" w:rsidRDefault="00B76236" w:rsidP="00B76236">
            <w:pPr>
              <w:rPr>
                <w:sz w:val="20"/>
              </w:rPr>
            </w:pPr>
            <w:r>
              <w:rPr>
                <w:sz w:val="20"/>
              </w:rPr>
              <w:lastRenderedPageBreak/>
              <w:t>23 &amp; 24</w:t>
            </w:r>
            <w:r w:rsidR="00061463" w:rsidRPr="00B76236">
              <w:rPr>
                <w:sz w:val="20"/>
              </w:rPr>
              <w:t>/201</w:t>
            </w:r>
            <w:r w:rsidR="002273F1" w:rsidRPr="00B76236">
              <w:rPr>
                <w:sz w:val="20"/>
              </w:rPr>
              <w:t>9</w:t>
            </w:r>
          </w:p>
        </w:tc>
        <w:tc>
          <w:tcPr>
            <w:tcW w:w="1842" w:type="dxa"/>
            <w:tcBorders>
              <w:top w:val="single" w:sz="2" w:space="0" w:color="auto"/>
              <w:left w:val="single" w:sz="6" w:space="0" w:color="auto"/>
              <w:bottom w:val="single" w:sz="2" w:space="0" w:color="auto"/>
              <w:right w:val="single" w:sz="6" w:space="0" w:color="auto"/>
            </w:tcBorders>
          </w:tcPr>
          <w:p w:rsidR="00276E92" w:rsidRPr="00B76236" w:rsidRDefault="00B76236" w:rsidP="00726C5A">
            <w:pPr>
              <w:rPr>
                <w:sz w:val="20"/>
              </w:rPr>
            </w:pPr>
            <w:r w:rsidRPr="00B76236">
              <w:rPr>
                <w:sz w:val="20"/>
              </w:rPr>
              <w:t>sinus barotrauma</w:t>
            </w:r>
          </w:p>
        </w:tc>
        <w:tc>
          <w:tcPr>
            <w:tcW w:w="7912" w:type="dxa"/>
            <w:tcBorders>
              <w:top w:val="single" w:sz="6" w:space="0" w:color="auto"/>
              <w:left w:val="single" w:sz="6" w:space="0" w:color="auto"/>
              <w:bottom w:val="single" w:sz="6" w:space="0" w:color="auto"/>
              <w:right w:val="single" w:sz="6" w:space="0" w:color="auto"/>
            </w:tcBorders>
          </w:tcPr>
          <w:p w:rsidR="00276E92" w:rsidRPr="00B76236" w:rsidRDefault="00276E92" w:rsidP="00276E92">
            <w:pPr>
              <w:pStyle w:val="BodyText"/>
              <w:tabs>
                <w:tab w:val="left" w:pos="6753"/>
              </w:tabs>
              <w:spacing w:after="60"/>
              <w:ind w:right="33"/>
              <w:jc w:val="both"/>
            </w:pPr>
            <w:r w:rsidRPr="00B76236">
              <w:t xml:space="preserve">These Instruments result from an investigation notified by the Authority in the Government Notices Gazette of </w:t>
            </w:r>
            <w:r w:rsidR="002273F1" w:rsidRPr="00B76236">
              <w:rPr>
                <w:lang w:val="en-GB"/>
              </w:rPr>
              <w:t>14 November 2017</w:t>
            </w:r>
            <w:r w:rsidRPr="00B76236">
              <w:t xml:space="preserve"> concerning </w:t>
            </w:r>
            <w:r w:rsidR="00B76236" w:rsidRPr="00B76236">
              <w:rPr>
                <w:i/>
              </w:rPr>
              <w:t>sinus barotrauma</w:t>
            </w:r>
            <w:r w:rsidR="00AC0E6C" w:rsidRPr="00B76236">
              <w:rPr>
                <w:i/>
              </w:rPr>
              <w:t xml:space="preserve"> </w:t>
            </w:r>
            <w:r w:rsidRPr="00B76236">
              <w:t>in accordance with section 196G of the VEA. The investigation involved an examination of the sound medical-scientific evidence now available to the Authority, including the sound medical-scientific evidence it has previously considered.</w:t>
            </w:r>
          </w:p>
          <w:p w:rsidR="00276E92" w:rsidRPr="00B76236" w:rsidRDefault="00276E92" w:rsidP="007E6E49">
            <w:pPr>
              <w:pStyle w:val="BodyText"/>
              <w:tabs>
                <w:tab w:val="left" w:pos="6753"/>
              </w:tabs>
              <w:ind w:right="34"/>
              <w:jc w:val="both"/>
            </w:pPr>
            <w:r w:rsidRPr="00B76236">
              <w:t>The contents of these Instruments are in similar terms as the repealed Instruments. Comparing these Instruments and the repealed Instruments, the differences include:</w:t>
            </w:r>
          </w:p>
          <w:p w:rsidR="00276E92" w:rsidRPr="00B76236" w:rsidRDefault="00276E92" w:rsidP="007E6E49">
            <w:pPr>
              <w:pStyle w:val="BodyText"/>
              <w:keepNext/>
              <w:tabs>
                <w:tab w:val="left" w:pos="6753"/>
              </w:tabs>
              <w:spacing w:before="60" w:after="60"/>
              <w:ind w:right="34"/>
              <w:jc w:val="both"/>
              <w:rPr>
                <w:b/>
                <w:i/>
              </w:rPr>
            </w:pPr>
            <w:r w:rsidRPr="00B76236">
              <w:rPr>
                <w:b/>
                <w:i/>
              </w:rPr>
              <w:t>For RH</w:t>
            </w:r>
            <w:r w:rsidR="002273F1" w:rsidRPr="00B76236">
              <w:rPr>
                <w:b/>
                <w:i/>
              </w:rPr>
              <w:t xml:space="preserve"> &amp; </w:t>
            </w:r>
            <w:proofErr w:type="spellStart"/>
            <w:r w:rsidR="002273F1" w:rsidRPr="00B76236">
              <w:rPr>
                <w:b/>
                <w:i/>
              </w:rPr>
              <w:t>BoP</w:t>
            </w:r>
            <w:proofErr w:type="spellEnd"/>
            <w:r w:rsidRPr="00B76236">
              <w:rPr>
                <w:b/>
                <w:i/>
              </w:rPr>
              <w:t xml:space="preserve"> </w:t>
            </w:r>
            <w:proofErr w:type="spellStart"/>
            <w:r w:rsidRPr="00B76236">
              <w:rPr>
                <w:b/>
                <w:i/>
              </w:rPr>
              <w:t>SoP</w:t>
            </w:r>
            <w:r w:rsidR="002273F1" w:rsidRPr="00B76236">
              <w:rPr>
                <w:b/>
                <w:i/>
              </w:rPr>
              <w:t>s</w:t>
            </w:r>
            <w:proofErr w:type="spellEnd"/>
            <w:r w:rsidRPr="00B76236">
              <w:t xml:space="preserve"> </w:t>
            </w:r>
            <w:r w:rsidRPr="00B76236">
              <w:rPr>
                <w:b/>
                <w:i/>
              </w:rPr>
              <w:t>(Instrument No</w:t>
            </w:r>
            <w:r w:rsidR="002273F1" w:rsidRPr="00B76236">
              <w:rPr>
                <w:b/>
                <w:i/>
              </w:rPr>
              <w:t>s</w:t>
            </w:r>
            <w:r w:rsidRPr="00B76236">
              <w:rPr>
                <w:b/>
                <w:i/>
              </w:rPr>
              <w:t xml:space="preserve">. </w:t>
            </w:r>
            <w:r w:rsidR="00B76236">
              <w:rPr>
                <w:b/>
                <w:i/>
              </w:rPr>
              <w:t>23</w:t>
            </w:r>
            <w:r w:rsidR="002273F1" w:rsidRPr="00B76236">
              <w:rPr>
                <w:b/>
                <w:i/>
              </w:rPr>
              <w:t xml:space="preserve"> &amp; </w:t>
            </w:r>
            <w:r w:rsidR="00B76236">
              <w:rPr>
                <w:b/>
                <w:i/>
              </w:rPr>
              <w:t>24</w:t>
            </w:r>
            <w:r w:rsidRPr="00B76236">
              <w:rPr>
                <w:b/>
                <w:i/>
              </w:rPr>
              <w:t>/201</w:t>
            </w:r>
            <w:r w:rsidR="002273F1" w:rsidRPr="00B76236">
              <w:rPr>
                <w:b/>
                <w:i/>
              </w:rPr>
              <w:t>9</w:t>
            </w:r>
            <w:r w:rsidRPr="00B76236">
              <w:rPr>
                <w:b/>
                <w:i/>
              </w:rPr>
              <w:t>)</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adopting the latest revised Instrument format, which commenced in 2015;</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specifying a day of commencement for the Instrument in section 2;</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revising the definition of 'sinus barotrauma' in subsection 7(2);</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revising the reference to 'ICD-10-AM code' in subsection 7(4);</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 xml:space="preserve">revising the factors in subsections 9(1) &amp; 9(6) concerning 'change in </w:t>
            </w:r>
            <w:r w:rsidR="002919AC">
              <w:rPr>
                <w:sz w:val="20"/>
                <w:lang w:val="en-GB"/>
              </w:rPr>
              <w:t xml:space="preserve">the </w:t>
            </w:r>
            <w:r w:rsidRPr="00B76236">
              <w:rPr>
                <w:sz w:val="20"/>
                <w:lang w:val="en-GB"/>
              </w:rPr>
              <w:t>ambient barometric pressure', by the inclusion of a note;</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revising the factors in subsections 9(2) &amp; 9(7) concerning 'mechanical ventilation';</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new factors in subsections 9(3) &amp; 9(8) concerning 'explosive blast';</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new factors in subsections 9(4) &amp; 9(9) concerning 'impaired drainage of the sinus';</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new factors in subsections 9(5) &amp; 9(10) concerning 'allergic rhinitis or sinusitis';</w:t>
            </w:r>
          </w:p>
          <w:p w:rsidR="00B76236" w:rsidRPr="00B76236" w:rsidRDefault="00B76236" w:rsidP="00B76236">
            <w:pPr>
              <w:numPr>
                <w:ilvl w:val="0"/>
                <w:numId w:val="2"/>
              </w:numPr>
              <w:tabs>
                <w:tab w:val="clear" w:pos="720"/>
              </w:tabs>
              <w:ind w:left="318" w:hanging="284"/>
              <w:jc w:val="both"/>
              <w:rPr>
                <w:sz w:val="20"/>
                <w:lang w:val="en-GB"/>
              </w:rPr>
            </w:pPr>
            <w:r w:rsidRPr="00B76236">
              <w:rPr>
                <w:sz w:val="20"/>
                <w:lang w:val="en-GB"/>
              </w:rPr>
              <w:t>new definitions of 'impaired drainage of the sinus', 'MRCA' and 'VEA' in Schedule 1 - Dictionary; and</w:t>
            </w:r>
          </w:p>
          <w:p w:rsidR="00276E92" w:rsidRPr="00B76236" w:rsidRDefault="00B76236" w:rsidP="00B76236">
            <w:pPr>
              <w:numPr>
                <w:ilvl w:val="0"/>
                <w:numId w:val="2"/>
              </w:numPr>
              <w:tabs>
                <w:tab w:val="clear" w:pos="720"/>
              </w:tabs>
              <w:spacing w:after="120"/>
              <w:ind w:left="318" w:hanging="284"/>
              <w:jc w:val="both"/>
              <w:rPr>
                <w:sz w:val="20"/>
                <w:lang w:val="en-GB"/>
              </w:rPr>
            </w:pPr>
            <w:r w:rsidRPr="00B76236">
              <w:rPr>
                <w:sz w:val="20"/>
                <w:lang w:val="en-GB"/>
              </w:rPr>
              <w:t>revising the definition of 'relevant service' in Schedule 1 – Dictionary.</w:t>
            </w:r>
          </w:p>
          <w:p w:rsidR="00276E92" w:rsidRPr="00B76236" w:rsidRDefault="00276E92" w:rsidP="002273F1">
            <w:pPr>
              <w:pStyle w:val="BodyText"/>
              <w:spacing w:after="60"/>
              <w:ind w:left="34" w:right="272"/>
              <w:rPr>
                <w:b/>
                <w:sz w:val="19"/>
                <w:szCs w:val="19"/>
              </w:rPr>
            </w:pPr>
            <w:r w:rsidRPr="00B76236">
              <w:rPr>
                <w:b/>
              </w:rPr>
              <w:t xml:space="preserve">The determining of these Instruments finalises the investigation in relation </w:t>
            </w:r>
            <w:r w:rsidR="00B76236" w:rsidRPr="00B76236">
              <w:rPr>
                <w:b/>
              </w:rPr>
              <w:t>sinus barotrauma</w:t>
            </w:r>
            <w:r w:rsidR="00AC0E6C" w:rsidRPr="00B76236">
              <w:rPr>
                <w:b/>
                <w:i/>
              </w:rPr>
              <w:t xml:space="preserve"> </w:t>
            </w:r>
            <w:r w:rsidRPr="00B76236">
              <w:rPr>
                <w:b/>
              </w:rPr>
              <w:t xml:space="preserve">as advertised in the Government Notices Gazette of </w:t>
            </w:r>
            <w:r w:rsidR="002273F1" w:rsidRPr="00B76236">
              <w:rPr>
                <w:b/>
                <w:lang w:val="en-GB"/>
              </w:rPr>
              <w:t>14 November 2017</w:t>
            </w:r>
            <w:r w:rsidRPr="00B76236">
              <w:rPr>
                <w:b/>
              </w:rPr>
              <w:t>.</w:t>
            </w:r>
            <w:r w:rsidR="00061463" w:rsidRPr="00B76236">
              <w:rPr>
                <w:b/>
              </w:rPr>
              <w:t xml:space="preserve"> </w:t>
            </w:r>
          </w:p>
        </w:tc>
      </w:tr>
      <w:tr w:rsidR="00953055" w:rsidRPr="00C513D2" w:rsidTr="006A58DD">
        <w:tc>
          <w:tcPr>
            <w:tcW w:w="993" w:type="dxa"/>
            <w:tcBorders>
              <w:top w:val="single" w:sz="6" w:space="0" w:color="auto"/>
              <w:left w:val="single" w:sz="6" w:space="0" w:color="auto"/>
              <w:bottom w:val="single" w:sz="6" w:space="0" w:color="auto"/>
              <w:right w:val="single" w:sz="6" w:space="0" w:color="auto"/>
            </w:tcBorders>
          </w:tcPr>
          <w:p w:rsidR="00953055" w:rsidRPr="00434A2A" w:rsidRDefault="00434A2A" w:rsidP="00434A2A">
            <w:pPr>
              <w:rPr>
                <w:sz w:val="20"/>
              </w:rPr>
            </w:pPr>
            <w:r>
              <w:rPr>
                <w:sz w:val="20"/>
              </w:rPr>
              <w:t>25</w:t>
            </w:r>
            <w:r w:rsidR="002273F1" w:rsidRPr="00434A2A">
              <w:rPr>
                <w:sz w:val="20"/>
              </w:rPr>
              <w:t xml:space="preserve"> &amp; </w:t>
            </w:r>
            <w:r>
              <w:rPr>
                <w:sz w:val="20"/>
              </w:rPr>
              <w:t>26</w:t>
            </w:r>
            <w:r w:rsidR="00953055" w:rsidRPr="00434A2A">
              <w:rPr>
                <w:sz w:val="20"/>
              </w:rPr>
              <w:t>/201</w:t>
            </w:r>
            <w:r w:rsidR="002273F1" w:rsidRPr="00434A2A">
              <w:rPr>
                <w:sz w:val="20"/>
              </w:rPr>
              <w:t>9</w:t>
            </w:r>
          </w:p>
        </w:tc>
        <w:tc>
          <w:tcPr>
            <w:tcW w:w="1842" w:type="dxa"/>
            <w:tcBorders>
              <w:top w:val="single" w:sz="2" w:space="0" w:color="auto"/>
              <w:left w:val="single" w:sz="6" w:space="0" w:color="auto"/>
              <w:bottom w:val="single" w:sz="2" w:space="0" w:color="auto"/>
              <w:right w:val="single" w:sz="6" w:space="0" w:color="auto"/>
            </w:tcBorders>
          </w:tcPr>
          <w:p w:rsidR="00953055" w:rsidRPr="00434A2A" w:rsidRDefault="00434A2A" w:rsidP="00434A2A">
            <w:pPr>
              <w:rPr>
                <w:sz w:val="20"/>
              </w:rPr>
            </w:pPr>
            <w:r w:rsidRPr="00434A2A">
              <w:rPr>
                <w:sz w:val="20"/>
              </w:rPr>
              <w:t>acute meniscal tear of the knee</w:t>
            </w:r>
          </w:p>
        </w:tc>
        <w:tc>
          <w:tcPr>
            <w:tcW w:w="7912" w:type="dxa"/>
            <w:tcBorders>
              <w:top w:val="single" w:sz="6" w:space="0" w:color="auto"/>
              <w:left w:val="single" w:sz="6" w:space="0" w:color="auto"/>
              <w:bottom w:val="single" w:sz="6" w:space="0" w:color="auto"/>
              <w:right w:val="single" w:sz="6" w:space="0" w:color="auto"/>
            </w:tcBorders>
          </w:tcPr>
          <w:p w:rsidR="002273F1" w:rsidRPr="00434A2A" w:rsidRDefault="002273F1" w:rsidP="002273F1">
            <w:pPr>
              <w:pStyle w:val="BodyText"/>
              <w:tabs>
                <w:tab w:val="left" w:pos="6753"/>
              </w:tabs>
              <w:spacing w:after="60"/>
              <w:ind w:right="33"/>
              <w:jc w:val="both"/>
            </w:pPr>
            <w:r w:rsidRPr="00434A2A">
              <w:t xml:space="preserve">These Instruments result from an investigation notified by the Authority in the Government Notices Gazette of 14 November 2017 concerning </w:t>
            </w:r>
            <w:r w:rsidR="00434A2A" w:rsidRPr="00434A2A">
              <w:rPr>
                <w:i/>
              </w:rPr>
              <w:t xml:space="preserve">acute meniscal tear of the knee </w:t>
            </w:r>
            <w:r w:rsidRPr="00434A2A">
              <w:t>in accordance with section 196G of the VEA. The investigation involved an examination of the sound medical-scientific evidence now available to the Authority, including the sound medical-scientific evidence it has previously considered.</w:t>
            </w:r>
          </w:p>
          <w:p w:rsidR="002273F1" w:rsidRPr="00434A2A" w:rsidRDefault="002273F1" w:rsidP="002273F1">
            <w:pPr>
              <w:pStyle w:val="BodyText"/>
              <w:tabs>
                <w:tab w:val="left" w:pos="6753"/>
              </w:tabs>
              <w:spacing w:after="60"/>
              <w:ind w:right="33"/>
              <w:jc w:val="both"/>
            </w:pPr>
            <w:r w:rsidRPr="00434A2A">
              <w:t>The contents of these Instruments are in similar terms as the repealed Instruments. Comparing these Instruments and the repealed Instruments, the differences include:</w:t>
            </w:r>
          </w:p>
          <w:p w:rsidR="002273F1" w:rsidRPr="00434A2A" w:rsidRDefault="002273F1" w:rsidP="007E6E49">
            <w:pPr>
              <w:pStyle w:val="BodyText"/>
              <w:tabs>
                <w:tab w:val="left" w:pos="6753"/>
              </w:tabs>
              <w:spacing w:before="60" w:after="60"/>
              <w:ind w:right="34"/>
              <w:jc w:val="both"/>
              <w:rPr>
                <w:b/>
                <w:i/>
              </w:rPr>
            </w:pPr>
            <w:r w:rsidRPr="00434A2A">
              <w:rPr>
                <w:b/>
                <w:i/>
              </w:rPr>
              <w:t xml:space="preserve">For RH </w:t>
            </w:r>
            <w:r w:rsidR="00647664">
              <w:rPr>
                <w:b/>
                <w:i/>
              </w:rPr>
              <w:t xml:space="preserve">&amp; </w:t>
            </w:r>
            <w:proofErr w:type="spellStart"/>
            <w:r w:rsidR="00647664">
              <w:rPr>
                <w:b/>
                <w:i/>
              </w:rPr>
              <w:t>BoP</w:t>
            </w:r>
            <w:proofErr w:type="spellEnd"/>
            <w:r w:rsidR="00647664">
              <w:rPr>
                <w:b/>
                <w:i/>
              </w:rPr>
              <w:t xml:space="preserve"> </w:t>
            </w:r>
            <w:proofErr w:type="spellStart"/>
            <w:r w:rsidRPr="00434A2A">
              <w:rPr>
                <w:b/>
                <w:i/>
              </w:rPr>
              <w:t>SoP</w:t>
            </w:r>
            <w:r w:rsidR="00647664">
              <w:rPr>
                <w:b/>
                <w:i/>
              </w:rPr>
              <w:t>s</w:t>
            </w:r>
            <w:proofErr w:type="spellEnd"/>
            <w:r w:rsidRPr="00434A2A">
              <w:t xml:space="preserve"> </w:t>
            </w:r>
            <w:r w:rsidRPr="00434A2A">
              <w:rPr>
                <w:b/>
                <w:i/>
              </w:rPr>
              <w:t>(Instrument No</w:t>
            </w:r>
            <w:r w:rsidR="00647664">
              <w:rPr>
                <w:b/>
                <w:i/>
              </w:rPr>
              <w:t>s</w:t>
            </w:r>
            <w:r w:rsidRPr="00434A2A">
              <w:rPr>
                <w:b/>
                <w:i/>
              </w:rPr>
              <w:t xml:space="preserve">. </w:t>
            </w:r>
            <w:r w:rsidR="00434A2A">
              <w:rPr>
                <w:b/>
                <w:i/>
              </w:rPr>
              <w:t>25</w:t>
            </w:r>
            <w:r w:rsidR="00647664">
              <w:rPr>
                <w:b/>
                <w:i/>
              </w:rPr>
              <w:t xml:space="preserve"> &amp; 26</w:t>
            </w:r>
            <w:r w:rsidRPr="00434A2A">
              <w:rPr>
                <w:b/>
                <w:i/>
              </w:rPr>
              <w:t>/2019)</w:t>
            </w:r>
          </w:p>
          <w:p w:rsidR="00647664" w:rsidRPr="00647664" w:rsidRDefault="00647664" w:rsidP="00647664">
            <w:pPr>
              <w:numPr>
                <w:ilvl w:val="0"/>
                <w:numId w:val="2"/>
              </w:numPr>
              <w:tabs>
                <w:tab w:val="clear" w:pos="720"/>
                <w:tab w:val="num" w:pos="318"/>
              </w:tabs>
              <w:ind w:left="318" w:hanging="318"/>
              <w:jc w:val="both"/>
              <w:rPr>
                <w:sz w:val="20"/>
                <w:lang w:val="en-GB"/>
              </w:rPr>
            </w:pPr>
            <w:r w:rsidRPr="00647664">
              <w:rPr>
                <w:sz w:val="20"/>
                <w:lang w:val="en-GB"/>
              </w:rPr>
              <w:t>adopting the latest revised Instrument format, which commenced in 2015;</w:t>
            </w:r>
          </w:p>
          <w:p w:rsidR="00647664" w:rsidRPr="00647664" w:rsidRDefault="00647664" w:rsidP="00647664">
            <w:pPr>
              <w:numPr>
                <w:ilvl w:val="0"/>
                <w:numId w:val="2"/>
              </w:numPr>
              <w:tabs>
                <w:tab w:val="clear" w:pos="720"/>
                <w:tab w:val="num" w:pos="318"/>
              </w:tabs>
              <w:ind w:left="318" w:hanging="318"/>
              <w:jc w:val="both"/>
              <w:rPr>
                <w:sz w:val="20"/>
                <w:lang w:val="en-GB"/>
              </w:rPr>
            </w:pPr>
            <w:r w:rsidRPr="00647664">
              <w:rPr>
                <w:sz w:val="20"/>
                <w:lang w:val="en-GB"/>
              </w:rPr>
              <w:t>specifying a day of commencement for the Instrument in section 2;</w:t>
            </w:r>
          </w:p>
          <w:p w:rsidR="00647664" w:rsidRPr="00647664" w:rsidRDefault="00647664" w:rsidP="00647664">
            <w:pPr>
              <w:numPr>
                <w:ilvl w:val="0"/>
                <w:numId w:val="2"/>
              </w:numPr>
              <w:tabs>
                <w:tab w:val="clear" w:pos="720"/>
                <w:tab w:val="num" w:pos="318"/>
              </w:tabs>
              <w:ind w:left="318" w:hanging="318"/>
              <w:jc w:val="both"/>
              <w:rPr>
                <w:sz w:val="20"/>
                <w:lang w:val="en-GB"/>
              </w:rPr>
            </w:pPr>
            <w:r w:rsidRPr="00647664">
              <w:rPr>
                <w:sz w:val="20"/>
                <w:lang w:val="en-GB"/>
              </w:rPr>
              <w:t>revising the definition of 'acute meniscal tear of the knee' in subsection 7(2);</w:t>
            </w:r>
          </w:p>
          <w:p w:rsidR="00647664" w:rsidRPr="00647664" w:rsidRDefault="00647664" w:rsidP="00647664">
            <w:pPr>
              <w:numPr>
                <w:ilvl w:val="0"/>
                <w:numId w:val="2"/>
              </w:numPr>
              <w:tabs>
                <w:tab w:val="clear" w:pos="720"/>
                <w:tab w:val="num" w:pos="318"/>
              </w:tabs>
              <w:ind w:left="318" w:hanging="318"/>
              <w:jc w:val="both"/>
              <w:rPr>
                <w:sz w:val="20"/>
                <w:lang w:val="en-GB"/>
              </w:rPr>
            </w:pPr>
            <w:r w:rsidRPr="00647664">
              <w:rPr>
                <w:sz w:val="20"/>
                <w:lang w:val="en-GB"/>
              </w:rPr>
              <w:t>revising the reference to 'ICD-10-AM code' in subsection 7(4);</w:t>
            </w:r>
          </w:p>
          <w:p w:rsidR="00647664" w:rsidRPr="00647664" w:rsidRDefault="00647664" w:rsidP="00647664">
            <w:pPr>
              <w:numPr>
                <w:ilvl w:val="0"/>
                <w:numId w:val="2"/>
              </w:numPr>
              <w:tabs>
                <w:tab w:val="clear" w:pos="720"/>
                <w:tab w:val="num" w:pos="318"/>
              </w:tabs>
              <w:ind w:left="318" w:hanging="318"/>
              <w:jc w:val="both"/>
              <w:rPr>
                <w:sz w:val="20"/>
                <w:lang w:val="en-GB"/>
              </w:rPr>
            </w:pPr>
            <w:r w:rsidRPr="00647664">
              <w:rPr>
                <w:sz w:val="20"/>
                <w:lang w:val="en-GB"/>
              </w:rPr>
              <w:t>new definitions of 'MRCA' and 'VEA' in Schedule 1 - Dictionary;</w:t>
            </w:r>
          </w:p>
          <w:p w:rsidR="002273F1" w:rsidRPr="00434A2A" w:rsidRDefault="00647664" w:rsidP="00647664">
            <w:pPr>
              <w:numPr>
                <w:ilvl w:val="0"/>
                <w:numId w:val="2"/>
              </w:numPr>
              <w:tabs>
                <w:tab w:val="clear" w:pos="720"/>
                <w:tab w:val="num" w:pos="318"/>
              </w:tabs>
              <w:spacing w:after="120"/>
              <w:ind w:left="318" w:hanging="318"/>
              <w:jc w:val="both"/>
              <w:rPr>
                <w:sz w:val="20"/>
                <w:lang w:val="en-GB"/>
              </w:rPr>
            </w:pPr>
            <w:r w:rsidRPr="00647664">
              <w:rPr>
                <w:sz w:val="20"/>
                <w:lang w:val="en-GB"/>
              </w:rPr>
              <w:t>revising the definition of 'relevant service' in Schedule 1 – Dictionary.</w:t>
            </w:r>
          </w:p>
          <w:p w:rsidR="00953055" w:rsidRPr="00434A2A" w:rsidRDefault="002273F1" w:rsidP="00434A2A">
            <w:pPr>
              <w:pStyle w:val="BodyText"/>
              <w:spacing w:after="60"/>
              <w:ind w:left="34" w:right="272"/>
              <w:rPr>
                <w:b/>
              </w:rPr>
            </w:pPr>
            <w:r w:rsidRPr="00434A2A">
              <w:rPr>
                <w:b/>
              </w:rPr>
              <w:t xml:space="preserve">The determining of these Instruments finalises the investigation in relation to </w:t>
            </w:r>
            <w:r w:rsidR="00434A2A" w:rsidRPr="00434A2A">
              <w:rPr>
                <w:b/>
                <w:i/>
              </w:rPr>
              <w:t>acute meniscal tear of the knee</w:t>
            </w:r>
            <w:r w:rsidRPr="00434A2A">
              <w:rPr>
                <w:b/>
                <w:i/>
              </w:rPr>
              <w:t xml:space="preserve"> </w:t>
            </w:r>
            <w:r w:rsidRPr="00434A2A">
              <w:rPr>
                <w:b/>
              </w:rPr>
              <w:t>as advertised in the Government Notices Gazette of 14</w:t>
            </w:r>
            <w:r w:rsidR="00434A2A">
              <w:rPr>
                <w:b/>
              </w:rPr>
              <w:t> </w:t>
            </w:r>
            <w:r w:rsidRPr="00434A2A">
              <w:rPr>
                <w:b/>
              </w:rPr>
              <w:t>November 2017.</w:t>
            </w:r>
          </w:p>
        </w:tc>
      </w:tr>
      <w:tr w:rsidR="00FD4FFF" w:rsidRPr="00C513D2" w:rsidTr="006A58DD">
        <w:tc>
          <w:tcPr>
            <w:tcW w:w="993" w:type="dxa"/>
            <w:tcBorders>
              <w:top w:val="single" w:sz="6" w:space="0" w:color="auto"/>
              <w:left w:val="single" w:sz="6" w:space="0" w:color="auto"/>
              <w:bottom w:val="single" w:sz="6" w:space="0" w:color="auto"/>
              <w:right w:val="single" w:sz="6" w:space="0" w:color="auto"/>
            </w:tcBorders>
          </w:tcPr>
          <w:p w:rsidR="00FD4FFF" w:rsidRPr="008274E5" w:rsidRDefault="008274E5" w:rsidP="008274E5">
            <w:pPr>
              <w:rPr>
                <w:sz w:val="20"/>
              </w:rPr>
            </w:pPr>
            <w:r>
              <w:rPr>
                <w:sz w:val="20"/>
              </w:rPr>
              <w:t>27</w:t>
            </w:r>
            <w:r w:rsidR="007E6E49" w:rsidRPr="008274E5">
              <w:rPr>
                <w:sz w:val="20"/>
              </w:rPr>
              <w:t xml:space="preserve"> &amp; </w:t>
            </w:r>
            <w:r>
              <w:rPr>
                <w:sz w:val="20"/>
              </w:rPr>
              <w:t>28</w:t>
            </w:r>
            <w:r w:rsidR="00FD4FFF" w:rsidRPr="008274E5">
              <w:rPr>
                <w:sz w:val="20"/>
              </w:rPr>
              <w:t>/201</w:t>
            </w:r>
            <w:r w:rsidR="007E6E49" w:rsidRPr="008274E5">
              <w:rPr>
                <w:sz w:val="20"/>
              </w:rPr>
              <w:t>9</w:t>
            </w:r>
          </w:p>
        </w:tc>
        <w:tc>
          <w:tcPr>
            <w:tcW w:w="1842" w:type="dxa"/>
            <w:tcBorders>
              <w:top w:val="single" w:sz="2" w:space="0" w:color="auto"/>
              <w:left w:val="single" w:sz="6" w:space="0" w:color="auto"/>
              <w:bottom w:val="single" w:sz="2" w:space="0" w:color="auto"/>
              <w:right w:val="single" w:sz="6" w:space="0" w:color="auto"/>
            </w:tcBorders>
          </w:tcPr>
          <w:p w:rsidR="00FD4FFF" w:rsidRPr="008274E5" w:rsidRDefault="008274E5" w:rsidP="00FD4FFF">
            <w:pPr>
              <w:rPr>
                <w:sz w:val="20"/>
              </w:rPr>
            </w:pPr>
            <w:r w:rsidRPr="008274E5">
              <w:rPr>
                <w:sz w:val="20"/>
              </w:rPr>
              <w:t>pilonidal sinus</w:t>
            </w:r>
          </w:p>
        </w:tc>
        <w:tc>
          <w:tcPr>
            <w:tcW w:w="7912" w:type="dxa"/>
            <w:tcBorders>
              <w:top w:val="single" w:sz="6" w:space="0" w:color="auto"/>
              <w:left w:val="single" w:sz="6" w:space="0" w:color="auto"/>
              <w:bottom w:val="single" w:sz="6" w:space="0" w:color="auto"/>
              <w:right w:val="single" w:sz="6" w:space="0" w:color="auto"/>
            </w:tcBorders>
          </w:tcPr>
          <w:p w:rsidR="007E6E49" w:rsidRPr="008274E5" w:rsidRDefault="007E6E49" w:rsidP="007E6E49">
            <w:pPr>
              <w:pStyle w:val="BodyText"/>
              <w:tabs>
                <w:tab w:val="left" w:pos="6753"/>
              </w:tabs>
              <w:spacing w:after="60"/>
              <w:ind w:right="33"/>
              <w:jc w:val="both"/>
            </w:pPr>
            <w:r w:rsidRPr="008274E5">
              <w:t xml:space="preserve">These Instruments result from an investigation notified by the Authority in the Government Notices Gazette of </w:t>
            </w:r>
            <w:r w:rsidR="00B62B3E" w:rsidRPr="00B62B3E">
              <w:rPr>
                <w:lang w:val="en-GB"/>
              </w:rPr>
              <w:t>14 November 2017</w:t>
            </w:r>
            <w:r w:rsidRPr="008274E5">
              <w:t xml:space="preserve"> concerning </w:t>
            </w:r>
            <w:r w:rsidR="00B62B3E" w:rsidRPr="00B62B3E">
              <w:rPr>
                <w:i/>
              </w:rPr>
              <w:t>pilonidal sinus</w:t>
            </w:r>
            <w:r w:rsidRPr="008274E5">
              <w:rPr>
                <w:i/>
              </w:rPr>
              <w:t xml:space="preserve"> </w:t>
            </w:r>
            <w:r w:rsidRPr="008274E5">
              <w:t>in accordance with section 196G of the VEA. The investigation involved an examination of the sound medical-scientific evidence now available to the Authority, including the sound medical-scientific evidence it has previously considered.</w:t>
            </w:r>
          </w:p>
          <w:p w:rsidR="007E6E49" w:rsidRPr="008274E5" w:rsidRDefault="007E6E49" w:rsidP="007E6E49">
            <w:pPr>
              <w:pStyle w:val="BodyText"/>
              <w:tabs>
                <w:tab w:val="left" w:pos="6753"/>
              </w:tabs>
              <w:spacing w:after="60"/>
              <w:ind w:right="33"/>
              <w:jc w:val="both"/>
            </w:pPr>
            <w:r w:rsidRPr="008274E5">
              <w:lastRenderedPageBreak/>
              <w:t>The contents of these Instruments are in similar terms as the repealed Instruments. Comparing these Instruments and the repealed Instruments, the differences include:</w:t>
            </w:r>
          </w:p>
          <w:p w:rsidR="007E6E49" w:rsidRPr="008274E5" w:rsidRDefault="007E6E49" w:rsidP="007E6E49">
            <w:pPr>
              <w:pStyle w:val="BodyText"/>
              <w:keepNext/>
              <w:tabs>
                <w:tab w:val="left" w:pos="6753"/>
              </w:tabs>
              <w:spacing w:before="60" w:after="60"/>
              <w:ind w:right="34"/>
              <w:jc w:val="both"/>
              <w:rPr>
                <w:b/>
                <w:i/>
              </w:rPr>
            </w:pPr>
            <w:r w:rsidRPr="008274E5">
              <w:rPr>
                <w:b/>
                <w:i/>
              </w:rPr>
              <w:t xml:space="preserve">For RH </w:t>
            </w:r>
            <w:r w:rsidR="00B62B3E">
              <w:rPr>
                <w:b/>
                <w:i/>
              </w:rPr>
              <w:t xml:space="preserve">&amp; </w:t>
            </w:r>
            <w:proofErr w:type="spellStart"/>
            <w:r w:rsidR="00B62B3E">
              <w:rPr>
                <w:b/>
                <w:i/>
              </w:rPr>
              <w:t>BoP</w:t>
            </w:r>
            <w:proofErr w:type="spellEnd"/>
            <w:r w:rsidR="00B62B3E">
              <w:rPr>
                <w:b/>
                <w:i/>
              </w:rPr>
              <w:t xml:space="preserve"> </w:t>
            </w:r>
            <w:proofErr w:type="spellStart"/>
            <w:r w:rsidRPr="008274E5">
              <w:rPr>
                <w:b/>
                <w:i/>
              </w:rPr>
              <w:t>SoP</w:t>
            </w:r>
            <w:r w:rsidR="00B62B3E">
              <w:rPr>
                <w:b/>
                <w:i/>
              </w:rPr>
              <w:t>s</w:t>
            </w:r>
            <w:proofErr w:type="spellEnd"/>
            <w:r w:rsidRPr="008274E5">
              <w:t xml:space="preserve"> </w:t>
            </w:r>
            <w:r w:rsidRPr="008274E5">
              <w:rPr>
                <w:b/>
                <w:i/>
              </w:rPr>
              <w:t>(Instrument No</w:t>
            </w:r>
            <w:r w:rsidR="00B62B3E">
              <w:rPr>
                <w:b/>
                <w:i/>
              </w:rPr>
              <w:t>s</w:t>
            </w:r>
            <w:r w:rsidRPr="008274E5">
              <w:rPr>
                <w:b/>
                <w:i/>
              </w:rPr>
              <w:t xml:space="preserve">. </w:t>
            </w:r>
            <w:r w:rsidR="00B62B3E">
              <w:rPr>
                <w:b/>
                <w:i/>
              </w:rPr>
              <w:t>27 &amp; 28</w:t>
            </w:r>
            <w:r w:rsidRPr="008274E5">
              <w:rPr>
                <w:b/>
                <w:i/>
              </w:rPr>
              <w:t>/2019)</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adopting the latest revised Instrument format, which commenced in 2015;</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specifying a day of commencement for the Instrument in section 2;</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revising the definition of 'pilonidal sinus' in subsection 7(2);</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revising the reference to 'ICD-10-AM code' in subsection 7(4);</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revising the factor in subsection 9(1)(a) concerning 'working as a hairdresser or barber', for pilonidal sinus of the hand or foot only;</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revising the factor in subsection 9(1)(b) concerning 'cutaneous exposure to animal hair', for pilonidal sinus of the hand or foot only, by the inclusion of a note;</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revising the factors in subsections 9(2)(a) &amp; 9(5)(a) concerning 'driving or being a seated passenger in a motorised vehicle', for pilonidal sinus of the sacrococcygeal region only;</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revising the factors in subsections 9(2)(b) &amp; 9(5)(b) concerning 'being overweight or obese', for pilonidal sinus of the sacrococcygeal region only;</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new factors in subsections 9(3) &amp; 9(6) concerning 'inability to shower or bathe', for pilonidal sinus of the sacrococcygeal and umbilical regions only;</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new factor in subsection 9(4)(a) concerning 'working as a hairdresser or barber', for clinical worsening, for pilonidal sinus of the hand or foot only;</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new factor in subsection 9(4)(b) concerning 'cutaneous exposure to animal hair', for clinical worsening, for pilonidal sinus of the hand or foot only;</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new definitions of 'being overweight or obese', 'BMI', 'MRCA' and 'VEA' in Schedule</w:t>
            </w:r>
            <w:r>
              <w:rPr>
                <w:sz w:val="20"/>
                <w:lang w:val="en-GB"/>
              </w:rPr>
              <w:t> </w:t>
            </w:r>
            <w:r w:rsidRPr="00B62B3E">
              <w:rPr>
                <w:sz w:val="20"/>
                <w:lang w:val="en-GB"/>
              </w:rPr>
              <w:t>1-</w:t>
            </w:r>
            <w:r>
              <w:rPr>
                <w:sz w:val="20"/>
                <w:lang w:val="en-GB"/>
              </w:rPr>
              <w:t> D</w:t>
            </w:r>
            <w:r w:rsidRPr="00B62B3E">
              <w:rPr>
                <w:sz w:val="20"/>
                <w:lang w:val="en-GB"/>
              </w:rPr>
              <w:t>ictionary;</w:t>
            </w:r>
          </w:p>
          <w:p w:rsidR="00B62B3E" w:rsidRPr="00B62B3E" w:rsidRDefault="00B62B3E" w:rsidP="00B62B3E">
            <w:pPr>
              <w:numPr>
                <w:ilvl w:val="0"/>
                <w:numId w:val="2"/>
              </w:numPr>
              <w:tabs>
                <w:tab w:val="clear" w:pos="720"/>
                <w:tab w:val="num" w:pos="318"/>
              </w:tabs>
              <w:ind w:left="318" w:hanging="284"/>
              <w:jc w:val="both"/>
              <w:rPr>
                <w:sz w:val="20"/>
                <w:lang w:val="en-GB"/>
              </w:rPr>
            </w:pPr>
            <w:r w:rsidRPr="00B62B3E">
              <w:rPr>
                <w:sz w:val="20"/>
                <w:lang w:val="en-GB"/>
              </w:rPr>
              <w:t>revising the definitions of 'having cutaneous exposure to animal hair' and 'relevant service' in Schedule 1 - Dictionary; and</w:t>
            </w:r>
          </w:p>
          <w:p w:rsidR="007E6E49" w:rsidRPr="00B62B3E" w:rsidRDefault="00B62B3E" w:rsidP="00B62B3E">
            <w:pPr>
              <w:numPr>
                <w:ilvl w:val="0"/>
                <w:numId w:val="2"/>
              </w:numPr>
              <w:tabs>
                <w:tab w:val="clear" w:pos="720"/>
                <w:tab w:val="num" w:pos="318"/>
              </w:tabs>
              <w:spacing w:after="120"/>
              <w:ind w:left="318" w:hanging="284"/>
              <w:jc w:val="both"/>
              <w:rPr>
                <w:sz w:val="20"/>
                <w:lang w:val="en-GB"/>
              </w:rPr>
            </w:pPr>
            <w:r w:rsidRPr="00B62B3E">
              <w:rPr>
                <w:sz w:val="20"/>
                <w:lang w:val="en-GB"/>
              </w:rPr>
              <w:t>deleting the definition of 'being obese'.</w:t>
            </w:r>
          </w:p>
          <w:p w:rsidR="00FD4FFF" w:rsidRPr="008274E5" w:rsidRDefault="007E6E49" w:rsidP="007E6E49">
            <w:pPr>
              <w:tabs>
                <w:tab w:val="num" w:pos="1276"/>
                <w:tab w:val="left" w:pos="6753"/>
              </w:tabs>
              <w:spacing w:after="60"/>
              <w:ind w:right="34"/>
              <w:jc w:val="both"/>
              <w:rPr>
                <w:sz w:val="20"/>
              </w:rPr>
            </w:pPr>
            <w:r w:rsidRPr="008274E5">
              <w:rPr>
                <w:b/>
                <w:sz w:val="20"/>
              </w:rPr>
              <w:t xml:space="preserve">The determining of these Instruments finalises the investigation in relation to </w:t>
            </w:r>
            <w:r w:rsidR="00B62B3E" w:rsidRPr="00B62B3E">
              <w:rPr>
                <w:b/>
                <w:i/>
                <w:sz w:val="20"/>
              </w:rPr>
              <w:t>pilonidal sinus</w:t>
            </w:r>
            <w:r w:rsidRPr="008274E5">
              <w:rPr>
                <w:b/>
                <w:i/>
                <w:sz w:val="20"/>
              </w:rPr>
              <w:t xml:space="preserve"> </w:t>
            </w:r>
            <w:r w:rsidRPr="008274E5">
              <w:rPr>
                <w:b/>
                <w:sz w:val="20"/>
              </w:rPr>
              <w:t xml:space="preserve">as advertised in the Government Notices Gazette of </w:t>
            </w:r>
            <w:r w:rsidR="00B62B3E" w:rsidRPr="00B62B3E">
              <w:rPr>
                <w:b/>
                <w:sz w:val="20"/>
                <w:lang w:val="en-GB"/>
              </w:rPr>
              <w:t>14 November 2017</w:t>
            </w:r>
            <w:r w:rsidRPr="008274E5">
              <w:rPr>
                <w:b/>
                <w:sz w:val="20"/>
              </w:rPr>
              <w:t>.</w:t>
            </w:r>
          </w:p>
        </w:tc>
      </w:tr>
      <w:tr w:rsidR="00B62B3E" w:rsidRPr="00C513D2" w:rsidTr="006A58DD">
        <w:tc>
          <w:tcPr>
            <w:tcW w:w="993" w:type="dxa"/>
            <w:tcBorders>
              <w:top w:val="single" w:sz="6" w:space="0" w:color="auto"/>
              <w:left w:val="single" w:sz="6" w:space="0" w:color="auto"/>
              <w:bottom w:val="single" w:sz="6" w:space="0" w:color="auto"/>
              <w:right w:val="single" w:sz="6" w:space="0" w:color="auto"/>
            </w:tcBorders>
          </w:tcPr>
          <w:p w:rsidR="00B62B3E" w:rsidRDefault="00966D63" w:rsidP="008274E5">
            <w:pPr>
              <w:rPr>
                <w:sz w:val="20"/>
              </w:rPr>
            </w:pPr>
            <w:r>
              <w:rPr>
                <w:sz w:val="20"/>
              </w:rPr>
              <w:lastRenderedPageBreak/>
              <w:t>29 &amp; 30/2019</w:t>
            </w:r>
          </w:p>
        </w:tc>
        <w:tc>
          <w:tcPr>
            <w:tcW w:w="1842" w:type="dxa"/>
            <w:tcBorders>
              <w:top w:val="single" w:sz="2" w:space="0" w:color="auto"/>
              <w:left w:val="single" w:sz="6" w:space="0" w:color="auto"/>
              <w:bottom w:val="single" w:sz="2" w:space="0" w:color="auto"/>
              <w:right w:val="single" w:sz="6" w:space="0" w:color="auto"/>
            </w:tcBorders>
          </w:tcPr>
          <w:p w:rsidR="00B62B3E" w:rsidRPr="004F109C" w:rsidRDefault="004F109C" w:rsidP="008C3EF9">
            <w:pPr>
              <w:rPr>
                <w:sz w:val="20"/>
                <w:highlight w:val="yellow"/>
              </w:rPr>
            </w:pPr>
            <w:r w:rsidRPr="008C3EF9">
              <w:rPr>
                <w:sz w:val="20"/>
              </w:rPr>
              <w:t>B</w:t>
            </w:r>
            <w:r w:rsidR="00966D63" w:rsidRPr="008C3EF9">
              <w:rPr>
                <w:sz w:val="20"/>
              </w:rPr>
              <w:t>lepharitis</w:t>
            </w:r>
            <w:r w:rsidRPr="008C3EF9">
              <w:rPr>
                <w:sz w:val="20"/>
              </w:rPr>
              <w:t xml:space="preserve"> </w:t>
            </w:r>
          </w:p>
        </w:tc>
        <w:tc>
          <w:tcPr>
            <w:tcW w:w="7912" w:type="dxa"/>
            <w:tcBorders>
              <w:top w:val="single" w:sz="6" w:space="0" w:color="auto"/>
              <w:left w:val="single" w:sz="6" w:space="0" w:color="auto"/>
              <w:bottom w:val="single" w:sz="6" w:space="0" w:color="auto"/>
              <w:right w:val="single" w:sz="6" w:space="0" w:color="auto"/>
            </w:tcBorders>
          </w:tcPr>
          <w:p w:rsidR="00966D63" w:rsidRPr="00434A2A" w:rsidRDefault="00966D63" w:rsidP="00966D63">
            <w:pPr>
              <w:pStyle w:val="BodyText"/>
              <w:tabs>
                <w:tab w:val="left" w:pos="6753"/>
              </w:tabs>
              <w:spacing w:after="60"/>
              <w:ind w:right="33"/>
              <w:jc w:val="both"/>
            </w:pPr>
            <w:r w:rsidRPr="00434A2A">
              <w:t xml:space="preserve">These Instruments result from an investigation notified by the Authority in the Government Notices Gazette of 14 November 2017 concerning </w:t>
            </w:r>
            <w:r w:rsidRPr="00966D63">
              <w:rPr>
                <w:i/>
              </w:rPr>
              <w:t xml:space="preserve">blepharitis </w:t>
            </w:r>
            <w:r w:rsidRPr="00434A2A">
              <w:t>in accordance with section 196G of the VEA. The investigation involved an examination of the sound medical-scientific evidence now available to the Authority, including the sound medical-scientific evidence it has previously considered.</w:t>
            </w:r>
          </w:p>
          <w:p w:rsidR="00966D63" w:rsidRPr="00434A2A" w:rsidRDefault="00966D63" w:rsidP="00966D63">
            <w:pPr>
              <w:pStyle w:val="BodyText"/>
              <w:tabs>
                <w:tab w:val="left" w:pos="6753"/>
              </w:tabs>
              <w:spacing w:after="60"/>
              <w:ind w:right="33"/>
              <w:jc w:val="both"/>
            </w:pPr>
            <w:r w:rsidRPr="00434A2A">
              <w:t>The contents of these Instruments are in similar terms as the repealed Instruments. Comparing these Instruments and the repealed Instruments, the differences include:</w:t>
            </w:r>
          </w:p>
          <w:p w:rsidR="00966D63" w:rsidRPr="00434A2A" w:rsidRDefault="00966D63" w:rsidP="00966D63">
            <w:pPr>
              <w:pStyle w:val="BodyText"/>
              <w:tabs>
                <w:tab w:val="left" w:pos="6753"/>
              </w:tabs>
              <w:spacing w:before="60" w:after="60"/>
              <w:ind w:right="34"/>
              <w:jc w:val="both"/>
              <w:rPr>
                <w:b/>
                <w:i/>
              </w:rPr>
            </w:pPr>
            <w:r w:rsidRPr="00434A2A">
              <w:rPr>
                <w:b/>
                <w:i/>
              </w:rPr>
              <w:t>For RH</w:t>
            </w:r>
            <w:r>
              <w:rPr>
                <w:b/>
                <w:i/>
              </w:rPr>
              <w:t xml:space="preserve"> </w:t>
            </w:r>
            <w:proofErr w:type="spellStart"/>
            <w:r w:rsidRPr="00434A2A">
              <w:rPr>
                <w:b/>
                <w:i/>
              </w:rPr>
              <w:t>SoP</w:t>
            </w:r>
            <w:proofErr w:type="spellEnd"/>
            <w:r w:rsidRPr="00434A2A">
              <w:t xml:space="preserve"> </w:t>
            </w:r>
            <w:r w:rsidRPr="00434A2A">
              <w:rPr>
                <w:b/>
                <w:i/>
              </w:rPr>
              <w:t xml:space="preserve">(Instrument No. </w:t>
            </w:r>
            <w:r>
              <w:rPr>
                <w:b/>
                <w:i/>
              </w:rPr>
              <w:t>29</w:t>
            </w:r>
            <w:r w:rsidRPr="00434A2A">
              <w:rPr>
                <w:b/>
                <w:i/>
              </w:rPr>
              <w:t>/2019)</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adopting the latest revised Instrument format, which commenced in 2015;</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specifying a day of commencement for the Instrument in section 2;</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definition of 'blepharitis' in subsection 7(2);</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factors in subsections 9(2) &amp; 9(19) concerning 'infection of the affected eyelid';</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new factors in subsections 9(3) &amp; 9(20) concerning '</w:t>
            </w:r>
            <w:r w:rsidRPr="00972462">
              <w:rPr>
                <w:sz w:val="20"/>
                <w:lang w:val="en-US"/>
              </w:rPr>
              <w:t>infestation of the affected eyelid region';</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factors in subsections 9(6) &amp; 9(22) concerning '</w:t>
            </w:r>
            <w:r w:rsidRPr="00972462">
              <w:rPr>
                <w:sz w:val="20"/>
                <w:lang w:val="en-US"/>
              </w:rPr>
              <w:t>rosacea of the periocular region';</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new factors in subsections 9(7) &amp; 9(23) concerning '</w:t>
            </w:r>
            <w:r w:rsidRPr="00972462">
              <w:rPr>
                <w:sz w:val="20"/>
                <w:lang w:val="en-US"/>
              </w:rPr>
              <w:t>psoriasis of the periocular region';</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new factors in subsections 9(8) &amp; 9(24) concerning 'discoid lupus erythematosus</w:t>
            </w:r>
            <w:r w:rsidRPr="00972462">
              <w:rPr>
                <w:sz w:val="20"/>
                <w:lang w:val="en-US"/>
              </w:rPr>
              <w:t xml:space="preserve"> of the periocular region';</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factors in subsections 9(9) &amp; 9(25) concerning '</w:t>
            </w:r>
            <w:r w:rsidRPr="00972462">
              <w:rPr>
                <w:sz w:val="20"/>
                <w:lang w:val="en-US"/>
              </w:rPr>
              <w:t>ocular or periocular exposure to an allergen';</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factors in subsections 9(10) &amp; 9(26) concerning '</w:t>
            </w:r>
            <w:r w:rsidRPr="00972462">
              <w:rPr>
                <w:sz w:val="20"/>
                <w:lang w:val="en-US"/>
              </w:rPr>
              <w:t>irritant substance exposure';</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factors in subsections 9(11) &amp; 9(27) concerning 'mustard gas exposure';</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factors in subsections 9(12) &amp; 9(28) concerning 'a course of therapeutic radiation';</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factors in subsections 9(13) &amp; 9(29) concerning '</w:t>
            </w:r>
            <w:r w:rsidRPr="00972462">
              <w:rPr>
                <w:rFonts w:eastAsia="TimesNewRomanPSMT"/>
                <w:sz w:val="20"/>
              </w:rPr>
              <w:t>a benign or malignant neoplasm';</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new factors in subsections 9(14) &amp; 9(30) concerning '</w:t>
            </w:r>
            <w:r w:rsidRPr="00972462">
              <w:rPr>
                <w:sz w:val="20"/>
                <w:lang w:val="en-US"/>
              </w:rPr>
              <w:t>dry eye disease';</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factors in subsections 9(16) &amp; 9(32) concerning '</w:t>
            </w:r>
            <w:r w:rsidRPr="00972462">
              <w:rPr>
                <w:sz w:val="20"/>
                <w:lang w:val="en-US"/>
              </w:rPr>
              <w:t>an immunocompromised state';</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new factor in subsection 9(17) concerning 'oral isotretinoin or oral acitretin', for clinical onset only;</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deleting the factors concerning '</w:t>
            </w:r>
            <w:r w:rsidRPr="00972462">
              <w:rPr>
                <w:sz w:val="20"/>
                <w:lang w:val="en-US"/>
              </w:rPr>
              <w:t xml:space="preserve">infestation of </w:t>
            </w:r>
            <w:r w:rsidRPr="00972462">
              <w:rPr>
                <w:i/>
                <w:sz w:val="20"/>
                <w:lang w:val="en-US"/>
              </w:rPr>
              <w:t xml:space="preserve">Phthirus pubis' </w:t>
            </w:r>
            <w:r w:rsidRPr="00972462">
              <w:rPr>
                <w:sz w:val="20"/>
                <w:lang w:val="en-US"/>
              </w:rPr>
              <w:t xml:space="preserve">as they are subsumed by the factors in subsections 9(3) &amp; 9(20) concerning </w:t>
            </w:r>
            <w:r w:rsidRPr="00972462">
              <w:rPr>
                <w:sz w:val="20"/>
              </w:rPr>
              <w:t>'</w:t>
            </w:r>
            <w:r w:rsidRPr="00972462">
              <w:rPr>
                <w:sz w:val="20"/>
                <w:lang w:val="en-US"/>
              </w:rPr>
              <w:t>infestation of the affected eyelid region';</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lang w:val="en-US"/>
              </w:rPr>
              <w:lastRenderedPageBreak/>
              <w:t xml:space="preserve">deleting the factors concerning 'infestation of </w:t>
            </w:r>
            <w:r w:rsidRPr="00972462">
              <w:rPr>
                <w:i/>
                <w:sz w:val="20"/>
                <w:lang w:val="en-US"/>
              </w:rPr>
              <w:t>Demodex folliculorum</w:t>
            </w:r>
            <w:r w:rsidRPr="00972462">
              <w:rPr>
                <w:sz w:val="20"/>
                <w:lang w:val="en-US"/>
              </w:rPr>
              <w:t xml:space="preserve"> or </w:t>
            </w:r>
            <w:r w:rsidRPr="00972462">
              <w:rPr>
                <w:i/>
                <w:sz w:val="20"/>
                <w:lang w:val="en-US"/>
              </w:rPr>
              <w:t>Demodex brevis</w:t>
            </w:r>
            <w:r w:rsidRPr="00972462">
              <w:rPr>
                <w:sz w:val="20"/>
                <w:lang w:val="en-US"/>
              </w:rPr>
              <w:t xml:space="preserve"> mites' as they are subsumed by the factors in subsections 9(3) &amp; 9(20) concerning </w:t>
            </w:r>
            <w:r w:rsidRPr="00972462">
              <w:rPr>
                <w:sz w:val="20"/>
              </w:rPr>
              <w:t>'</w:t>
            </w:r>
            <w:r w:rsidRPr="00972462">
              <w:rPr>
                <w:sz w:val="20"/>
                <w:lang w:val="en-US"/>
              </w:rPr>
              <w:t>infestation of the affected eyelid region';</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deleting the factors concerning '</w:t>
            </w:r>
            <w:r w:rsidRPr="00972462">
              <w:rPr>
                <w:sz w:val="20"/>
                <w:lang w:val="en-US"/>
              </w:rPr>
              <w:t>vitamin A or vitamin B complex deficiency</w:t>
            </w:r>
            <w:r w:rsidRPr="00972462">
              <w:rPr>
                <w:sz w:val="20"/>
              </w:rPr>
              <w:t xml:space="preserve">' </w:t>
            </w:r>
            <w:r w:rsidRPr="00972462">
              <w:rPr>
                <w:sz w:val="20"/>
                <w:lang w:val="en-US"/>
              </w:rPr>
              <w:t xml:space="preserve">as they are subsumed by the factors in subsections 9(16) &amp; 9(32) concerning </w:t>
            </w:r>
            <w:r w:rsidRPr="00972462">
              <w:rPr>
                <w:sz w:val="20"/>
              </w:rPr>
              <w:t>'</w:t>
            </w:r>
            <w:r w:rsidRPr="00972462">
              <w:rPr>
                <w:sz w:val="20"/>
                <w:lang w:val="en-US"/>
              </w:rPr>
              <w:t>an immunocompromised state';</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deleting the factors concerning '</w:t>
            </w:r>
            <w:r w:rsidRPr="00972462">
              <w:rPr>
                <w:sz w:val="20"/>
                <w:lang w:val="en-US"/>
              </w:rPr>
              <w:t xml:space="preserve">xerophthalmia' as they are subsumed by the factors in subsections 9(14) &amp; 9(30) concerning </w:t>
            </w:r>
            <w:r w:rsidRPr="00972462">
              <w:rPr>
                <w:sz w:val="20"/>
              </w:rPr>
              <w:t>'</w:t>
            </w:r>
            <w:r w:rsidRPr="00972462">
              <w:rPr>
                <w:sz w:val="20"/>
                <w:lang w:val="en-US"/>
              </w:rPr>
              <w:t>dry eye disease';</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deleting the factor concerning</w:t>
            </w:r>
            <w:r w:rsidRPr="00972462">
              <w:rPr>
                <w:sz w:val="20"/>
                <w:lang w:val="en-US"/>
              </w:rPr>
              <w:t xml:space="preserve"> 'treatment with an epidermal growth factor receptor inhibitor' as it is subsumed by the factor in subsection 9(16) and now included in the factor in subsection 9(32) concerning </w:t>
            </w:r>
            <w:r w:rsidRPr="00972462">
              <w:rPr>
                <w:sz w:val="20"/>
              </w:rPr>
              <w:t>'</w:t>
            </w:r>
            <w:r w:rsidRPr="00972462">
              <w:rPr>
                <w:sz w:val="20"/>
                <w:lang w:val="en-US"/>
              </w:rPr>
              <w:t>an immunocompromised state';</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 xml:space="preserve">deleting the factor concerning 'treatment with hydroxyurea or indinavir' </w:t>
            </w:r>
            <w:r w:rsidRPr="00972462">
              <w:rPr>
                <w:sz w:val="20"/>
                <w:lang w:val="en-US"/>
              </w:rPr>
              <w:t xml:space="preserve">as it is subsumed by the factor in subsection 9(16) and now included in the factor in subsection 9(32) concerning </w:t>
            </w:r>
            <w:r w:rsidRPr="00972462">
              <w:rPr>
                <w:sz w:val="20"/>
              </w:rPr>
              <w:t>'</w:t>
            </w:r>
            <w:r w:rsidRPr="00972462">
              <w:rPr>
                <w:sz w:val="20"/>
                <w:lang w:val="en-US"/>
              </w:rPr>
              <w:t>an immunocompromised state';</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new definitions of '</w:t>
            </w:r>
            <w:r w:rsidRPr="00972462">
              <w:rPr>
                <w:bCs/>
                <w:iCs/>
                <w:sz w:val="20"/>
              </w:rPr>
              <w:t xml:space="preserve">chronic renal failure', </w:t>
            </w:r>
            <w:r w:rsidRPr="00972462">
              <w:rPr>
                <w:sz w:val="20"/>
              </w:rPr>
              <w:t>'dry eye disease', 'immunocompromised state as specified', '</w:t>
            </w:r>
            <w:r w:rsidRPr="00972462">
              <w:rPr>
                <w:bCs/>
                <w:iCs/>
                <w:sz w:val="20"/>
              </w:rPr>
              <w:t>immunosuppressive drug', 'infection of the affected eyelid'; 'MRCA',</w:t>
            </w:r>
            <w:r w:rsidRPr="00972462">
              <w:rPr>
                <w:sz w:val="20"/>
              </w:rPr>
              <w:t xml:space="preserve"> '</w:t>
            </w:r>
            <w:r w:rsidRPr="00972462">
              <w:rPr>
                <w:sz w:val="20"/>
                <w:lang w:val="en-US"/>
              </w:rPr>
              <w:t>specified list of parasites' and 'VEA'</w:t>
            </w:r>
            <w:r w:rsidRPr="00972462">
              <w:rPr>
                <w:sz w:val="20"/>
              </w:rPr>
              <w:t xml:space="preserve"> in Schedule 1 - Dictionary;</w:t>
            </w:r>
          </w:p>
          <w:p w:rsidR="00972462" w:rsidRPr="00972462" w:rsidRDefault="00972462" w:rsidP="00972462">
            <w:pPr>
              <w:numPr>
                <w:ilvl w:val="0"/>
                <w:numId w:val="2"/>
              </w:numPr>
              <w:tabs>
                <w:tab w:val="clear" w:pos="720"/>
                <w:tab w:val="num" w:pos="318"/>
              </w:tabs>
              <w:ind w:left="318" w:hanging="318"/>
              <w:jc w:val="both"/>
              <w:rPr>
                <w:sz w:val="20"/>
              </w:rPr>
            </w:pPr>
            <w:r w:rsidRPr="00972462">
              <w:rPr>
                <w:sz w:val="20"/>
              </w:rPr>
              <w:t>revising the definitions of 'allergen', 'irritant substance' and 'relevant service' in Schedule</w:t>
            </w:r>
            <w:r w:rsidR="00E6037F">
              <w:rPr>
                <w:sz w:val="20"/>
              </w:rPr>
              <w:t> </w:t>
            </w:r>
            <w:r w:rsidRPr="00972462">
              <w:rPr>
                <w:sz w:val="20"/>
              </w:rPr>
              <w:t>1</w:t>
            </w:r>
            <w:r w:rsidR="00E6037F">
              <w:rPr>
                <w:sz w:val="20"/>
              </w:rPr>
              <w:t> </w:t>
            </w:r>
            <w:r w:rsidRPr="00972462">
              <w:rPr>
                <w:sz w:val="20"/>
              </w:rPr>
              <w:t>-</w:t>
            </w:r>
            <w:r w:rsidR="00E6037F">
              <w:rPr>
                <w:sz w:val="20"/>
              </w:rPr>
              <w:t> </w:t>
            </w:r>
            <w:r w:rsidRPr="00972462">
              <w:rPr>
                <w:sz w:val="20"/>
              </w:rPr>
              <w:t>Dictionary; and</w:t>
            </w:r>
          </w:p>
          <w:p w:rsidR="00966D63" w:rsidRPr="00972462" w:rsidRDefault="00972462" w:rsidP="00972462">
            <w:pPr>
              <w:numPr>
                <w:ilvl w:val="0"/>
                <w:numId w:val="2"/>
              </w:numPr>
              <w:tabs>
                <w:tab w:val="clear" w:pos="720"/>
                <w:tab w:val="num" w:pos="318"/>
              </w:tabs>
              <w:spacing w:after="120"/>
              <w:ind w:left="318" w:hanging="318"/>
              <w:jc w:val="both"/>
              <w:rPr>
                <w:sz w:val="20"/>
                <w:lang w:val="en-GB"/>
              </w:rPr>
            </w:pPr>
            <w:r w:rsidRPr="00972462">
              <w:rPr>
                <w:sz w:val="20"/>
              </w:rPr>
              <w:t>deleting the definitions of 'a course of therapeutic radiation', 'an immunocompromised state', 'an infection of the eyelid' and 'ocular rosacea'.</w:t>
            </w:r>
          </w:p>
          <w:p w:rsidR="00966D63" w:rsidRPr="00434A2A" w:rsidRDefault="00966D63" w:rsidP="00966D63">
            <w:pPr>
              <w:pStyle w:val="BodyText"/>
              <w:tabs>
                <w:tab w:val="left" w:pos="6753"/>
              </w:tabs>
              <w:spacing w:before="60" w:after="60"/>
              <w:ind w:right="34"/>
              <w:jc w:val="both"/>
              <w:rPr>
                <w:b/>
                <w:i/>
              </w:rPr>
            </w:pPr>
            <w:r w:rsidRPr="00434A2A">
              <w:rPr>
                <w:b/>
                <w:i/>
              </w:rPr>
              <w:t xml:space="preserve">For </w:t>
            </w:r>
            <w:proofErr w:type="spellStart"/>
            <w:r>
              <w:rPr>
                <w:b/>
                <w:i/>
              </w:rPr>
              <w:t>BoP</w:t>
            </w:r>
            <w:proofErr w:type="spellEnd"/>
            <w:r>
              <w:rPr>
                <w:b/>
                <w:i/>
              </w:rPr>
              <w:t xml:space="preserve"> </w:t>
            </w:r>
            <w:proofErr w:type="spellStart"/>
            <w:r w:rsidRPr="00434A2A">
              <w:rPr>
                <w:b/>
                <w:i/>
              </w:rPr>
              <w:t>SoP</w:t>
            </w:r>
            <w:proofErr w:type="spellEnd"/>
            <w:r w:rsidRPr="00434A2A">
              <w:t xml:space="preserve"> </w:t>
            </w:r>
            <w:r w:rsidRPr="00434A2A">
              <w:rPr>
                <w:b/>
                <w:i/>
              </w:rPr>
              <w:t xml:space="preserve">(Instrument No. </w:t>
            </w:r>
            <w:r>
              <w:rPr>
                <w:b/>
                <w:i/>
              </w:rPr>
              <w:t>30</w:t>
            </w:r>
            <w:r w:rsidRPr="00434A2A">
              <w:rPr>
                <w:b/>
                <w:i/>
              </w:rPr>
              <w:t>/2019)</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adopting the latest revised Instrument format, which commenced in 2015;</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specifying a day of commencement for the Instrument in section 2;</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definition of 'blepharitis' in subsection 7(2);</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factors in subsections 9(1) &amp; 9(16) concerning 'infection of the affected eyelid';</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new factors in subsections 9(2) &amp; 9(17) concerning 'infestation of the affected eyelid region';</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factors in subsections 9(5) &amp; 9(19) concerning 'rosacea of the periocular region';</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new factors in subsections 9(6) &amp; 9(20) concerning 'psoriasis of the periocular region';</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new factors in subsections 9(7) &amp; 9(21) concerning 'discoid lupus erythematosus of the periocular region';</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factors in subsections 9(8) &amp; 9(22) concerning 'ocular or periocular exposure to an allergen';</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factors in subsections 9(9) &amp; 9(23) concerning '</w:t>
            </w:r>
            <w:r w:rsidRPr="00E6037F">
              <w:rPr>
                <w:sz w:val="20"/>
                <w:lang w:val="en-US"/>
              </w:rPr>
              <w:t>irritant substance exposure';</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factors in subsections 9(10) &amp; 9(24) concerning 'mustard gas exposure';</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factors in subsections 9(11) &amp; 9(25) concerning 'a course of therapeutic radiation';</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factors in subsections 9(12) &amp; 9(26) concerning 'a benign or malignant neoplasm';</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new factors in subsections 9(13) &amp; 9(27) concerning 'dry eye disease';</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factors in subsections 9(14) &amp; 9(28) concerning 'an immunocompromised state';</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new factor in subsection 9(15) concerning 'oral isotretinoin or oral acitretin', for clinical onset only;</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deleting the factors concerning 'diabetes mellitus';</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 xml:space="preserve">deleting the factors concerning 'infestation of </w:t>
            </w:r>
            <w:r w:rsidRPr="00E6037F">
              <w:rPr>
                <w:i/>
                <w:sz w:val="20"/>
              </w:rPr>
              <w:t>Phthirus pubis</w:t>
            </w:r>
            <w:r w:rsidRPr="00E6037F">
              <w:rPr>
                <w:sz w:val="20"/>
              </w:rPr>
              <w:t>' as they are subsumed by the factors in subsections 9(2) &amp; 9(17) concerning 'infestation of the affected eyelid region';</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 xml:space="preserve">deleting the factors concerning 'infestation of </w:t>
            </w:r>
            <w:r w:rsidRPr="00E6037F">
              <w:rPr>
                <w:i/>
                <w:sz w:val="20"/>
              </w:rPr>
              <w:t>Demodex folliculorum</w:t>
            </w:r>
            <w:r w:rsidRPr="00E6037F">
              <w:rPr>
                <w:sz w:val="20"/>
              </w:rPr>
              <w:t xml:space="preserve"> or </w:t>
            </w:r>
            <w:r w:rsidRPr="00E6037F">
              <w:rPr>
                <w:i/>
                <w:sz w:val="20"/>
              </w:rPr>
              <w:t>Demodex brevis</w:t>
            </w:r>
            <w:r w:rsidRPr="00E6037F">
              <w:rPr>
                <w:sz w:val="20"/>
              </w:rPr>
              <w:t xml:space="preserve"> mites' as they are subsumed by the factors in subsections 9(2) &amp; 9(17) concerning 'infestation of the affected eyelid region';</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deleting the factors concerning 'vitamin A or vitamin B complex deficiency' as they are subsumed by the factors in subsections 9(14) &amp; 9(28) concerning 'an immunocompromised state';</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deleting the factors concerning '</w:t>
            </w:r>
            <w:r w:rsidRPr="00E6037F">
              <w:rPr>
                <w:sz w:val="20"/>
                <w:lang w:val="en-US"/>
              </w:rPr>
              <w:t xml:space="preserve">xerophthalmia' as they are subsumed by the factors in subsections 9(13) &amp; 9(27) concerning </w:t>
            </w:r>
            <w:r w:rsidRPr="00E6037F">
              <w:rPr>
                <w:sz w:val="20"/>
              </w:rPr>
              <w:t>'</w:t>
            </w:r>
            <w:r w:rsidRPr="00E6037F">
              <w:rPr>
                <w:sz w:val="20"/>
                <w:lang w:val="en-US"/>
              </w:rPr>
              <w:t>dry eye disease';</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deleting the factor concerning 'treatment with an epidermal growth factor receptor inhibitor' as it is subsumed by the factor in subsection 9(14) and now included in the factor in subsection 9(28) concerning 'an immunocompromised state';</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 xml:space="preserve">deleting the factor concerning 'treatment with hydroxyurea or indinavir' as it is </w:t>
            </w:r>
            <w:r w:rsidRPr="00E6037F">
              <w:rPr>
                <w:sz w:val="20"/>
                <w:lang w:val="en-US"/>
              </w:rPr>
              <w:t>subsumed by the factor in subsection 9(1</w:t>
            </w:r>
            <w:r w:rsidR="002919AC">
              <w:rPr>
                <w:sz w:val="20"/>
                <w:lang w:val="en-US"/>
              </w:rPr>
              <w:t>4</w:t>
            </w:r>
            <w:r w:rsidRPr="00E6037F">
              <w:rPr>
                <w:sz w:val="20"/>
                <w:lang w:val="en-US"/>
              </w:rPr>
              <w:t>) and now included in the factor in subsection 9(</w:t>
            </w:r>
            <w:r w:rsidR="002919AC">
              <w:rPr>
                <w:sz w:val="20"/>
                <w:lang w:val="en-US"/>
              </w:rPr>
              <w:t>28</w:t>
            </w:r>
            <w:r w:rsidRPr="00E6037F">
              <w:rPr>
                <w:sz w:val="20"/>
                <w:lang w:val="en-US"/>
              </w:rPr>
              <w:t xml:space="preserve">) concerning </w:t>
            </w:r>
            <w:r w:rsidRPr="00E6037F">
              <w:rPr>
                <w:sz w:val="20"/>
              </w:rPr>
              <w:t>'</w:t>
            </w:r>
            <w:r w:rsidRPr="00E6037F">
              <w:rPr>
                <w:sz w:val="20"/>
                <w:lang w:val="en-US"/>
              </w:rPr>
              <w:t>an immunocompromised state'</w:t>
            </w:r>
            <w:r w:rsidRPr="00E6037F">
              <w:rPr>
                <w:sz w:val="20"/>
              </w:rPr>
              <w:t>;</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lastRenderedPageBreak/>
              <w:t>new definitions of 'chronic renal failure', 'dry eye disease', 'immunocompromised state as specified', 'immunosuppressive drug', 'infection of the affected eyelid', 'MRCA', 'specified list of parasites' and 'VEA' in Schedule 1- Dictionary;</w:t>
            </w:r>
          </w:p>
          <w:p w:rsidR="00E6037F" w:rsidRPr="00E6037F" w:rsidRDefault="00E6037F" w:rsidP="00E6037F">
            <w:pPr>
              <w:numPr>
                <w:ilvl w:val="0"/>
                <w:numId w:val="2"/>
              </w:numPr>
              <w:tabs>
                <w:tab w:val="clear" w:pos="720"/>
                <w:tab w:val="num" w:pos="318"/>
              </w:tabs>
              <w:ind w:left="318" w:hanging="284"/>
              <w:jc w:val="both"/>
              <w:rPr>
                <w:sz w:val="20"/>
              </w:rPr>
            </w:pPr>
            <w:r w:rsidRPr="00E6037F">
              <w:rPr>
                <w:sz w:val="20"/>
              </w:rPr>
              <w:t>revising the definitions of 'allergen', 'irritant substance' and 'relevant service' in Schedule</w:t>
            </w:r>
            <w:r>
              <w:rPr>
                <w:sz w:val="20"/>
              </w:rPr>
              <w:t> </w:t>
            </w:r>
            <w:r w:rsidRPr="00E6037F">
              <w:rPr>
                <w:sz w:val="20"/>
              </w:rPr>
              <w:t>1</w:t>
            </w:r>
            <w:r>
              <w:rPr>
                <w:sz w:val="20"/>
              </w:rPr>
              <w:t> </w:t>
            </w:r>
            <w:r w:rsidRPr="00E6037F">
              <w:rPr>
                <w:sz w:val="20"/>
              </w:rPr>
              <w:t>-</w:t>
            </w:r>
            <w:r>
              <w:rPr>
                <w:sz w:val="20"/>
              </w:rPr>
              <w:t> </w:t>
            </w:r>
            <w:r w:rsidRPr="00E6037F">
              <w:rPr>
                <w:sz w:val="20"/>
              </w:rPr>
              <w:t>Dictionary; and</w:t>
            </w:r>
          </w:p>
          <w:p w:rsidR="00966D63" w:rsidRPr="00E6037F" w:rsidRDefault="00E6037F" w:rsidP="00E6037F">
            <w:pPr>
              <w:numPr>
                <w:ilvl w:val="0"/>
                <w:numId w:val="2"/>
              </w:numPr>
              <w:tabs>
                <w:tab w:val="clear" w:pos="720"/>
                <w:tab w:val="num" w:pos="318"/>
              </w:tabs>
              <w:spacing w:after="120"/>
              <w:ind w:left="318" w:hanging="284"/>
              <w:jc w:val="both"/>
              <w:rPr>
                <w:sz w:val="20"/>
              </w:rPr>
            </w:pPr>
            <w:r w:rsidRPr="00E6037F">
              <w:rPr>
                <w:sz w:val="20"/>
              </w:rPr>
              <w:t>deleting the definitions of 'a course of therapeutic radiation', 'an immunocompromised state', 'an infection of the eyelid' and 'ocular rosacea'.</w:t>
            </w:r>
          </w:p>
          <w:p w:rsidR="00972462" w:rsidRPr="00972462" w:rsidRDefault="00972462" w:rsidP="00966D63">
            <w:pPr>
              <w:pStyle w:val="BodyText"/>
              <w:tabs>
                <w:tab w:val="left" w:pos="6753"/>
              </w:tabs>
              <w:spacing w:after="60"/>
              <w:ind w:right="33"/>
              <w:jc w:val="both"/>
            </w:pPr>
            <w:r w:rsidRPr="00972462">
              <w:t>On 11 October 2018, the Authority wrote to organisations representing veterans, service personnel and their dependants regarding the proposed Instrument</w:t>
            </w:r>
            <w:r w:rsidR="00C40D00">
              <w:t>s</w:t>
            </w:r>
            <w:r w:rsidRPr="00972462">
              <w:t xml:space="preserve"> and the medical-scientific material considered by the Authority.  This letter emphasised the deletion of factors relating to </w:t>
            </w:r>
            <w:r w:rsidRPr="004F109C">
              <w:rPr>
                <w:i/>
              </w:rPr>
              <w:t>diabetes mellitus</w:t>
            </w:r>
            <w:r>
              <w:t xml:space="preserve"> </w:t>
            </w:r>
            <w:r w:rsidRPr="00972462">
              <w:t>in the Balance of Probabilities Statement of Principles.  The Authority provided an opportunity to the organisations to make representations in relation to the proposed Instrument</w:t>
            </w:r>
            <w:r w:rsidR="00C40D00">
              <w:t>s</w:t>
            </w:r>
            <w:r w:rsidRPr="00972462">
              <w:t xml:space="preserve"> prior to </w:t>
            </w:r>
            <w:r w:rsidR="00C40D00">
              <w:t>their</w:t>
            </w:r>
            <w:r w:rsidRPr="00972462">
              <w:t xml:space="preserve"> determination.  No submissions were received for consideration by the Authority.  Minor changes were made to the proposed Instrument</w:t>
            </w:r>
            <w:r>
              <w:t>s</w:t>
            </w:r>
            <w:r w:rsidRPr="00972462">
              <w:t xml:space="preserve"> following this consultation process.</w:t>
            </w:r>
          </w:p>
          <w:p w:rsidR="00B62B3E" w:rsidRPr="008274E5" w:rsidRDefault="00966D63" w:rsidP="00966D63">
            <w:pPr>
              <w:pStyle w:val="BodyText"/>
              <w:tabs>
                <w:tab w:val="left" w:pos="6753"/>
              </w:tabs>
              <w:spacing w:after="60"/>
              <w:ind w:right="33"/>
              <w:jc w:val="both"/>
            </w:pPr>
            <w:r w:rsidRPr="00434A2A">
              <w:rPr>
                <w:b/>
              </w:rPr>
              <w:t xml:space="preserve">The determining of these Instruments finalises the investigation in relation to </w:t>
            </w:r>
            <w:r w:rsidRPr="00966D63">
              <w:rPr>
                <w:b/>
                <w:i/>
              </w:rPr>
              <w:t>blepharitis</w:t>
            </w:r>
            <w:r w:rsidRPr="00434A2A">
              <w:rPr>
                <w:b/>
                <w:i/>
              </w:rPr>
              <w:t xml:space="preserve"> </w:t>
            </w:r>
            <w:r w:rsidRPr="00434A2A">
              <w:rPr>
                <w:b/>
              </w:rPr>
              <w:t>as advertised in the Government Notices Gazette of 14</w:t>
            </w:r>
            <w:r>
              <w:rPr>
                <w:b/>
              </w:rPr>
              <w:t> </w:t>
            </w:r>
            <w:r w:rsidRPr="00434A2A">
              <w:rPr>
                <w:b/>
              </w:rPr>
              <w:t>November 2017.</w:t>
            </w:r>
          </w:p>
        </w:tc>
      </w:tr>
      <w:tr w:rsidR="00B62B3E" w:rsidRPr="00C513D2" w:rsidTr="006A58DD">
        <w:tc>
          <w:tcPr>
            <w:tcW w:w="993" w:type="dxa"/>
            <w:tcBorders>
              <w:top w:val="single" w:sz="6" w:space="0" w:color="auto"/>
              <w:left w:val="single" w:sz="6" w:space="0" w:color="auto"/>
              <w:bottom w:val="single" w:sz="6" w:space="0" w:color="auto"/>
              <w:right w:val="single" w:sz="6" w:space="0" w:color="auto"/>
            </w:tcBorders>
          </w:tcPr>
          <w:p w:rsidR="00B62B3E" w:rsidRDefault="002546A6" w:rsidP="008274E5">
            <w:pPr>
              <w:rPr>
                <w:sz w:val="20"/>
              </w:rPr>
            </w:pPr>
            <w:r>
              <w:rPr>
                <w:sz w:val="20"/>
              </w:rPr>
              <w:lastRenderedPageBreak/>
              <w:t>31 &amp; 32/2019</w:t>
            </w:r>
          </w:p>
        </w:tc>
        <w:tc>
          <w:tcPr>
            <w:tcW w:w="1842" w:type="dxa"/>
            <w:tcBorders>
              <w:top w:val="single" w:sz="2" w:space="0" w:color="auto"/>
              <w:left w:val="single" w:sz="6" w:space="0" w:color="auto"/>
              <w:bottom w:val="single" w:sz="2" w:space="0" w:color="auto"/>
              <w:right w:val="single" w:sz="6" w:space="0" w:color="auto"/>
            </w:tcBorders>
          </w:tcPr>
          <w:p w:rsidR="00B62B3E" w:rsidRPr="008274E5" w:rsidRDefault="00E6037F" w:rsidP="00FD4FFF">
            <w:pPr>
              <w:rPr>
                <w:sz w:val="20"/>
              </w:rPr>
            </w:pPr>
            <w:r w:rsidRPr="00E6037F">
              <w:rPr>
                <w:sz w:val="20"/>
              </w:rPr>
              <w:t xml:space="preserve">chronic pruritus </w:t>
            </w:r>
            <w:proofErr w:type="spellStart"/>
            <w:r w:rsidRPr="00E6037F">
              <w:rPr>
                <w:sz w:val="20"/>
              </w:rPr>
              <w:t>ani</w:t>
            </w:r>
            <w:proofErr w:type="spellEnd"/>
          </w:p>
        </w:tc>
        <w:tc>
          <w:tcPr>
            <w:tcW w:w="7912" w:type="dxa"/>
            <w:tcBorders>
              <w:top w:val="single" w:sz="6" w:space="0" w:color="auto"/>
              <w:left w:val="single" w:sz="6" w:space="0" w:color="auto"/>
              <w:bottom w:val="single" w:sz="6" w:space="0" w:color="auto"/>
              <w:right w:val="single" w:sz="6" w:space="0" w:color="auto"/>
            </w:tcBorders>
          </w:tcPr>
          <w:p w:rsidR="00966D63" w:rsidRPr="002546A6" w:rsidRDefault="00966D63" w:rsidP="00966D63">
            <w:pPr>
              <w:pStyle w:val="BodyText"/>
              <w:tabs>
                <w:tab w:val="left" w:pos="6753"/>
              </w:tabs>
              <w:spacing w:after="60"/>
              <w:ind w:right="33"/>
              <w:jc w:val="both"/>
            </w:pPr>
            <w:r w:rsidRPr="002546A6">
              <w:t xml:space="preserve">These Instruments result from an investigation notified by the Authority in the Government Notices Gazette of 14 November 2017 concerning </w:t>
            </w:r>
            <w:r w:rsidR="002546A6" w:rsidRPr="002546A6">
              <w:rPr>
                <w:i/>
              </w:rPr>
              <w:t xml:space="preserve">chronic pruritus </w:t>
            </w:r>
            <w:proofErr w:type="spellStart"/>
            <w:r w:rsidR="002546A6" w:rsidRPr="002546A6">
              <w:rPr>
                <w:i/>
              </w:rPr>
              <w:t>ani</w:t>
            </w:r>
            <w:proofErr w:type="spellEnd"/>
            <w:r w:rsidR="002546A6" w:rsidRPr="002546A6">
              <w:rPr>
                <w:i/>
              </w:rPr>
              <w:t xml:space="preserve"> </w:t>
            </w:r>
            <w:r w:rsidRPr="002546A6">
              <w:t>in accordance with section 196G of the VEA. The investigation involved an examination of the sound medical-scientific evidence now available to the Authority, including the sound medical-scientific evidence it has previously considered.</w:t>
            </w:r>
          </w:p>
          <w:p w:rsidR="00966D63" w:rsidRPr="00434A2A" w:rsidRDefault="00966D63" w:rsidP="00966D63">
            <w:pPr>
              <w:pStyle w:val="BodyText"/>
              <w:tabs>
                <w:tab w:val="left" w:pos="6753"/>
              </w:tabs>
              <w:spacing w:after="60"/>
              <w:ind w:right="33"/>
              <w:jc w:val="both"/>
            </w:pPr>
            <w:r w:rsidRPr="00434A2A">
              <w:t>The contents of these Instruments are in similar terms as the repealed Instruments. Comparing these Instruments and the repealed Instruments, the differences include:</w:t>
            </w:r>
          </w:p>
          <w:p w:rsidR="00966D63" w:rsidRPr="00434A2A" w:rsidRDefault="00966D63" w:rsidP="00966D63">
            <w:pPr>
              <w:pStyle w:val="BodyText"/>
              <w:tabs>
                <w:tab w:val="left" w:pos="6753"/>
              </w:tabs>
              <w:spacing w:before="60" w:after="60"/>
              <w:ind w:right="34"/>
              <w:jc w:val="both"/>
              <w:rPr>
                <w:b/>
                <w:i/>
              </w:rPr>
            </w:pPr>
            <w:r w:rsidRPr="00434A2A">
              <w:rPr>
                <w:b/>
                <w:i/>
              </w:rPr>
              <w:t xml:space="preserve">For RH </w:t>
            </w:r>
            <w:r>
              <w:rPr>
                <w:b/>
                <w:i/>
              </w:rPr>
              <w:t xml:space="preserve">&amp; </w:t>
            </w:r>
            <w:proofErr w:type="spellStart"/>
            <w:r>
              <w:rPr>
                <w:b/>
                <w:i/>
              </w:rPr>
              <w:t>BoP</w:t>
            </w:r>
            <w:proofErr w:type="spellEnd"/>
            <w:r>
              <w:rPr>
                <w:b/>
                <w:i/>
              </w:rPr>
              <w:t xml:space="preserve"> </w:t>
            </w:r>
            <w:proofErr w:type="spellStart"/>
            <w:r w:rsidRPr="00434A2A">
              <w:rPr>
                <w:b/>
                <w:i/>
              </w:rPr>
              <w:t>SoP</w:t>
            </w:r>
            <w:r>
              <w:rPr>
                <w:b/>
                <w:i/>
              </w:rPr>
              <w:t>s</w:t>
            </w:r>
            <w:proofErr w:type="spellEnd"/>
            <w:r w:rsidRPr="00434A2A">
              <w:t xml:space="preserve"> </w:t>
            </w:r>
            <w:r w:rsidRPr="00434A2A">
              <w:rPr>
                <w:b/>
                <w:i/>
              </w:rPr>
              <w:t>(Instrument No</w:t>
            </w:r>
            <w:r>
              <w:rPr>
                <w:b/>
                <w:i/>
              </w:rPr>
              <w:t>s</w:t>
            </w:r>
            <w:r w:rsidRPr="00434A2A">
              <w:rPr>
                <w:b/>
                <w:i/>
              </w:rPr>
              <w:t xml:space="preserve">. </w:t>
            </w:r>
            <w:r w:rsidR="002B3FDD">
              <w:rPr>
                <w:b/>
                <w:i/>
              </w:rPr>
              <w:t>31</w:t>
            </w:r>
            <w:r>
              <w:rPr>
                <w:b/>
                <w:i/>
              </w:rPr>
              <w:t xml:space="preserve"> &amp; </w:t>
            </w:r>
            <w:r w:rsidR="002B3FDD">
              <w:rPr>
                <w:b/>
                <w:i/>
              </w:rPr>
              <w:t>3</w:t>
            </w:r>
            <w:r>
              <w:rPr>
                <w:b/>
                <w:i/>
              </w:rPr>
              <w:t>2</w:t>
            </w:r>
            <w:r w:rsidRPr="00434A2A">
              <w:rPr>
                <w:b/>
                <w:i/>
              </w:rPr>
              <w:t>/2019)</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adopting the latest revised Instrument format, which commenced in 2015;</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specifying a day of commencement for the Instrument in section 2;</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 xml:space="preserve">revising the definition of 'chronic pruritus </w:t>
            </w:r>
            <w:proofErr w:type="spellStart"/>
            <w:r w:rsidRPr="002546A6">
              <w:rPr>
                <w:sz w:val="20"/>
                <w:lang w:val="en-GB"/>
              </w:rPr>
              <w:t>ani</w:t>
            </w:r>
            <w:proofErr w:type="spellEnd"/>
            <w:r w:rsidRPr="002546A6">
              <w:rPr>
                <w:sz w:val="20"/>
                <w:lang w:val="en-GB"/>
              </w:rPr>
              <w:t>' in subsection 7(2);</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factors in subsections 9(1) &amp; 9(13) concerning 'adequate anal hygiene';</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new factors in subsections 9(2) &amp; 9(14) concerning 'excessive cleansing of the perianal area;</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factors in subsections 9(3) &amp; 9(15) concerning 'daily episodes of diarrhoea';</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new factors in subsections 9(4) &amp; 9(16) concerning 'faecal incontinence';</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factors in subsections 9(5) &amp; 9(17) concerning 'rectal, anal and perianal conditions';</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 xml:space="preserve">revising the factors in subsections 9(6) &amp; 9(18) concerning 'perianal or anal infection'; </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factors in subsections 9(7) &amp; 9(19) concerning 'perianal or anal infestation',</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factors in subsections 9(8) &amp; 9(20) concerning 'pathological vaginal discharge', by the inclusion of a note;</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factors in subsections 9(9) &amp; 9(21) concerning 'dermatological disease';</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factors in subsections 9(10) &amp; 9(22) concerning 'systemic disease';</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factors in subsections 9(11) &amp; 9(23) concerning 'therapeutic radiation';</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deleting the factors concerning 'being systemically treated with water-soluble corticosteroid phosphates';</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 xml:space="preserve">deleting the factors concerning 'being treated with </w:t>
            </w:r>
            <w:proofErr w:type="spellStart"/>
            <w:r w:rsidRPr="002546A6">
              <w:rPr>
                <w:sz w:val="20"/>
                <w:lang w:val="en-GB"/>
              </w:rPr>
              <w:t>nicosamide</w:t>
            </w:r>
            <w:proofErr w:type="spellEnd"/>
            <w:r w:rsidRPr="002546A6">
              <w:rPr>
                <w:sz w:val="20"/>
                <w:lang w:val="en-GB"/>
              </w:rPr>
              <w:t>, clioquinol or mineral oil';</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new definitions of 'chronic renal failure', 'excessive cleansing of the perianal area', 'faecal incontinence', 'iron deficiency', 'MRCA', 'radiation recall dermatitis', 'specified list of dermatological diseases', 'specified list of infections', 'specified list of infestations', 'specified list of rectal, anal and perianal conditions', 'specified list of systemic diseases', 'systemic contact dermatitis ' and 'VEA' in Schedule 1 - Dictionary;</w:t>
            </w:r>
          </w:p>
          <w:p w:rsidR="002546A6" w:rsidRPr="002546A6" w:rsidRDefault="002546A6" w:rsidP="002546A6">
            <w:pPr>
              <w:numPr>
                <w:ilvl w:val="0"/>
                <w:numId w:val="2"/>
              </w:numPr>
              <w:tabs>
                <w:tab w:val="clear" w:pos="720"/>
                <w:tab w:val="num" w:pos="318"/>
              </w:tabs>
              <w:ind w:left="318" w:hanging="284"/>
              <w:jc w:val="both"/>
              <w:rPr>
                <w:sz w:val="20"/>
                <w:lang w:val="en-GB"/>
              </w:rPr>
            </w:pPr>
            <w:r w:rsidRPr="002546A6">
              <w:rPr>
                <w:sz w:val="20"/>
                <w:lang w:val="en-GB"/>
              </w:rPr>
              <w:t>revising the definition of 'relevant service' in Schedule 1 - Dictionary; and</w:t>
            </w:r>
          </w:p>
          <w:p w:rsidR="00966D63" w:rsidRDefault="002546A6" w:rsidP="002546A6">
            <w:pPr>
              <w:numPr>
                <w:ilvl w:val="0"/>
                <w:numId w:val="2"/>
              </w:numPr>
              <w:tabs>
                <w:tab w:val="clear" w:pos="720"/>
                <w:tab w:val="num" w:pos="318"/>
              </w:tabs>
              <w:spacing w:after="120"/>
              <w:ind w:left="318" w:hanging="284"/>
              <w:jc w:val="both"/>
              <w:rPr>
                <w:sz w:val="20"/>
                <w:lang w:val="en-GB"/>
              </w:rPr>
            </w:pPr>
            <w:r w:rsidRPr="002546A6">
              <w:rPr>
                <w:sz w:val="20"/>
                <w:lang w:val="en-GB"/>
              </w:rPr>
              <w:t>deleting the definitions of 'a course of therapeutic radiation', 'a dermatological disease from the specified list', 'a rectal or anal condition from the specified list', 'a systemic disease from the specified list', 'an agent from the specified list of infections' and 'an agent from the specified list of infestations'.</w:t>
            </w:r>
          </w:p>
          <w:p w:rsidR="002B3FDD" w:rsidRPr="002B3FDD" w:rsidRDefault="002B3FDD" w:rsidP="002546A6">
            <w:pPr>
              <w:pStyle w:val="BodyText"/>
              <w:tabs>
                <w:tab w:val="left" w:pos="6753"/>
              </w:tabs>
              <w:spacing w:after="60"/>
              <w:ind w:right="33"/>
              <w:jc w:val="both"/>
            </w:pPr>
            <w:r w:rsidRPr="002B3FDD">
              <w:t>On 11 October 2018, the Authority wrote to organisations representing veterans, service personnel and their dependants regarding the proposed Instrument</w:t>
            </w:r>
            <w:r>
              <w:t>s</w:t>
            </w:r>
            <w:r w:rsidRPr="002B3FDD">
              <w:t xml:space="preserve"> and the medical-scientific material considered by the Authority.  This letter emphasised the deletion of factors relating to </w:t>
            </w:r>
            <w:r w:rsidRPr="004F109C">
              <w:rPr>
                <w:i/>
              </w:rPr>
              <w:t>being systemically treated with water-soluble corticosteroid phosphates</w:t>
            </w:r>
            <w:r w:rsidRPr="002B3FDD">
              <w:t xml:space="preserve"> and </w:t>
            </w:r>
            <w:r w:rsidRPr="004F109C">
              <w:rPr>
                <w:i/>
              </w:rPr>
              <w:t xml:space="preserve">being treated with </w:t>
            </w:r>
            <w:proofErr w:type="spellStart"/>
            <w:r w:rsidRPr="004F109C">
              <w:rPr>
                <w:i/>
              </w:rPr>
              <w:t>nicosamide</w:t>
            </w:r>
            <w:proofErr w:type="spellEnd"/>
            <w:r w:rsidRPr="004F109C">
              <w:rPr>
                <w:i/>
              </w:rPr>
              <w:t>, clioquinol or mineral oil</w:t>
            </w:r>
            <w:r w:rsidRPr="002B3FDD">
              <w:t>.  The Authority provided an opportunity to the organisations to make representations in relation to the proposed Instrument</w:t>
            </w:r>
            <w:r>
              <w:t>s</w:t>
            </w:r>
            <w:r w:rsidRPr="002B3FDD">
              <w:t xml:space="preserve"> prior to </w:t>
            </w:r>
            <w:r>
              <w:t>their</w:t>
            </w:r>
            <w:r w:rsidRPr="002B3FDD">
              <w:t xml:space="preserve"> determination.  No submissions were received for consideration by the Authority.  Minor </w:t>
            </w:r>
            <w:r w:rsidRPr="002B3FDD">
              <w:lastRenderedPageBreak/>
              <w:t>typographical changes were made to the proposed Instrument</w:t>
            </w:r>
            <w:r>
              <w:t>s</w:t>
            </w:r>
            <w:r w:rsidRPr="002B3FDD">
              <w:t xml:space="preserve"> following this consultation process.</w:t>
            </w:r>
          </w:p>
          <w:p w:rsidR="00B62B3E" w:rsidRPr="008274E5" w:rsidRDefault="00966D63" w:rsidP="002546A6">
            <w:pPr>
              <w:pStyle w:val="BodyText"/>
              <w:tabs>
                <w:tab w:val="left" w:pos="6753"/>
              </w:tabs>
              <w:spacing w:after="60"/>
              <w:ind w:right="33"/>
              <w:jc w:val="both"/>
            </w:pPr>
            <w:r w:rsidRPr="00434A2A">
              <w:rPr>
                <w:b/>
              </w:rPr>
              <w:t xml:space="preserve">The determining of these Instruments finalises the investigation in relation to </w:t>
            </w:r>
            <w:r w:rsidR="002546A6" w:rsidRPr="002546A6">
              <w:rPr>
                <w:b/>
                <w:i/>
              </w:rPr>
              <w:t xml:space="preserve">chronic pruritus </w:t>
            </w:r>
            <w:proofErr w:type="spellStart"/>
            <w:r w:rsidR="002546A6" w:rsidRPr="002546A6">
              <w:rPr>
                <w:b/>
                <w:i/>
              </w:rPr>
              <w:t>ani</w:t>
            </w:r>
            <w:proofErr w:type="spellEnd"/>
            <w:r w:rsidRPr="00434A2A">
              <w:rPr>
                <w:b/>
                <w:i/>
              </w:rPr>
              <w:t xml:space="preserve"> </w:t>
            </w:r>
            <w:r w:rsidRPr="00434A2A">
              <w:rPr>
                <w:b/>
              </w:rPr>
              <w:t>as advertised in the Government Notices Gazette of 14</w:t>
            </w:r>
            <w:r>
              <w:rPr>
                <w:b/>
              </w:rPr>
              <w:t> </w:t>
            </w:r>
            <w:r w:rsidRPr="00434A2A">
              <w:rPr>
                <w:b/>
              </w:rPr>
              <w:t>November 2017.</w:t>
            </w:r>
          </w:p>
        </w:tc>
      </w:tr>
      <w:tr w:rsidR="00B62B3E" w:rsidRPr="00C513D2" w:rsidTr="006A58DD">
        <w:tc>
          <w:tcPr>
            <w:tcW w:w="993" w:type="dxa"/>
            <w:tcBorders>
              <w:top w:val="single" w:sz="6" w:space="0" w:color="auto"/>
              <w:left w:val="single" w:sz="6" w:space="0" w:color="auto"/>
              <w:bottom w:val="single" w:sz="6" w:space="0" w:color="auto"/>
              <w:right w:val="single" w:sz="6" w:space="0" w:color="auto"/>
            </w:tcBorders>
          </w:tcPr>
          <w:p w:rsidR="00B62B3E" w:rsidRDefault="00C40D00" w:rsidP="008274E5">
            <w:pPr>
              <w:rPr>
                <w:sz w:val="20"/>
              </w:rPr>
            </w:pPr>
            <w:r>
              <w:rPr>
                <w:sz w:val="20"/>
              </w:rPr>
              <w:lastRenderedPageBreak/>
              <w:t>33 &amp; 34/2019</w:t>
            </w:r>
          </w:p>
        </w:tc>
        <w:tc>
          <w:tcPr>
            <w:tcW w:w="1842" w:type="dxa"/>
            <w:tcBorders>
              <w:top w:val="single" w:sz="2" w:space="0" w:color="auto"/>
              <w:left w:val="single" w:sz="6" w:space="0" w:color="auto"/>
              <w:bottom w:val="single" w:sz="2" w:space="0" w:color="auto"/>
              <w:right w:val="single" w:sz="6" w:space="0" w:color="auto"/>
            </w:tcBorders>
          </w:tcPr>
          <w:p w:rsidR="00B62B3E" w:rsidRPr="008274E5" w:rsidRDefault="00C40D00" w:rsidP="00FD4FFF">
            <w:pPr>
              <w:rPr>
                <w:sz w:val="20"/>
              </w:rPr>
            </w:pPr>
            <w:r w:rsidRPr="00C40D00">
              <w:rPr>
                <w:sz w:val="20"/>
              </w:rPr>
              <w:t>Alzheimer disease</w:t>
            </w:r>
          </w:p>
        </w:tc>
        <w:tc>
          <w:tcPr>
            <w:tcW w:w="7912" w:type="dxa"/>
            <w:tcBorders>
              <w:top w:val="single" w:sz="6" w:space="0" w:color="auto"/>
              <w:left w:val="single" w:sz="6" w:space="0" w:color="auto"/>
              <w:bottom w:val="single" w:sz="6" w:space="0" w:color="auto"/>
              <w:right w:val="single" w:sz="6" w:space="0" w:color="auto"/>
            </w:tcBorders>
          </w:tcPr>
          <w:p w:rsidR="00966D63" w:rsidRPr="00434A2A" w:rsidRDefault="00966D63" w:rsidP="00966D63">
            <w:pPr>
              <w:pStyle w:val="BodyText"/>
              <w:tabs>
                <w:tab w:val="left" w:pos="6753"/>
              </w:tabs>
              <w:spacing w:after="60"/>
              <w:ind w:right="33"/>
              <w:jc w:val="both"/>
            </w:pPr>
            <w:r w:rsidRPr="000476EA">
              <w:t xml:space="preserve">These Instruments result from an investigation notified by the Authority in the Government Notices Gazette of 14 November 2017 concerning </w:t>
            </w:r>
            <w:r w:rsidR="00C40D00" w:rsidRPr="000476EA">
              <w:rPr>
                <w:i/>
              </w:rPr>
              <w:t xml:space="preserve">Alzheimer-type dementia </w:t>
            </w:r>
            <w:r w:rsidRPr="000476EA">
              <w:t>in accordance with section 196G of the VEA.</w:t>
            </w:r>
            <w:r w:rsidR="000476EA">
              <w:t xml:space="preserve"> </w:t>
            </w:r>
            <w:r w:rsidRPr="000476EA">
              <w:t xml:space="preserve">The investigation </w:t>
            </w:r>
            <w:r w:rsidRPr="00434A2A">
              <w:t>involved an examination of the sound medical-scientific evidence now available to the Authority, including the sound medical-scientific evidence it has previously considered.</w:t>
            </w:r>
          </w:p>
          <w:p w:rsidR="00966D63" w:rsidRPr="00434A2A" w:rsidRDefault="00966D63" w:rsidP="00966D63">
            <w:pPr>
              <w:pStyle w:val="BodyText"/>
              <w:tabs>
                <w:tab w:val="left" w:pos="6753"/>
              </w:tabs>
              <w:spacing w:after="60"/>
              <w:ind w:right="33"/>
              <w:jc w:val="both"/>
            </w:pPr>
            <w:r w:rsidRPr="00434A2A">
              <w:t>The contents of these Instruments are in similar terms as the repealed Instruments. Comparing these Instruments and the repealed Instruments, the differences include:</w:t>
            </w:r>
          </w:p>
          <w:p w:rsidR="00966D63" w:rsidRPr="00434A2A" w:rsidRDefault="00966D63" w:rsidP="00966D63">
            <w:pPr>
              <w:pStyle w:val="BodyText"/>
              <w:tabs>
                <w:tab w:val="left" w:pos="6753"/>
              </w:tabs>
              <w:spacing w:before="60" w:after="60"/>
              <w:ind w:right="34"/>
              <w:jc w:val="both"/>
              <w:rPr>
                <w:b/>
                <w:i/>
              </w:rPr>
            </w:pPr>
            <w:r w:rsidRPr="00434A2A">
              <w:rPr>
                <w:b/>
                <w:i/>
              </w:rPr>
              <w:t xml:space="preserve">For RH </w:t>
            </w:r>
            <w:proofErr w:type="spellStart"/>
            <w:r w:rsidRPr="00434A2A">
              <w:rPr>
                <w:b/>
                <w:i/>
              </w:rPr>
              <w:t>SoP</w:t>
            </w:r>
            <w:proofErr w:type="spellEnd"/>
            <w:r w:rsidRPr="00434A2A">
              <w:t xml:space="preserve"> </w:t>
            </w:r>
            <w:r w:rsidRPr="00434A2A">
              <w:rPr>
                <w:b/>
                <w:i/>
              </w:rPr>
              <w:t xml:space="preserve">(Instrument No. </w:t>
            </w:r>
            <w:r w:rsidR="00C40D00">
              <w:rPr>
                <w:b/>
                <w:i/>
              </w:rPr>
              <w:t>33</w:t>
            </w:r>
            <w:r w:rsidRPr="00434A2A">
              <w:rPr>
                <w:b/>
                <w:i/>
              </w:rPr>
              <w:t>/2019)</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adopting the latest revised Instrument format, which commenced in 2015;</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specifying a day of commencement for the Instrument in section 2;</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changing the title of the Instrument to 'Alzheimer disease';</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new definition of 'Alzheimer disease' in subsection 7(2);</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including ICD-10-AM codes for 'Alzheimer disease' in subsection 7(3);</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including the reference to 'ICD-10-AM code' in subsection 7(4);</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9(1) concerning 'moderate to severe traumatic brain injury';</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9(2) concerning 'smoking';</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9(3) concerning 'a course of therapeutic radiation';</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9(4) concerning 'extremely low frequency electromagnetic field (ELF-EMF)';</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9(5) concerning 'being obese';</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9(6) concerning 'dyslipidaemia';</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9(7) concerning 'diabetes mellitus';</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9(8) concerning 'hypertension';</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9(9) concerning 'hyperhomocysteinaemia';</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9(10) concerning 'major depressive disorder';</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factor in subsection 9(11) concerning 'posttraumatic stress disorder';</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new factor in subsection 9(12) concerning 'inability to undertake any physical activity greater than three METs';</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new factor in subsection 9(13) concerning 'being treated with an anticholinergic drug';</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deleting the factor concerning 'having a thyroid disorder';</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deleting the factor concerning 'ionising radiation';</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 xml:space="preserve">new definitions of 'atypical presentations of Alzheimer disease', </w:t>
            </w:r>
            <w:r w:rsidR="002919AC" w:rsidRPr="00C40D00">
              <w:rPr>
                <w:sz w:val="20"/>
                <w:lang w:val="en-GB"/>
              </w:rPr>
              <w:t>'BMI',</w:t>
            </w:r>
            <w:r w:rsidR="002919AC">
              <w:rPr>
                <w:sz w:val="20"/>
                <w:lang w:val="en-GB"/>
              </w:rPr>
              <w:t xml:space="preserve"> </w:t>
            </w:r>
            <w:r w:rsidRPr="00C40D00">
              <w:rPr>
                <w:sz w:val="20"/>
                <w:lang w:val="en-GB"/>
              </w:rPr>
              <w:t>'cumulative dose', 'DSM-5', 'major neurocognitive disorder', 'MET', 'mild neurocognitive disorder', 'MRCA', 'specified list of anticholinergic drugs' and 'VEA' in Schedule 1 - Dictionary;</w:t>
            </w:r>
          </w:p>
          <w:p w:rsidR="00C40D00" w:rsidRPr="00C40D00" w:rsidRDefault="00C40D00" w:rsidP="00C40D00">
            <w:pPr>
              <w:numPr>
                <w:ilvl w:val="0"/>
                <w:numId w:val="2"/>
              </w:numPr>
              <w:tabs>
                <w:tab w:val="clear" w:pos="720"/>
                <w:tab w:val="num" w:pos="318"/>
              </w:tabs>
              <w:ind w:left="318" w:hanging="318"/>
              <w:jc w:val="both"/>
              <w:rPr>
                <w:sz w:val="20"/>
                <w:lang w:val="en-GB"/>
              </w:rPr>
            </w:pPr>
            <w:r w:rsidRPr="00C40D00">
              <w:rPr>
                <w:sz w:val="20"/>
                <w:lang w:val="en-GB"/>
              </w:rPr>
              <w:t>revising the definitions of 'being obese', 'extremely low frequency electromagnetic field (ELF-EMF)', 'pack-years of cigarettes, or the equivalent thereof in other tobacco products' and 'relevant service' in Schedule 1- Dictionary; and</w:t>
            </w:r>
          </w:p>
          <w:p w:rsidR="00966D63" w:rsidRPr="00434A2A" w:rsidRDefault="00C40D00" w:rsidP="00C40D00">
            <w:pPr>
              <w:numPr>
                <w:ilvl w:val="0"/>
                <w:numId w:val="2"/>
              </w:numPr>
              <w:tabs>
                <w:tab w:val="clear" w:pos="720"/>
                <w:tab w:val="num" w:pos="318"/>
              </w:tabs>
              <w:spacing w:after="120"/>
              <w:ind w:left="318" w:hanging="318"/>
              <w:jc w:val="both"/>
              <w:rPr>
                <w:sz w:val="20"/>
                <w:lang w:val="en-GB"/>
              </w:rPr>
            </w:pPr>
            <w:r w:rsidRPr="00C40D00">
              <w:rPr>
                <w:sz w:val="20"/>
                <w:lang w:val="en-GB"/>
              </w:rPr>
              <w:t>deleting the definitions of 'a thyroid disorder as specified' and 'cumulative equivalent dose'.</w:t>
            </w:r>
          </w:p>
          <w:p w:rsidR="00C40D00" w:rsidRPr="00434A2A" w:rsidRDefault="00C40D00" w:rsidP="00C40D00">
            <w:pPr>
              <w:pStyle w:val="BodyText"/>
              <w:tabs>
                <w:tab w:val="left" w:pos="6753"/>
              </w:tabs>
              <w:spacing w:before="60" w:after="60"/>
              <w:ind w:right="34"/>
              <w:jc w:val="both"/>
              <w:rPr>
                <w:b/>
                <w:i/>
              </w:rPr>
            </w:pPr>
            <w:r w:rsidRPr="00434A2A">
              <w:rPr>
                <w:b/>
                <w:i/>
              </w:rPr>
              <w:t xml:space="preserve">For </w:t>
            </w:r>
            <w:proofErr w:type="spellStart"/>
            <w:r>
              <w:rPr>
                <w:b/>
                <w:i/>
              </w:rPr>
              <w:t>BoP</w:t>
            </w:r>
            <w:proofErr w:type="spellEnd"/>
            <w:r w:rsidRPr="00434A2A">
              <w:rPr>
                <w:b/>
                <w:i/>
              </w:rPr>
              <w:t xml:space="preserve"> </w:t>
            </w:r>
            <w:proofErr w:type="spellStart"/>
            <w:r w:rsidRPr="00434A2A">
              <w:rPr>
                <w:b/>
                <w:i/>
              </w:rPr>
              <w:t>SoP</w:t>
            </w:r>
            <w:proofErr w:type="spellEnd"/>
            <w:r w:rsidRPr="00434A2A">
              <w:t xml:space="preserve"> </w:t>
            </w:r>
            <w:r w:rsidRPr="00434A2A">
              <w:rPr>
                <w:b/>
                <w:i/>
              </w:rPr>
              <w:t xml:space="preserve">(Instrument No. </w:t>
            </w:r>
            <w:r>
              <w:rPr>
                <w:b/>
                <w:i/>
              </w:rPr>
              <w:t>34</w:t>
            </w:r>
            <w:r w:rsidRPr="00434A2A">
              <w:rPr>
                <w:b/>
                <w:i/>
              </w:rPr>
              <w:t>/2019)</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adopting the latest revised Instrument format, which commenced in 2015;</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specifying a day of commencement for the Instrument in section 2;</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changing the title of the Instrument to 'Alzheimer disease';</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new definition of 'Alzheimer disease' in subsection 7(2);</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including ICD-10-AM codes for 'Alzheimer disease' in subsection 7(3);</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including the reference to 'ICD-10-AM code' in subsection 7(4);</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revising the factor in subsection 9(1) concerning 'smoking';</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new factor in subsection 9(2) concerning 'a course of therapeutic radiation';</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new factor in subsection 9(3) concerning 'being obese';</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new factor in subsection 9(4) concerning 'dyslipidaemia';</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revising the factor in subsection 9(5) concerning 'diabetes mellitus';</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revising the factor in subsection 9(6) concerning 'hyperhomocysteinaemia';</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new factor in subsection 9(7) concerning 'inability to undertake any physical activity greater than three METs';</w:t>
            </w:r>
          </w:p>
          <w:p w:rsidR="006E1F2D" w:rsidRPr="006E1F2D" w:rsidRDefault="006E1F2D" w:rsidP="006E1F2D">
            <w:pPr>
              <w:numPr>
                <w:ilvl w:val="0"/>
                <w:numId w:val="2"/>
              </w:numPr>
              <w:tabs>
                <w:tab w:val="clear" w:pos="720"/>
                <w:tab w:val="num" w:pos="318"/>
              </w:tabs>
              <w:ind w:left="318" w:hanging="318"/>
              <w:jc w:val="both"/>
              <w:rPr>
                <w:sz w:val="20"/>
                <w:lang w:val="en-GB"/>
              </w:rPr>
            </w:pPr>
            <w:r w:rsidRPr="006E1F2D">
              <w:rPr>
                <w:sz w:val="20"/>
                <w:lang w:val="en-GB"/>
              </w:rPr>
              <w:t>new definitions of 'atypical presentations of Alzheimer disease', 'being obese', 'BMI', 'DSM-5', 'major neurocognitive disorder', 'MET', 'mild neurocognitive disorder', 'MRCA' and 'VEA' in Schedule 1 - Dictionary; and</w:t>
            </w:r>
          </w:p>
          <w:p w:rsidR="00C40D00" w:rsidRDefault="006E1F2D" w:rsidP="006E1F2D">
            <w:pPr>
              <w:pStyle w:val="BodyText"/>
              <w:numPr>
                <w:ilvl w:val="0"/>
                <w:numId w:val="2"/>
              </w:numPr>
              <w:tabs>
                <w:tab w:val="clear" w:pos="720"/>
                <w:tab w:val="num" w:pos="318"/>
                <w:tab w:val="left" w:pos="6753"/>
              </w:tabs>
              <w:spacing w:after="60"/>
              <w:ind w:left="318" w:right="33" w:hanging="318"/>
              <w:jc w:val="both"/>
              <w:rPr>
                <w:b/>
              </w:rPr>
            </w:pPr>
            <w:r w:rsidRPr="006E1F2D">
              <w:rPr>
                <w:lang w:val="en-GB"/>
              </w:rPr>
              <w:lastRenderedPageBreak/>
              <w:t>revising the definitions of 'pack-years of cigarettes, or the equivalent thereof in other tobacco products' and 'relevant service' in Schedule 1- Dictionary.</w:t>
            </w:r>
          </w:p>
          <w:p w:rsidR="006E1F2D" w:rsidRPr="006E1F2D" w:rsidRDefault="006E1F2D" w:rsidP="00966D63">
            <w:pPr>
              <w:pStyle w:val="BodyText"/>
              <w:tabs>
                <w:tab w:val="left" w:pos="6753"/>
              </w:tabs>
              <w:spacing w:after="60"/>
              <w:ind w:right="33"/>
              <w:jc w:val="both"/>
            </w:pPr>
            <w:r w:rsidRPr="006E1F2D">
              <w:t>On 11 October 2018, the Authority wrote to organisations representing veterans, service personnel and their dependants regarding the proposed Instrument</w:t>
            </w:r>
            <w:r>
              <w:t>s</w:t>
            </w:r>
            <w:r w:rsidRPr="006E1F2D">
              <w:t xml:space="preserve"> and the medical-scientific material considered by the Authority.  This letter emphasised the deletion of factors relating to </w:t>
            </w:r>
            <w:r w:rsidRPr="004F109C">
              <w:rPr>
                <w:i/>
              </w:rPr>
              <w:t>having a thyroid disorder</w:t>
            </w:r>
            <w:r w:rsidRPr="006E1F2D">
              <w:t xml:space="preserve"> and </w:t>
            </w:r>
            <w:r w:rsidRPr="004F109C">
              <w:rPr>
                <w:i/>
              </w:rPr>
              <w:t>ionising radiation</w:t>
            </w:r>
            <w:r w:rsidR="004F109C">
              <w:t xml:space="preserve"> </w:t>
            </w:r>
            <w:r w:rsidR="004F109C" w:rsidRPr="004F109C">
              <w:t>in the Reasonable Hypothesis Statement of Principles</w:t>
            </w:r>
            <w:r w:rsidRPr="006E1F2D">
              <w:t>.  The Authority provided an opportunity to the organisations to make representations in relation to the proposed Instrument</w:t>
            </w:r>
            <w:r>
              <w:t>s</w:t>
            </w:r>
            <w:r w:rsidRPr="006E1F2D">
              <w:t xml:space="preserve"> prior to </w:t>
            </w:r>
            <w:r>
              <w:t>their</w:t>
            </w:r>
            <w:r w:rsidRPr="006E1F2D">
              <w:t xml:space="preserve"> determination.  No submissions were received for consideration by the Authority.  </w:t>
            </w:r>
            <w:r w:rsidR="004A08C2">
              <w:t>Minor typographical changes were made to the proposed Instruments following this consultation process.</w:t>
            </w:r>
          </w:p>
          <w:p w:rsidR="00B62B3E" w:rsidRPr="008274E5" w:rsidRDefault="00966D63" w:rsidP="00966D63">
            <w:pPr>
              <w:pStyle w:val="BodyText"/>
              <w:tabs>
                <w:tab w:val="left" w:pos="6753"/>
              </w:tabs>
              <w:spacing w:after="60"/>
              <w:ind w:right="33"/>
              <w:jc w:val="both"/>
            </w:pPr>
            <w:r w:rsidRPr="00434A2A">
              <w:rPr>
                <w:b/>
              </w:rPr>
              <w:t xml:space="preserve">The determining of these Instruments finalises the investigation in relation to </w:t>
            </w:r>
            <w:r w:rsidR="00C40D00" w:rsidRPr="00C40D00">
              <w:rPr>
                <w:b/>
                <w:i/>
              </w:rPr>
              <w:t>Alzheimer-type dementia</w:t>
            </w:r>
            <w:r w:rsidRPr="00434A2A">
              <w:rPr>
                <w:b/>
                <w:i/>
              </w:rPr>
              <w:t xml:space="preserve"> </w:t>
            </w:r>
            <w:r w:rsidRPr="00434A2A">
              <w:rPr>
                <w:b/>
              </w:rPr>
              <w:t>as advertised in the Government Notices Gazette of 14</w:t>
            </w:r>
            <w:r>
              <w:rPr>
                <w:b/>
              </w:rPr>
              <w:t> </w:t>
            </w:r>
            <w:r w:rsidRPr="00434A2A">
              <w:rPr>
                <w:b/>
              </w:rPr>
              <w:t>November 2017.</w:t>
            </w:r>
          </w:p>
        </w:tc>
      </w:tr>
      <w:tr w:rsidR="00B62B3E" w:rsidRPr="00C513D2" w:rsidTr="006A58DD">
        <w:tc>
          <w:tcPr>
            <w:tcW w:w="993" w:type="dxa"/>
            <w:tcBorders>
              <w:top w:val="single" w:sz="6" w:space="0" w:color="auto"/>
              <w:left w:val="single" w:sz="6" w:space="0" w:color="auto"/>
              <w:bottom w:val="single" w:sz="6" w:space="0" w:color="auto"/>
              <w:right w:val="single" w:sz="6" w:space="0" w:color="auto"/>
            </w:tcBorders>
          </w:tcPr>
          <w:p w:rsidR="00B62B3E" w:rsidRDefault="000476EA" w:rsidP="008274E5">
            <w:pPr>
              <w:rPr>
                <w:sz w:val="20"/>
              </w:rPr>
            </w:pPr>
            <w:r>
              <w:rPr>
                <w:sz w:val="20"/>
              </w:rPr>
              <w:lastRenderedPageBreak/>
              <w:t>35 &amp; 36/2019</w:t>
            </w:r>
          </w:p>
        </w:tc>
        <w:tc>
          <w:tcPr>
            <w:tcW w:w="1842" w:type="dxa"/>
            <w:tcBorders>
              <w:top w:val="single" w:sz="2" w:space="0" w:color="auto"/>
              <w:left w:val="single" w:sz="6" w:space="0" w:color="auto"/>
              <w:bottom w:val="single" w:sz="2" w:space="0" w:color="auto"/>
              <w:right w:val="single" w:sz="6" w:space="0" w:color="auto"/>
            </w:tcBorders>
          </w:tcPr>
          <w:p w:rsidR="00B62B3E" w:rsidRPr="008274E5" w:rsidRDefault="000476EA" w:rsidP="00FD4FFF">
            <w:pPr>
              <w:rPr>
                <w:sz w:val="20"/>
              </w:rPr>
            </w:pPr>
            <w:r w:rsidRPr="000476EA">
              <w:rPr>
                <w:sz w:val="20"/>
              </w:rPr>
              <w:t>neurocognitive disorder with Lewy bodies</w:t>
            </w:r>
          </w:p>
        </w:tc>
        <w:tc>
          <w:tcPr>
            <w:tcW w:w="7912" w:type="dxa"/>
            <w:tcBorders>
              <w:top w:val="single" w:sz="6" w:space="0" w:color="auto"/>
              <w:left w:val="single" w:sz="6" w:space="0" w:color="auto"/>
              <w:bottom w:val="single" w:sz="6" w:space="0" w:color="auto"/>
              <w:right w:val="single" w:sz="6" w:space="0" w:color="auto"/>
            </w:tcBorders>
          </w:tcPr>
          <w:p w:rsidR="002919AC" w:rsidRPr="00434A2A" w:rsidRDefault="002919AC" w:rsidP="002919AC">
            <w:pPr>
              <w:pStyle w:val="BodyText"/>
              <w:tabs>
                <w:tab w:val="left" w:pos="6753"/>
              </w:tabs>
              <w:spacing w:after="60"/>
              <w:ind w:right="33"/>
              <w:jc w:val="both"/>
            </w:pPr>
            <w:r w:rsidRPr="000476EA">
              <w:t xml:space="preserve">These Instruments result from an investigation notified by the Authority in the Government Notices Gazette of 14 November 2017 concerning </w:t>
            </w:r>
            <w:r w:rsidRPr="000476EA">
              <w:rPr>
                <w:i/>
              </w:rPr>
              <w:t xml:space="preserve">Alzheimer-type dementia </w:t>
            </w:r>
            <w:r w:rsidRPr="000476EA">
              <w:t>in accordance with section 196G of the VEA.</w:t>
            </w:r>
            <w:r>
              <w:t xml:space="preserve"> </w:t>
            </w:r>
            <w:r w:rsidRPr="000476EA">
              <w:t xml:space="preserve">The investigation </w:t>
            </w:r>
            <w:r w:rsidRPr="00434A2A">
              <w:t>involved an examination of the sound medical-scientific evidence now available to the Authority, including the sound medical-scientific evidence it has previously considered.</w:t>
            </w:r>
          </w:p>
          <w:p w:rsidR="002919AC" w:rsidRPr="00434A2A" w:rsidRDefault="002919AC" w:rsidP="002919AC">
            <w:pPr>
              <w:pStyle w:val="BodyText"/>
              <w:tabs>
                <w:tab w:val="left" w:pos="6753"/>
              </w:tabs>
              <w:spacing w:after="60"/>
              <w:ind w:right="33"/>
              <w:jc w:val="both"/>
            </w:pPr>
            <w:r w:rsidRPr="00434A2A">
              <w:t>The contents of these Instruments are in similar terms as the repealed Instruments. Comparing these Instruments and the repealed Instruments, the differences include:</w:t>
            </w:r>
          </w:p>
          <w:p w:rsidR="002919AC" w:rsidRPr="00434A2A" w:rsidRDefault="002919AC" w:rsidP="002919AC">
            <w:pPr>
              <w:pStyle w:val="BodyText"/>
              <w:tabs>
                <w:tab w:val="left" w:pos="6753"/>
              </w:tabs>
              <w:spacing w:before="60" w:after="60"/>
              <w:ind w:right="34"/>
              <w:jc w:val="both"/>
              <w:rPr>
                <w:b/>
                <w:i/>
              </w:rPr>
            </w:pPr>
            <w:r w:rsidRPr="00434A2A">
              <w:rPr>
                <w:b/>
                <w:i/>
              </w:rPr>
              <w:t xml:space="preserve">For RH </w:t>
            </w:r>
            <w:proofErr w:type="spellStart"/>
            <w:r w:rsidRPr="00434A2A">
              <w:rPr>
                <w:b/>
                <w:i/>
              </w:rPr>
              <w:t>SoP</w:t>
            </w:r>
            <w:proofErr w:type="spellEnd"/>
            <w:r w:rsidRPr="00434A2A">
              <w:t xml:space="preserve"> </w:t>
            </w:r>
            <w:r w:rsidRPr="00434A2A">
              <w:rPr>
                <w:b/>
                <w:i/>
              </w:rPr>
              <w:t xml:space="preserve">(Instrument No. </w:t>
            </w:r>
            <w:r>
              <w:rPr>
                <w:b/>
                <w:i/>
              </w:rPr>
              <w:t>33</w:t>
            </w:r>
            <w:r w:rsidRPr="00434A2A">
              <w:rPr>
                <w:b/>
                <w:i/>
              </w:rPr>
              <w:t>/2019)</w:t>
            </w:r>
          </w:p>
          <w:p w:rsidR="002919AC" w:rsidRPr="002919AC" w:rsidRDefault="002919AC" w:rsidP="004A08C2">
            <w:pPr>
              <w:numPr>
                <w:ilvl w:val="0"/>
                <w:numId w:val="2"/>
              </w:numPr>
              <w:ind w:left="360"/>
              <w:jc w:val="both"/>
              <w:rPr>
                <w:sz w:val="20"/>
                <w:lang w:val="en-GB"/>
              </w:rPr>
            </w:pPr>
            <w:r w:rsidRPr="002919AC">
              <w:rPr>
                <w:sz w:val="20"/>
                <w:lang w:val="en-GB"/>
              </w:rPr>
              <w:t>adopting the latest revised Instrument format, which commenced in 2015;</w:t>
            </w:r>
          </w:p>
          <w:p w:rsidR="002919AC" w:rsidRPr="002919AC" w:rsidRDefault="002919AC" w:rsidP="004A08C2">
            <w:pPr>
              <w:numPr>
                <w:ilvl w:val="0"/>
                <w:numId w:val="2"/>
              </w:numPr>
              <w:ind w:left="360"/>
              <w:jc w:val="both"/>
              <w:rPr>
                <w:sz w:val="20"/>
                <w:lang w:val="en-GB"/>
              </w:rPr>
            </w:pPr>
            <w:r w:rsidRPr="002919AC">
              <w:rPr>
                <w:sz w:val="20"/>
                <w:lang w:val="en-GB"/>
              </w:rPr>
              <w:t>specifying a day of commencement for the Instrument in section 2;</w:t>
            </w:r>
          </w:p>
          <w:p w:rsidR="002919AC" w:rsidRPr="002919AC" w:rsidRDefault="002919AC" w:rsidP="004A08C2">
            <w:pPr>
              <w:numPr>
                <w:ilvl w:val="0"/>
                <w:numId w:val="2"/>
              </w:numPr>
              <w:ind w:left="360"/>
              <w:jc w:val="both"/>
              <w:rPr>
                <w:sz w:val="20"/>
                <w:lang w:val="en-GB"/>
              </w:rPr>
            </w:pPr>
            <w:r w:rsidRPr="002919AC">
              <w:rPr>
                <w:sz w:val="20"/>
                <w:lang w:val="en-GB"/>
              </w:rPr>
              <w:t>separating the Instruments for Alzheimer-type dementia into two conditions with the Instruments titled Alzheimer disease and neurocognitive disorder with Lewy bodies;</w:t>
            </w:r>
          </w:p>
          <w:p w:rsidR="002919AC" w:rsidRPr="002919AC" w:rsidRDefault="002919AC" w:rsidP="004A08C2">
            <w:pPr>
              <w:numPr>
                <w:ilvl w:val="0"/>
                <w:numId w:val="2"/>
              </w:numPr>
              <w:ind w:left="360"/>
              <w:jc w:val="both"/>
              <w:rPr>
                <w:sz w:val="20"/>
                <w:lang w:val="en-GB"/>
              </w:rPr>
            </w:pPr>
            <w:r w:rsidRPr="002919AC">
              <w:rPr>
                <w:sz w:val="20"/>
                <w:lang w:val="en-GB"/>
              </w:rPr>
              <w:t>new definition of 'neurocognitive disorder with Lewy bodies' in subsection 7(2);</w:t>
            </w:r>
          </w:p>
          <w:p w:rsidR="002919AC" w:rsidRPr="002919AC" w:rsidRDefault="002919AC" w:rsidP="004A08C2">
            <w:pPr>
              <w:numPr>
                <w:ilvl w:val="0"/>
                <w:numId w:val="2"/>
              </w:numPr>
              <w:ind w:left="360"/>
              <w:jc w:val="both"/>
              <w:rPr>
                <w:sz w:val="20"/>
                <w:lang w:val="en-GB"/>
              </w:rPr>
            </w:pPr>
            <w:r w:rsidRPr="002919AC">
              <w:rPr>
                <w:sz w:val="20"/>
                <w:lang w:val="en-GB"/>
              </w:rPr>
              <w:t>including ICD-10-AM codes for 'neurocognitive disorder with Lewy bodies' in subsection 7(3);</w:t>
            </w:r>
          </w:p>
          <w:p w:rsidR="002919AC" w:rsidRPr="002919AC" w:rsidRDefault="002919AC" w:rsidP="004A08C2">
            <w:pPr>
              <w:numPr>
                <w:ilvl w:val="0"/>
                <w:numId w:val="2"/>
              </w:numPr>
              <w:ind w:left="360"/>
              <w:jc w:val="both"/>
              <w:rPr>
                <w:sz w:val="20"/>
                <w:lang w:val="en-GB"/>
              </w:rPr>
            </w:pPr>
            <w:r w:rsidRPr="002919AC">
              <w:rPr>
                <w:sz w:val="20"/>
                <w:lang w:val="en-GB"/>
              </w:rPr>
              <w:t xml:space="preserve">revising the factor in subsection 9(1) concerning 'major depressive disorder'; </w:t>
            </w:r>
          </w:p>
          <w:p w:rsidR="002919AC" w:rsidRPr="002919AC" w:rsidRDefault="002919AC" w:rsidP="004A08C2">
            <w:pPr>
              <w:numPr>
                <w:ilvl w:val="0"/>
                <w:numId w:val="2"/>
              </w:numPr>
              <w:ind w:left="360"/>
              <w:jc w:val="both"/>
              <w:rPr>
                <w:sz w:val="20"/>
                <w:lang w:val="en-GB"/>
              </w:rPr>
            </w:pPr>
            <w:r w:rsidRPr="002919AC">
              <w:rPr>
                <w:sz w:val="20"/>
                <w:lang w:val="en-GB"/>
              </w:rPr>
              <w:t xml:space="preserve">revising the factor in subsection 9(2) concerning 'posttraumatic stress disorder'; </w:t>
            </w:r>
          </w:p>
          <w:p w:rsidR="002919AC" w:rsidRPr="002919AC" w:rsidRDefault="002919AC" w:rsidP="004A08C2">
            <w:pPr>
              <w:numPr>
                <w:ilvl w:val="0"/>
                <w:numId w:val="2"/>
              </w:numPr>
              <w:ind w:left="360"/>
              <w:jc w:val="both"/>
              <w:rPr>
                <w:sz w:val="20"/>
                <w:lang w:val="en-GB"/>
              </w:rPr>
            </w:pPr>
            <w:r w:rsidRPr="002919AC">
              <w:rPr>
                <w:sz w:val="20"/>
                <w:lang w:val="en-GB"/>
              </w:rPr>
              <w:t>new factor in subsection 9(3) concerning 'being treated with an antipsychotic drug', for clinical worsening only;</w:t>
            </w:r>
          </w:p>
          <w:p w:rsidR="002919AC" w:rsidRPr="002919AC" w:rsidRDefault="002919AC" w:rsidP="004A08C2">
            <w:pPr>
              <w:numPr>
                <w:ilvl w:val="0"/>
                <w:numId w:val="2"/>
              </w:numPr>
              <w:ind w:left="360"/>
              <w:jc w:val="both"/>
              <w:rPr>
                <w:sz w:val="20"/>
                <w:lang w:val="en-GB"/>
              </w:rPr>
            </w:pPr>
            <w:r w:rsidRPr="002919AC">
              <w:rPr>
                <w:sz w:val="20"/>
                <w:lang w:val="en-GB"/>
              </w:rPr>
              <w:t>new factor in subsection 9(4) concerning 'being treated with an anticholinergic drug', for clinical worsening only;</w:t>
            </w:r>
          </w:p>
          <w:p w:rsidR="002919AC" w:rsidRPr="002919AC" w:rsidRDefault="002919AC" w:rsidP="004A08C2">
            <w:pPr>
              <w:numPr>
                <w:ilvl w:val="0"/>
                <w:numId w:val="2"/>
              </w:numPr>
              <w:ind w:left="360"/>
              <w:jc w:val="both"/>
              <w:rPr>
                <w:sz w:val="20"/>
                <w:lang w:val="en-GB"/>
              </w:rPr>
            </w:pPr>
            <w:r w:rsidRPr="002919AC">
              <w:rPr>
                <w:sz w:val="20"/>
                <w:lang w:val="en-GB"/>
              </w:rPr>
              <w:t>deleting various factors relating to 'moderate to severe cerebral trauma', 'smoking', 'extremely low frequency electromagneti</w:t>
            </w:r>
            <w:bookmarkStart w:id="0" w:name="_GoBack"/>
            <w:bookmarkEnd w:id="0"/>
            <w:r w:rsidRPr="002919AC">
              <w:rPr>
                <w:sz w:val="20"/>
                <w:lang w:val="en-GB"/>
              </w:rPr>
              <w:t>c field', 'dyslipidaemia', 'diabetes mellitus', 'being obese', 'hypertension', 'hyperhomocysteinaemia', 'thyroid disorder', 'ionising radiation' and 'therapeutic radiation';</w:t>
            </w:r>
          </w:p>
          <w:p w:rsidR="002919AC" w:rsidRPr="002919AC" w:rsidRDefault="002919AC" w:rsidP="004A08C2">
            <w:pPr>
              <w:numPr>
                <w:ilvl w:val="0"/>
                <w:numId w:val="2"/>
              </w:numPr>
              <w:ind w:left="360"/>
              <w:jc w:val="both"/>
              <w:rPr>
                <w:sz w:val="20"/>
                <w:lang w:val="en-GB"/>
              </w:rPr>
            </w:pPr>
            <w:r w:rsidRPr="002919AC">
              <w:rPr>
                <w:sz w:val="20"/>
                <w:lang w:val="en-GB"/>
              </w:rPr>
              <w:t>new definitions of 'DSM-5', 'major neurocognitive disorder', 'mild neurocognitive disorder', 'MRCA', 'specified list of anticholinergic drugs' and 'VEA' in Schedule 1 - Dictionary;</w:t>
            </w:r>
          </w:p>
          <w:p w:rsidR="002919AC" w:rsidRPr="002919AC" w:rsidRDefault="002919AC" w:rsidP="004A08C2">
            <w:pPr>
              <w:numPr>
                <w:ilvl w:val="0"/>
                <w:numId w:val="2"/>
              </w:numPr>
              <w:ind w:left="360"/>
              <w:jc w:val="both"/>
              <w:rPr>
                <w:sz w:val="20"/>
                <w:lang w:val="en-GB"/>
              </w:rPr>
            </w:pPr>
            <w:r w:rsidRPr="002919AC">
              <w:rPr>
                <w:sz w:val="20"/>
                <w:lang w:val="en-GB"/>
              </w:rPr>
              <w:t>revising the definition of 'relevant service' in Schedule 1 - Dictionary; and</w:t>
            </w:r>
          </w:p>
          <w:p w:rsidR="002919AC" w:rsidRPr="002919AC" w:rsidRDefault="002919AC" w:rsidP="004A08C2">
            <w:pPr>
              <w:numPr>
                <w:ilvl w:val="0"/>
                <w:numId w:val="2"/>
              </w:numPr>
              <w:spacing w:after="120"/>
              <w:ind w:left="360"/>
              <w:jc w:val="both"/>
              <w:rPr>
                <w:sz w:val="20"/>
                <w:lang w:val="en-GB"/>
              </w:rPr>
            </w:pPr>
            <w:r w:rsidRPr="002919AC">
              <w:rPr>
                <w:sz w:val="20"/>
                <w:lang w:val="en-GB"/>
              </w:rPr>
              <w:t>deleting the definitions of 'a thyroid disorder as specified', 'cumulative equivalent dose', 'being obese', 'dyslipidaemia', 'extremely low frequency electromagnetic field (ELF-EMF)', 'hyperhomocysteinaemia' and 'pack-years of cigarettes, or the equivalent thereof in other tobacco products'.</w:t>
            </w:r>
          </w:p>
          <w:p w:rsidR="002919AC" w:rsidRPr="00434A2A" w:rsidRDefault="002919AC" w:rsidP="002919AC">
            <w:pPr>
              <w:pStyle w:val="BodyText"/>
              <w:tabs>
                <w:tab w:val="left" w:pos="6753"/>
              </w:tabs>
              <w:spacing w:before="60" w:after="60"/>
              <w:ind w:right="34"/>
              <w:jc w:val="both"/>
              <w:rPr>
                <w:b/>
                <w:i/>
              </w:rPr>
            </w:pPr>
            <w:r w:rsidRPr="00434A2A">
              <w:rPr>
                <w:b/>
                <w:i/>
              </w:rPr>
              <w:t xml:space="preserve">For </w:t>
            </w:r>
            <w:proofErr w:type="spellStart"/>
            <w:r>
              <w:rPr>
                <w:b/>
                <w:i/>
              </w:rPr>
              <w:t>BoP</w:t>
            </w:r>
            <w:proofErr w:type="spellEnd"/>
            <w:r w:rsidRPr="00434A2A">
              <w:rPr>
                <w:b/>
                <w:i/>
              </w:rPr>
              <w:t xml:space="preserve"> </w:t>
            </w:r>
            <w:proofErr w:type="spellStart"/>
            <w:r w:rsidRPr="00434A2A">
              <w:rPr>
                <w:b/>
                <w:i/>
              </w:rPr>
              <w:t>SoP</w:t>
            </w:r>
            <w:proofErr w:type="spellEnd"/>
            <w:r w:rsidRPr="00434A2A">
              <w:t xml:space="preserve"> </w:t>
            </w:r>
            <w:r w:rsidRPr="00434A2A">
              <w:rPr>
                <w:b/>
                <w:i/>
              </w:rPr>
              <w:t xml:space="preserve">(Instrument No. </w:t>
            </w:r>
            <w:r>
              <w:rPr>
                <w:b/>
                <w:i/>
              </w:rPr>
              <w:t>34</w:t>
            </w:r>
            <w:r w:rsidRPr="00434A2A">
              <w:rPr>
                <w:b/>
                <w:i/>
              </w:rPr>
              <w:t>/2019)</w:t>
            </w:r>
          </w:p>
          <w:p w:rsidR="002919AC" w:rsidRPr="002919AC" w:rsidRDefault="002919AC" w:rsidP="004A08C2">
            <w:pPr>
              <w:numPr>
                <w:ilvl w:val="0"/>
                <w:numId w:val="2"/>
              </w:numPr>
              <w:ind w:left="360"/>
              <w:jc w:val="both"/>
              <w:rPr>
                <w:sz w:val="20"/>
                <w:lang w:val="en-GB"/>
              </w:rPr>
            </w:pPr>
            <w:r w:rsidRPr="002919AC">
              <w:rPr>
                <w:sz w:val="20"/>
                <w:lang w:val="en-GB"/>
              </w:rPr>
              <w:t>adopting the latest revised Instrument format, which commenced in 2015;</w:t>
            </w:r>
          </w:p>
          <w:p w:rsidR="002919AC" w:rsidRPr="002919AC" w:rsidRDefault="002919AC" w:rsidP="004A08C2">
            <w:pPr>
              <w:numPr>
                <w:ilvl w:val="0"/>
                <w:numId w:val="2"/>
              </w:numPr>
              <w:ind w:left="360"/>
              <w:jc w:val="both"/>
              <w:rPr>
                <w:sz w:val="20"/>
                <w:lang w:val="en-GB"/>
              </w:rPr>
            </w:pPr>
            <w:r w:rsidRPr="002919AC">
              <w:rPr>
                <w:sz w:val="20"/>
                <w:lang w:val="en-GB"/>
              </w:rPr>
              <w:t>specifying a day of commencement for the Instrument in section 2;</w:t>
            </w:r>
          </w:p>
          <w:p w:rsidR="002919AC" w:rsidRPr="002919AC" w:rsidRDefault="002919AC" w:rsidP="004A08C2">
            <w:pPr>
              <w:numPr>
                <w:ilvl w:val="0"/>
                <w:numId w:val="2"/>
              </w:numPr>
              <w:ind w:left="360"/>
              <w:jc w:val="both"/>
              <w:rPr>
                <w:sz w:val="20"/>
                <w:lang w:val="en-GB"/>
              </w:rPr>
            </w:pPr>
            <w:r w:rsidRPr="002919AC">
              <w:rPr>
                <w:sz w:val="20"/>
                <w:lang w:val="en-GB"/>
              </w:rPr>
              <w:t>separating the Instruments for Alzheimer-type dementia into two conditions with the Instruments titled Alzheimer disease and neurocognitive disorder with Lewy bodies;</w:t>
            </w:r>
          </w:p>
          <w:p w:rsidR="002919AC" w:rsidRPr="002919AC" w:rsidRDefault="002919AC" w:rsidP="004A08C2">
            <w:pPr>
              <w:numPr>
                <w:ilvl w:val="0"/>
                <w:numId w:val="2"/>
              </w:numPr>
              <w:ind w:left="360"/>
              <w:jc w:val="both"/>
              <w:rPr>
                <w:sz w:val="20"/>
                <w:lang w:val="en-GB"/>
              </w:rPr>
            </w:pPr>
            <w:r w:rsidRPr="002919AC">
              <w:rPr>
                <w:sz w:val="20"/>
                <w:lang w:val="en-GB"/>
              </w:rPr>
              <w:t>new definition of 'neurocognitive disorder with Lewy bodies' in subsection 7(2);</w:t>
            </w:r>
          </w:p>
          <w:p w:rsidR="002919AC" w:rsidRPr="002919AC" w:rsidRDefault="002919AC" w:rsidP="004A08C2">
            <w:pPr>
              <w:numPr>
                <w:ilvl w:val="0"/>
                <w:numId w:val="2"/>
              </w:numPr>
              <w:ind w:left="360"/>
              <w:jc w:val="both"/>
              <w:rPr>
                <w:sz w:val="20"/>
                <w:lang w:val="en-GB"/>
              </w:rPr>
            </w:pPr>
            <w:r w:rsidRPr="002919AC">
              <w:rPr>
                <w:sz w:val="20"/>
                <w:lang w:val="en-GB"/>
              </w:rPr>
              <w:t>including ICD-10-AM codes for 'neurocognitive disorder with Lewy bodies' in subsection 7(3);</w:t>
            </w:r>
          </w:p>
          <w:p w:rsidR="002919AC" w:rsidRPr="002919AC" w:rsidRDefault="002919AC" w:rsidP="004A08C2">
            <w:pPr>
              <w:numPr>
                <w:ilvl w:val="0"/>
                <w:numId w:val="2"/>
              </w:numPr>
              <w:ind w:left="360"/>
              <w:jc w:val="both"/>
              <w:rPr>
                <w:sz w:val="20"/>
                <w:lang w:val="en-GB"/>
              </w:rPr>
            </w:pPr>
            <w:r w:rsidRPr="002919AC">
              <w:rPr>
                <w:sz w:val="20"/>
                <w:lang w:val="en-GB"/>
              </w:rPr>
              <w:t>new factor in subsection 9(1) concerning 'being treated with an antipsychotic drug', for clinical worsening only;</w:t>
            </w:r>
          </w:p>
          <w:p w:rsidR="002919AC" w:rsidRPr="002919AC" w:rsidRDefault="002919AC" w:rsidP="004A08C2">
            <w:pPr>
              <w:numPr>
                <w:ilvl w:val="0"/>
                <w:numId w:val="2"/>
              </w:numPr>
              <w:ind w:left="360"/>
              <w:jc w:val="both"/>
              <w:rPr>
                <w:sz w:val="20"/>
                <w:lang w:val="en-GB"/>
              </w:rPr>
            </w:pPr>
            <w:r w:rsidRPr="002919AC">
              <w:rPr>
                <w:sz w:val="20"/>
                <w:lang w:val="en-GB"/>
              </w:rPr>
              <w:t>deleting various factors relating to 'smoking', 'diabetes mellitus' and 'hyperhomocysteinaemia';</w:t>
            </w:r>
          </w:p>
          <w:p w:rsidR="002919AC" w:rsidRPr="002919AC" w:rsidRDefault="002919AC" w:rsidP="004A08C2">
            <w:pPr>
              <w:numPr>
                <w:ilvl w:val="0"/>
                <w:numId w:val="2"/>
              </w:numPr>
              <w:ind w:left="360"/>
              <w:jc w:val="both"/>
              <w:rPr>
                <w:sz w:val="20"/>
                <w:lang w:val="en-GB"/>
              </w:rPr>
            </w:pPr>
            <w:r w:rsidRPr="002919AC">
              <w:rPr>
                <w:sz w:val="20"/>
                <w:lang w:val="en-GB"/>
              </w:rPr>
              <w:t>new definitions of 'DSM-5', 'major neurocognitive disorder', 'mild neurocognitive disorder', 'MRCA' and 'VEA' in Schedule 1 - Dictionary;</w:t>
            </w:r>
          </w:p>
          <w:p w:rsidR="002919AC" w:rsidRPr="002919AC" w:rsidRDefault="002919AC" w:rsidP="004A08C2">
            <w:pPr>
              <w:numPr>
                <w:ilvl w:val="0"/>
                <w:numId w:val="2"/>
              </w:numPr>
              <w:ind w:left="360"/>
              <w:jc w:val="both"/>
              <w:rPr>
                <w:sz w:val="20"/>
                <w:lang w:val="en-GB"/>
              </w:rPr>
            </w:pPr>
            <w:r w:rsidRPr="002919AC">
              <w:rPr>
                <w:sz w:val="20"/>
                <w:lang w:val="en-GB"/>
              </w:rPr>
              <w:t>revising the definition of 'relevant service' in Schedule 1 - Dictionary; and</w:t>
            </w:r>
          </w:p>
          <w:p w:rsidR="002919AC" w:rsidRPr="002919AC" w:rsidRDefault="002919AC" w:rsidP="004A08C2">
            <w:pPr>
              <w:pStyle w:val="BodyText"/>
              <w:numPr>
                <w:ilvl w:val="0"/>
                <w:numId w:val="2"/>
              </w:numPr>
              <w:tabs>
                <w:tab w:val="left" w:pos="6753"/>
              </w:tabs>
              <w:spacing w:after="60"/>
              <w:ind w:left="360" w:right="33"/>
              <w:jc w:val="both"/>
              <w:rPr>
                <w:lang w:val="en-GB"/>
              </w:rPr>
            </w:pPr>
            <w:r w:rsidRPr="002919AC">
              <w:rPr>
                <w:lang w:val="en-GB"/>
              </w:rPr>
              <w:t>deleting the definitions of 'hyperhomocysteinaemia' and 'pack-years of cigarettes, or the equivalent thereof in other tobacco products'.</w:t>
            </w:r>
          </w:p>
          <w:p w:rsidR="002919AC" w:rsidRDefault="002919AC" w:rsidP="002919AC">
            <w:pPr>
              <w:pStyle w:val="BodyText"/>
              <w:tabs>
                <w:tab w:val="clear" w:pos="7655"/>
              </w:tabs>
              <w:spacing w:after="120"/>
              <w:ind w:right="0"/>
              <w:jc w:val="both"/>
            </w:pPr>
            <w:r>
              <w:lastRenderedPageBreak/>
              <w:t xml:space="preserve">On 11 October 2018, the Authority wrote to organisations representing veterans, service personnel and their dependants regarding the proposed Instruments concerning Alzheimer disease and concerning neurocognitive disorder with Lewy bodies, and the medical-scientific material considered by the Authority.  </w:t>
            </w:r>
            <w:r>
              <w:rPr>
                <w:szCs w:val="24"/>
              </w:rPr>
              <w:t>The Statements of Principles Nos. 22 and 23 of 2010 concerning Alzheimer-type dementia included '</w:t>
            </w:r>
            <w:r w:rsidRPr="00460C29">
              <w:rPr>
                <w:szCs w:val="24"/>
              </w:rPr>
              <w:t>dementia with Lewy bodies</w:t>
            </w:r>
            <w:r>
              <w:rPr>
                <w:szCs w:val="24"/>
              </w:rPr>
              <w:t>' as a condition covered by those Statements of Principles.  On consideration of the sound medical-scientific evidence, the Repatriation Medical Authority concluded that Alzheimer disease and neurocognitive disorder with Lewy bodies are separate diseases, and decided to determine new Statements of Principles for neurocognitive disorder with Lewy bodies.  The new evidence for neurocognitive disorder with Lewy bodies supports a limited number of risk factors being causally associated with the clinical onset and worsening of this disease.</w:t>
            </w:r>
            <w:r>
              <w:t xml:space="preserve">  This letter emphasised that certain factors included in the Statements of Principles concerning Alzheimer-type dementia would not be included in the new </w:t>
            </w:r>
            <w:r>
              <w:t xml:space="preserve">RH </w:t>
            </w:r>
            <w:r>
              <w:t xml:space="preserve">Statements of Principles concerning neurocognitive disorder with Lewy bodies.  These factors concern </w:t>
            </w:r>
            <w:r w:rsidRPr="00FF5A9E">
              <w:rPr>
                <w:b/>
                <w:i/>
                <w:szCs w:val="24"/>
              </w:rPr>
              <w:t>moderate to severe cerebral trauma</w:t>
            </w:r>
            <w:r w:rsidRPr="00FF5A9E">
              <w:rPr>
                <w:szCs w:val="24"/>
              </w:rPr>
              <w:t>,</w:t>
            </w:r>
            <w:r w:rsidRPr="00FF5A9E">
              <w:rPr>
                <w:b/>
                <w:i/>
                <w:szCs w:val="24"/>
              </w:rPr>
              <w:t xml:space="preserve"> smoking</w:t>
            </w:r>
            <w:r w:rsidRPr="00FF5A9E">
              <w:rPr>
                <w:szCs w:val="24"/>
              </w:rPr>
              <w:t>,</w:t>
            </w:r>
            <w:r w:rsidRPr="00FF5A9E">
              <w:rPr>
                <w:b/>
                <w:i/>
                <w:szCs w:val="24"/>
              </w:rPr>
              <w:t xml:space="preserve"> extremely low frequency electromagnetic field (ELF-EMF)</w:t>
            </w:r>
            <w:r w:rsidRPr="00FF5A9E">
              <w:rPr>
                <w:szCs w:val="24"/>
              </w:rPr>
              <w:t>,</w:t>
            </w:r>
            <w:r w:rsidRPr="00FF5A9E">
              <w:rPr>
                <w:b/>
                <w:i/>
                <w:szCs w:val="24"/>
              </w:rPr>
              <w:t xml:space="preserve"> dyslipidaemia</w:t>
            </w:r>
            <w:r w:rsidRPr="00FF5A9E">
              <w:rPr>
                <w:szCs w:val="24"/>
              </w:rPr>
              <w:t>,</w:t>
            </w:r>
            <w:r w:rsidRPr="00FF5A9E">
              <w:rPr>
                <w:b/>
                <w:i/>
                <w:szCs w:val="24"/>
              </w:rPr>
              <w:t xml:space="preserve"> diabetes mellitus</w:t>
            </w:r>
            <w:r w:rsidRPr="00FF5A9E">
              <w:rPr>
                <w:szCs w:val="24"/>
              </w:rPr>
              <w:t>,</w:t>
            </w:r>
            <w:r w:rsidRPr="00FF5A9E">
              <w:rPr>
                <w:b/>
                <w:i/>
                <w:szCs w:val="24"/>
              </w:rPr>
              <w:t xml:space="preserve"> being obese</w:t>
            </w:r>
            <w:r w:rsidRPr="00FF5A9E">
              <w:rPr>
                <w:szCs w:val="24"/>
              </w:rPr>
              <w:t>,</w:t>
            </w:r>
            <w:r w:rsidRPr="00FF5A9E">
              <w:rPr>
                <w:b/>
                <w:i/>
                <w:szCs w:val="24"/>
              </w:rPr>
              <w:t xml:space="preserve"> hypertension</w:t>
            </w:r>
            <w:r w:rsidRPr="00FF5A9E">
              <w:rPr>
                <w:szCs w:val="24"/>
              </w:rPr>
              <w:t>,</w:t>
            </w:r>
            <w:r w:rsidRPr="00FF5A9E">
              <w:rPr>
                <w:b/>
                <w:i/>
                <w:szCs w:val="24"/>
              </w:rPr>
              <w:t xml:space="preserve"> hyperhomocysteinaemia</w:t>
            </w:r>
            <w:r w:rsidRPr="00FF5A9E">
              <w:rPr>
                <w:szCs w:val="24"/>
              </w:rPr>
              <w:t>,</w:t>
            </w:r>
            <w:r w:rsidRPr="00FF5A9E">
              <w:rPr>
                <w:b/>
                <w:i/>
                <w:szCs w:val="24"/>
              </w:rPr>
              <w:t xml:space="preserve"> a specified thyroid disorder</w:t>
            </w:r>
            <w:r w:rsidRPr="00FF5A9E">
              <w:rPr>
                <w:szCs w:val="24"/>
              </w:rPr>
              <w:t>,</w:t>
            </w:r>
            <w:r w:rsidRPr="00FF5A9E">
              <w:rPr>
                <w:b/>
                <w:i/>
                <w:szCs w:val="24"/>
              </w:rPr>
              <w:t xml:space="preserve"> ionising radiation</w:t>
            </w:r>
            <w:r>
              <w:rPr>
                <w:b/>
                <w:i/>
                <w:szCs w:val="24"/>
              </w:rPr>
              <w:t xml:space="preserve"> </w:t>
            </w:r>
            <w:r>
              <w:rPr>
                <w:szCs w:val="24"/>
              </w:rPr>
              <w:t>and</w:t>
            </w:r>
            <w:r w:rsidRPr="00FF5A9E">
              <w:rPr>
                <w:szCs w:val="24"/>
              </w:rPr>
              <w:t xml:space="preserve"> </w:t>
            </w:r>
            <w:r w:rsidRPr="00FF5A9E">
              <w:rPr>
                <w:b/>
                <w:i/>
                <w:szCs w:val="24"/>
              </w:rPr>
              <w:t>therapeutic radiation for cancer</w:t>
            </w:r>
            <w:r>
              <w:rPr>
                <w:szCs w:val="24"/>
              </w:rPr>
              <w:t xml:space="preserve">. </w:t>
            </w:r>
            <w:r>
              <w:t xml:space="preserve"> </w:t>
            </w:r>
            <w:r w:rsidR="00515703" w:rsidRPr="00515703">
              <w:t xml:space="preserve">This letter </w:t>
            </w:r>
            <w:r w:rsidR="00515703">
              <w:t xml:space="preserve">also </w:t>
            </w:r>
            <w:r w:rsidR="00515703" w:rsidRPr="00515703">
              <w:t xml:space="preserve">emphasised that certain factors included in the Statements of Principles concerning Alzheimer-type dementia would not be included in the new </w:t>
            </w:r>
            <w:proofErr w:type="spellStart"/>
            <w:r w:rsidR="00515703">
              <w:t>BoP</w:t>
            </w:r>
            <w:proofErr w:type="spellEnd"/>
            <w:r w:rsidR="00515703">
              <w:t xml:space="preserve"> </w:t>
            </w:r>
            <w:r w:rsidR="00515703" w:rsidRPr="00515703">
              <w:t xml:space="preserve">Statements of Principles concerning neurocognitive disorder with Lewy bodies.  These factors concern </w:t>
            </w:r>
            <w:r w:rsidR="00515703" w:rsidRPr="00515703">
              <w:rPr>
                <w:b/>
                <w:i/>
              </w:rPr>
              <w:t>smoking</w:t>
            </w:r>
            <w:r w:rsidR="00515703" w:rsidRPr="00515703">
              <w:t xml:space="preserve">, </w:t>
            </w:r>
            <w:r w:rsidR="00515703" w:rsidRPr="00515703">
              <w:rPr>
                <w:b/>
                <w:i/>
              </w:rPr>
              <w:t>hyperhomocysteinaemia</w:t>
            </w:r>
            <w:r w:rsidR="00515703" w:rsidRPr="00515703">
              <w:t xml:space="preserve"> and </w:t>
            </w:r>
            <w:r w:rsidR="00515703" w:rsidRPr="00515703">
              <w:rPr>
                <w:b/>
                <w:i/>
              </w:rPr>
              <w:t>diabetes mellitus</w:t>
            </w:r>
            <w:r w:rsidR="00515703" w:rsidRPr="00515703">
              <w:t xml:space="preserve">.  </w:t>
            </w:r>
            <w:r>
              <w:t>The Authority provided an opportunity to the organisations to make representations in relation to the proposed Instrument</w:t>
            </w:r>
            <w:r w:rsidR="00515703">
              <w:t>s</w:t>
            </w:r>
            <w:r>
              <w:t xml:space="preserve"> prior to </w:t>
            </w:r>
            <w:r w:rsidR="00515703">
              <w:t>their</w:t>
            </w:r>
            <w:r>
              <w:t xml:space="preserve"> determination.  </w:t>
            </w:r>
            <w:r w:rsidRPr="00F86524">
              <w:t>No submissions</w:t>
            </w:r>
            <w:r>
              <w:t xml:space="preserve"> were received for consideration by the Authority.  Minor typographical changes were made to the proposed Instrument</w:t>
            </w:r>
            <w:r w:rsidR="00515703">
              <w:t>s</w:t>
            </w:r>
            <w:r>
              <w:t xml:space="preserve"> following this consultation process.</w:t>
            </w:r>
          </w:p>
          <w:p w:rsidR="00B62B3E" w:rsidRPr="008274E5" w:rsidRDefault="00985155" w:rsidP="002919AC">
            <w:pPr>
              <w:pStyle w:val="BodyText"/>
              <w:tabs>
                <w:tab w:val="left" w:pos="6753"/>
              </w:tabs>
              <w:spacing w:after="60"/>
              <w:ind w:right="33"/>
              <w:jc w:val="both"/>
            </w:pPr>
            <w:r w:rsidRPr="00985155">
              <w:rPr>
                <w:b/>
              </w:rPr>
              <w:t xml:space="preserve">The determining of these new Instruments finalises the investigation in relation to </w:t>
            </w:r>
            <w:r w:rsidRPr="00985155">
              <w:rPr>
                <w:b/>
                <w:i/>
              </w:rPr>
              <w:t>Alzheimer-type dementia</w:t>
            </w:r>
            <w:r w:rsidRPr="00985155">
              <w:rPr>
                <w:b/>
              </w:rPr>
              <w:t xml:space="preserve"> as advertised in the Government Notices Gazette of </w:t>
            </w:r>
            <w:r w:rsidRPr="00434A2A">
              <w:rPr>
                <w:b/>
              </w:rPr>
              <w:t>14</w:t>
            </w:r>
            <w:r>
              <w:rPr>
                <w:b/>
              </w:rPr>
              <w:t> </w:t>
            </w:r>
            <w:r w:rsidRPr="00434A2A">
              <w:rPr>
                <w:b/>
              </w:rPr>
              <w:t>November 2017</w:t>
            </w:r>
            <w:r w:rsidRPr="00985155">
              <w:rPr>
                <w:b/>
              </w:rPr>
              <w:t>.</w:t>
            </w:r>
          </w:p>
        </w:tc>
      </w:tr>
      <w:tr w:rsidR="00985155" w:rsidRPr="00C513D2" w:rsidTr="006A58DD">
        <w:tc>
          <w:tcPr>
            <w:tcW w:w="993" w:type="dxa"/>
            <w:tcBorders>
              <w:top w:val="single" w:sz="6" w:space="0" w:color="auto"/>
              <w:left w:val="single" w:sz="6" w:space="0" w:color="auto"/>
              <w:bottom w:val="single" w:sz="6" w:space="0" w:color="auto"/>
              <w:right w:val="single" w:sz="6" w:space="0" w:color="auto"/>
            </w:tcBorders>
          </w:tcPr>
          <w:p w:rsidR="00985155" w:rsidRDefault="00985155" w:rsidP="008274E5">
            <w:pPr>
              <w:rPr>
                <w:sz w:val="20"/>
              </w:rPr>
            </w:pPr>
            <w:r>
              <w:rPr>
                <w:sz w:val="20"/>
              </w:rPr>
              <w:lastRenderedPageBreak/>
              <w:t>37 &amp; 38/2019</w:t>
            </w:r>
          </w:p>
        </w:tc>
        <w:tc>
          <w:tcPr>
            <w:tcW w:w="1842" w:type="dxa"/>
            <w:tcBorders>
              <w:top w:val="single" w:sz="2" w:space="0" w:color="auto"/>
              <w:left w:val="single" w:sz="6" w:space="0" w:color="auto"/>
              <w:bottom w:val="single" w:sz="2" w:space="0" w:color="auto"/>
              <w:right w:val="single" w:sz="6" w:space="0" w:color="auto"/>
            </w:tcBorders>
          </w:tcPr>
          <w:p w:rsidR="00985155" w:rsidRPr="000476EA" w:rsidRDefault="00985155" w:rsidP="00FD4FFF">
            <w:pPr>
              <w:rPr>
                <w:sz w:val="20"/>
              </w:rPr>
            </w:pPr>
            <w:r w:rsidRPr="00985155">
              <w:rPr>
                <w:sz w:val="20"/>
              </w:rPr>
              <w:t>chronic insomnia disorder</w:t>
            </w:r>
          </w:p>
        </w:tc>
        <w:tc>
          <w:tcPr>
            <w:tcW w:w="7912" w:type="dxa"/>
            <w:tcBorders>
              <w:top w:val="single" w:sz="6" w:space="0" w:color="auto"/>
              <w:left w:val="single" w:sz="6" w:space="0" w:color="auto"/>
              <w:bottom w:val="single" w:sz="6" w:space="0" w:color="auto"/>
              <w:right w:val="single" w:sz="6" w:space="0" w:color="auto"/>
            </w:tcBorders>
          </w:tcPr>
          <w:p w:rsidR="00985155" w:rsidRPr="00985155" w:rsidRDefault="00985155" w:rsidP="00985155">
            <w:pPr>
              <w:pStyle w:val="BodyText"/>
              <w:tabs>
                <w:tab w:val="left" w:pos="6753"/>
              </w:tabs>
              <w:spacing w:after="60"/>
              <w:ind w:right="33"/>
              <w:jc w:val="both"/>
              <w:rPr>
                <w:b/>
              </w:rPr>
            </w:pPr>
            <w:r w:rsidRPr="00985155">
              <w:rPr>
                <w:b/>
              </w:rPr>
              <w:t>New Condition</w:t>
            </w:r>
          </w:p>
          <w:p w:rsidR="00985155" w:rsidRPr="00985155" w:rsidRDefault="00985155" w:rsidP="00985155">
            <w:pPr>
              <w:pStyle w:val="BodyText"/>
              <w:tabs>
                <w:tab w:val="left" w:pos="6753"/>
              </w:tabs>
              <w:spacing w:after="60"/>
              <w:ind w:right="33"/>
              <w:jc w:val="both"/>
              <w:rPr>
                <w:b/>
              </w:rPr>
            </w:pPr>
            <w:r w:rsidRPr="00985155">
              <w:rPr>
                <w:b/>
              </w:rPr>
              <w:t xml:space="preserve">The determining of these new Instruments finalises the investigation in relation to </w:t>
            </w:r>
            <w:r w:rsidRPr="00985155">
              <w:rPr>
                <w:b/>
                <w:i/>
              </w:rPr>
              <w:t xml:space="preserve">chronic insomnia disorder </w:t>
            </w:r>
            <w:r w:rsidRPr="00985155">
              <w:rPr>
                <w:b/>
              </w:rPr>
              <w:t>as advertised in the Government Notices Gazette of 4 September 2018.</w:t>
            </w:r>
          </w:p>
        </w:tc>
      </w:tr>
      <w:tr w:rsidR="00985155" w:rsidRPr="00C513D2" w:rsidTr="006A58DD">
        <w:tc>
          <w:tcPr>
            <w:tcW w:w="993" w:type="dxa"/>
            <w:tcBorders>
              <w:top w:val="single" w:sz="6" w:space="0" w:color="auto"/>
              <w:left w:val="single" w:sz="6" w:space="0" w:color="auto"/>
              <w:bottom w:val="single" w:sz="6" w:space="0" w:color="auto"/>
              <w:right w:val="single" w:sz="6" w:space="0" w:color="auto"/>
            </w:tcBorders>
          </w:tcPr>
          <w:p w:rsidR="00985155" w:rsidRDefault="00985155" w:rsidP="008274E5">
            <w:pPr>
              <w:rPr>
                <w:sz w:val="20"/>
              </w:rPr>
            </w:pPr>
            <w:r>
              <w:rPr>
                <w:sz w:val="20"/>
              </w:rPr>
              <w:t>39 &amp; 40/2019</w:t>
            </w:r>
          </w:p>
        </w:tc>
        <w:tc>
          <w:tcPr>
            <w:tcW w:w="1842" w:type="dxa"/>
            <w:tcBorders>
              <w:top w:val="single" w:sz="2" w:space="0" w:color="auto"/>
              <w:left w:val="single" w:sz="6" w:space="0" w:color="auto"/>
              <w:bottom w:val="single" w:sz="2" w:space="0" w:color="auto"/>
              <w:right w:val="single" w:sz="6" w:space="0" w:color="auto"/>
            </w:tcBorders>
          </w:tcPr>
          <w:p w:rsidR="00985155" w:rsidRPr="000476EA" w:rsidRDefault="00985155" w:rsidP="00FD4FFF">
            <w:pPr>
              <w:rPr>
                <w:sz w:val="20"/>
              </w:rPr>
            </w:pPr>
            <w:r w:rsidRPr="00985155">
              <w:rPr>
                <w:sz w:val="20"/>
              </w:rPr>
              <w:t>trigger finger</w:t>
            </w:r>
          </w:p>
        </w:tc>
        <w:tc>
          <w:tcPr>
            <w:tcW w:w="7912" w:type="dxa"/>
            <w:tcBorders>
              <w:top w:val="single" w:sz="6" w:space="0" w:color="auto"/>
              <w:left w:val="single" w:sz="6" w:space="0" w:color="auto"/>
              <w:bottom w:val="single" w:sz="6" w:space="0" w:color="auto"/>
              <w:right w:val="single" w:sz="6" w:space="0" w:color="auto"/>
            </w:tcBorders>
          </w:tcPr>
          <w:p w:rsidR="00985155" w:rsidRPr="00985155" w:rsidRDefault="00985155" w:rsidP="00985155">
            <w:pPr>
              <w:pStyle w:val="BodyText"/>
              <w:tabs>
                <w:tab w:val="left" w:pos="6753"/>
              </w:tabs>
              <w:spacing w:after="60"/>
              <w:ind w:right="33"/>
              <w:jc w:val="both"/>
              <w:rPr>
                <w:b/>
              </w:rPr>
            </w:pPr>
            <w:r w:rsidRPr="00985155">
              <w:rPr>
                <w:b/>
              </w:rPr>
              <w:t>New Condition</w:t>
            </w:r>
          </w:p>
          <w:p w:rsidR="00985155" w:rsidRPr="00985155" w:rsidRDefault="00985155" w:rsidP="00985155">
            <w:pPr>
              <w:pStyle w:val="BodyText"/>
              <w:tabs>
                <w:tab w:val="left" w:pos="6753"/>
              </w:tabs>
              <w:spacing w:after="60"/>
              <w:ind w:right="33"/>
              <w:jc w:val="both"/>
              <w:rPr>
                <w:b/>
              </w:rPr>
            </w:pPr>
            <w:r w:rsidRPr="00985155">
              <w:rPr>
                <w:b/>
              </w:rPr>
              <w:t xml:space="preserve">The determining of these new Instruments finalises the investigation in relation to </w:t>
            </w:r>
            <w:proofErr w:type="spellStart"/>
            <w:r w:rsidRPr="00985155">
              <w:rPr>
                <w:b/>
                <w:i/>
              </w:rPr>
              <w:t>stenosing</w:t>
            </w:r>
            <w:proofErr w:type="spellEnd"/>
            <w:r w:rsidRPr="00985155">
              <w:rPr>
                <w:b/>
                <w:i/>
              </w:rPr>
              <w:t xml:space="preserve"> tenosynovitis (in particular trigger finger/thumb and de Quervain tenosynovitis</w:t>
            </w:r>
            <w:r>
              <w:rPr>
                <w:b/>
                <w:i/>
              </w:rPr>
              <w:t>)</w:t>
            </w:r>
            <w:r w:rsidRPr="00985155">
              <w:rPr>
                <w:b/>
              </w:rPr>
              <w:t xml:space="preserve"> as advertised in the Government Notices Gazette of 4 September 2018.</w:t>
            </w:r>
          </w:p>
        </w:tc>
      </w:tr>
      <w:tr w:rsidR="00985155" w:rsidRPr="00C513D2" w:rsidTr="006A58DD">
        <w:tc>
          <w:tcPr>
            <w:tcW w:w="993" w:type="dxa"/>
            <w:tcBorders>
              <w:top w:val="single" w:sz="6" w:space="0" w:color="auto"/>
              <w:left w:val="single" w:sz="6" w:space="0" w:color="auto"/>
              <w:bottom w:val="single" w:sz="6" w:space="0" w:color="auto"/>
              <w:right w:val="single" w:sz="6" w:space="0" w:color="auto"/>
            </w:tcBorders>
          </w:tcPr>
          <w:p w:rsidR="00985155" w:rsidRDefault="00985155" w:rsidP="008274E5">
            <w:pPr>
              <w:rPr>
                <w:sz w:val="20"/>
              </w:rPr>
            </w:pPr>
            <w:r>
              <w:rPr>
                <w:sz w:val="20"/>
              </w:rPr>
              <w:t>41 &amp; 42/2019</w:t>
            </w:r>
          </w:p>
        </w:tc>
        <w:tc>
          <w:tcPr>
            <w:tcW w:w="1842" w:type="dxa"/>
            <w:tcBorders>
              <w:top w:val="single" w:sz="2" w:space="0" w:color="auto"/>
              <w:left w:val="single" w:sz="6" w:space="0" w:color="auto"/>
              <w:bottom w:val="single" w:sz="2" w:space="0" w:color="auto"/>
              <w:right w:val="single" w:sz="6" w:space="0" w:color="auto"/>
            </w:tcBorders>
          </w:tcPr>
          <w:p w:rsidR="00985155" w:rsidRPr="000476EA" w:rsidRDefault="00985155" w:rsidP="002919AC">
            <w:pPr>
              <w:rPr>
                <w:sz w:val="20"/>
              </w:rPr>
            </w:pPr>
            <w:r w:rsidRPr="00985155">
              <w:rPr>
                <w:sz w:val="20"/>
              </w:rPr>
              <w:t xml:space="preserve">de Quervain </w:t>
            </w:r>
            <w:r w:rsidR="002919AC">
              <w:rPr>
                <w:sz w:val="20"/>
              </w:rPr>
              <w:t>tendinopathy</w:t>
            </w:r>
          </w:p>
        </w:tc>
        <w:tc>
          <w:tcPr>
            <w:tcW w:w="7912" w:type="dxa"/>
            <w:tcBorders>
              <w:top w:val="single" w:sz="6" w:space="0" w:color="auto"/>
              <w:left w:val="single" w:sz="6" w:space="0" w:color="auto"/>
              <w:bottom w:val="single" w:sz="6" w:space="0" w:color="auto"/>
              <w:right w:val="single" w:sz="6" w:space="0" w:color="auto"/>
            </w:tcBorders>
          </w:tcPr>
          <w:p w:rsidR="00985155" w:rsidRPr="00985155" w:rsidRDefault="00985155" w:rsidP="00985155">
            <w:pPr>
              <w:pStyle w:val="BodyText"/>
              <w:tabs>
                <w:tab w:val="left" w:pos="6753"/>
              </w:tabs>
              <w:spacing w:after="60"/>
              <w:ind w:right="33"/>
              <w:jc w:val="both"/>
              <w:rPr>
                <w:b/>
              </w:rPr>
            </w:pPr>
            <w:r w:rsidRPr="00985155">
              <w:rPr>
                <w:b/>
              </w:rPr>
              <w:t>New Condition</w:t>
            </w:r>
          </w:p>
          <w:p w:rsidR="00985155" w:rsidRPr="00985155" w:rsidRDefault="00985155" w:rsidP="00985155">
            <w:pPr>
              <w:pStyle w:val="BodyText"/>
              <w:tabs>
                <w:tab w:val="left" w:pos="6753"/>
              </w:tabs>
              <w:spacing w:after="60"/>
              <w:ind w:right="33"/>
              <w:jc w:val="both"/>
              <w:rPr>
                <w:b/>
              </w:rPr>
            </w:pPr>
            <w:r w:rsidRPr="00985155">
              <w:rPr>
                <w:b/>
              </w:rPr>
              <w:t xml:space="preserve">The determining of these new Instruments finalises the investigation in relation to </w:t>
            </w:r>
            <w:proofErr w:type="spellStart"/>
            <w:r w:rsidRPr="00985155">
              <w:rPr>
                <w:b/>
                <w:i/>
              </w:rPr>
              <w:t>stenosing</w:t>
            </w:r>
            <w:proofErr w:type="spellEnd"/>
            <w:r w:rsidRPr="00985155">
              <w:rPr>
                <w:b/>
                <w:i/>
              </w:rPr>
              <w:t xml:space="preserve"> tenosynovitis (in particular trigger finger/thumb and de Quervain tenosynovitis</w:t>
            </w:r>
            <w:r>
              <w:rPr>
                <w:b/>
                <w:i/>
              </w:rPr>
              <w:t>)</w:t>
            </w:r>
            <w:r w:rsidRPr="00985155">
              <w:rPr>
                <w:b/>
              </w:rPr>
              <w:t xml:space="preserve"> as advertised in the Government Notices Gazette of 4 September 2018.</w:t>
            </w:r>
          </w:p>
        </w:tc>
      </w:tr>
      <w:tr w:rsidR="007E6E49" w:rsidRPr="00C513D2" w:rsidTr="0002308C">
        <w:trPr>
          <w:trHeight w:val="4924"/>
        </w:trPr>
        <w:tc>
          <w:tcPr>
            <w:tcW w:w="993" w:type="dxa"/>
            <w:tcBorders>
              <w:top w:val="single" w:sz="6" w:space="0" w:color="auto"/>
              <w:left w:val="single" w:sz="6" w:space="0" w:color="auto"/>
              <w:bottom w:val="single" w:sz="6" w:space="0" w:color="auto"/>
              <w:right w:val="single" w:sz="6" w:space="0" w:color="auto"/>
            </w:tcBorders>
          </w:tcPr>
          <w:p w:rsidR="007E6E49" w:rsidRPr="00985155" w:rsidRDefault="00985155" w:rsidP="00985155">
            <w:pPr>
              <w:rPr>
                <w:sz w:val="20"/>
              </w:rPr>
            </w:pPr>
            <w:r w:rsidRPr="00985155">
              <w:rPr>
                <w:sz w:val="20"/>
              </w:rPr>
              <w:t>4</w:t>
            </w:r>
            <w:r w:rsidR="00CC27FB" w:rsidRPr="00985155">
              <w:rPr>
                <w:sz w:val="20"/>
              </w:rPr>
              <w:t xml:space="preserve">3 &amp; </w:t>
            </w:r>
            <w:r w:rsidRPr="00985155">
              <w:rPr>
                <w:sz w:val="20"/>
              </w:rPr>
              <w:t>4</w:t>
            </w:r>
            <w:r w:rsidR="00CC27FB" w:rsidRPr="00985155">
              <w:rPr>
                <w:sz w:val="20"/>
              </w:rPr>
              <w:t>4/2019</w:t>
            </w:r>
          </w:p>
        </w:tc>
        <w:tc>
          <w:tcPr>
            <w:tcW w:w="1842" w:type="dxa"/>
            <w:tcBorders>
              <w:top w:val="single" w:sz="2" w:space="0" w:color="auto"/>
              <w:left w:val="single" w:sz="6" w:space="0" w:color="auto"/>
              <w:bottom w:val="single" w:sz="2" w:space="0" w:color="auto"/>
              <w:right w:val="single" w:sz="6" w:space="0" w:color="auto"/>
            </w:tcBorders>
          </w:tcPr>
          <w:p w:rsidR="007E6E49" w:rsidRPr="00985155" w:rsidRDefault="00985155" w:rsidP="00FD4FFF">
            <w:pPr>
              <w:rPr>
                <w:sz w:val="20"/>
              </w:rPr>
            </w:pPr>
            <w:r w:rsidRPr="00985155">
              <w:rPr>
                <w:sz w:val="20"/>
              </w:rPr>
              <w:t>subdural haematoma</w:t>
            </w:r>
          </w:p>
        </w:tc>
        <w:tc>
          <w:tcPr>
            <w:tcW w:w="7912" w:type="dxa"/>
            <w:tcBorders>
              <w:top w:val="single" w:sz="6" w:space="0" w:color="auto"/>
              <w:left w:val="single" w:sz="6" w:space="0" w:color="auto"/>
              <w:bottom w:val="single" w:sz="6" w:space="0" w:color="auto"/>
              <w:right w:val="single" w:sz="6" w:space="0" w:color="auto"/>
            </w:tcBorders>
          </w:tcPr>
          <w:p w:rsidR="00CC27FB" w:rsidRPr="002148F7" w:rsidRDefault="00CC27FB" w:rsidP="00CC27FB">
            <w:pPr>
              <w:pStyle w:val="BodyText"/>
              <w:spacing w:after="60"/>
              <w:ind w:left="34" w:right="272"/>
              <w:rPr>
                <w:b/>
              </w:rPr>
            </w:pPr>
            <w:r w:rsidRPr="002148F7">
              <w:rPr>
                <w:b/>
              </w:rPr>
              <w:t>Amendment</w:t>
            </w:r>
          </w:p>
          <w:p w:rsidR="00CC27FB" w:rsidRPr="002148F7" w:rsidRDefault="00CC27FB" w:rsidP="00CC27FB">
            <w:pPr>
              <w:spacing w:after="60"/>
              <w:jc w:val="both"/>
              <w:rPr>
                <w:sz w:val="20"/>
              </w:rPr>
            </w:pPr>
            <w:r w:rsidRPr="002148F7">
              <w:rPr>
                <w:sz w:val="20"/>
              </w:rPr>
              <w:t xml:space="preserve">These instruments amend Statements of Principles Nos. </w:t>
            </w:r>
            <w:r w:rsidR="002148F7">
              <w:rPr>
                <w:sz w:val="20"/>
              </w:rPr>
              <w:t>33</w:t>
            </w:r>
            <w:r w:rsidRPr="002148F7">
              <w:rPr>
                <w:sz w:val="20"/>
              </w:rPr>
              <w:t xml:space="preserve"> &amp; </w:t>
            </w:r>
            <w:r w:rsidR="002148F7">
              <w:rPr>
                <w:sz w:val="20"/>
              </w:rPr>
              <w:t>34</w:t>
            </w:r>
            <w:r w:rsidRPr="002148F7">
              <w:rPr>
                <w:sz w:val="20"/>
              </w:rPr>
              <w:t xml:space="preserve"> of 201</w:t>
            </w:r>
            <w:r w:rsidR="002148F7">
              <w:rPr>
                <w:sz w:val="20"/>
              </w:rPr>
              <w:t>1</w:t>
            </w:r>
            <w:r w:rsidRPr="002148F7">
              <w:rPr>
                <w:sz w:val="20"/>
              </w:rPr>
              <w:t xml:space="preserve"> concerning </w:t>
            </w:r>
            <w:r w:rsidR="002148F7" w:rsidRPr="002148F7">
              <w:rPr>
                <w:b/>
                <w:i/>
                <w:sz w:val="20"/>
              </w:rPr>
              <w:t>subdural haematoma</w:t>
            </w:r>
            <w:r w:rsidRPr="002148F7">
              <w:rPr>
                <w:b/>
                <w:i/>
                <w:sz w:val="20"/>
              </w:rPr>
              <w:t xml:space="preserve"> </w:t>
            </w:r>
            <w:r w:rsidRPr="002148F7">
              <w:rPr>
                <w:sz w:val="20"/>
              </w:rPr>
              <w:t>by:</w:t>
            </w:r>
          </w:p>
          <w:p w:rsidR="00CC27FB" w:rsidRPr="002148F7" w:rsidRDefault="00CC27FB" w:rsidP="00CC27FB">
            <w:pPr>
              <w:pStyle w:val="BodyText"/>
              <w:keepNext/>
              <w:tabs>
                <w:tab w:val="left" w:pos="6753"/>
              </w:tabs>
              <w:spacing w:before="60" w:after="60"/>
              <w:ind w:right="34"/>
              <w:jc w:val="both"/>
              <w:rPr>
                <w:b/>
                <w:i/>
              </w:rPr>
            </w:pPr>
            <w:r w:rsidRPr="002148F7">
              <w:rPr>
                <w:b/>
                <w:i/>
              </w:rPr>
              <w:t xml:space="preserve">For RH Amendment </w:t>
            </w:r>
            <w:proofErr w:type="spellStart"/>
            <w:r w:rsidRPr="002148F7">
              <w:rPr>
                <w:b/>
                <w:i/>
              </w:rPr>
              <w:t>SoP</w:t>
            </w:r>
            <w:proofErr w:type="spellEnd"/>
            <w:r w:rsidRPr="002148F7">
              <w:t xml:space="preserve"> </w:t>
            </w:r>
            <w:r w:rsidRPr="002148F7">
              <w:rPr>
                <w:b/>
                <w:i/>
              </w:rPr>
              <w:t xml:space="preserve">(Instrument No. </w:t>
            </w:r>
            <w:r w:rsidR="002148F7">
              <w:rPr>
                <w:b/>
                <w:i/>
              </w:rPr>
              <w:t>4</w:t>
            </w:r>
            <w:r w:rsidRPr="002148F7">
              <w:rPr>
                <w:b/>
                <w:i/>
              </w:rPr>
              <w:t>3/2019)</w:t>
            </w:r>
          </w:p>
          <w:p w:rsidR="002148F7" w:rsidRPr="002148F7" w:rsidRDefault="002148F7" w:rsidP="002148F7">
            <w:pPr>
              <w:numPr>
                <w:ilvl w:val="0"/>
                <w:numId w:val="2"/>
              </w:numPr>
              <w:tabs>
                <w:tab w:val="clear" w:pos="720"/>
                <w:tab w:val="num" w:pos="318"/>
              </w:tabs>
              <w:ind w:left="318" w:hanging="284"/>
              <w:jc w:val="both"/>
              <w:rPr>
                <w:sz w:val="20"/>
                <w:lang w:val="en-GB"/>
              </w:rPr>
            </w:pPr>
            <w:r w:rsidRPr="002148F7">
              <w:rPr>
                <w:sz w:val="20"/>
                <w:lang w:val="en-GB"/>
              </w:rPr>
              <w:t>replacing the existing factors "(e)" and "(h)" in clause 6 concerning 'undergoing antithrombotic therapy';</w:t>
            </w:r>
          </w:p>
          <w:p w:rsidR="002148F7" w:rsidRPr="002148F7" w:rsidRDefault="002148F7" w:rsidP="002148F7">
            <w:pPr>
              <w:numPr>
                <w:ilvl w:val="0"/>
                <w:numId w:val="2"/>
              </w:numPr>
              <w:tabs>
                <w:tab w:val="clear" w:pos="720"/>
                <w:tab w:val="num" w:pos="318"/>
              </w:tabs>
              <w:ind w:left="318" w:hanging="284"/>
              <w:jc w:val="both"/>
              <w:rPr>
                <w:sz w:val="20"/>
                <w:lang w:val="en-GB"/>
              </w:rPr>
            </w:pPr>
            <w:r w:rsidRPr="002148F7">
              <w:rPr>
                <w:sz w:val="20"/>
                <w:lang w:val="en-GB"/>
              </w:rPr>
              <w:t>inserting new factors "(</w:t>
            </w:r>
            <w:proofErr w:type="spellStart"/>
            <w:r w:rsidRPr="002148F7">
              <w:rPr>
                <w:sz w:val="20"/>
                <w:lang w:val="en-GB"/>
              </w:rPr>
              <w:t>ea</w:t>
            </w:r>
            <w:proofErr w:type="spellEnd"/>
            <w:r w:rsidRPr="002148F7">
              <w:rPr>
                <w:sz w:val="20"/>
                <w:lang w:val="en-GB"/>
              </w:rPr>
              <w:t>)" and "(ha)"concerning 'taking at least 700 milligrams of aspirin';</w:t>
            </w:r>
          </w:p>
          <w:p w:rsidR="002148F7" w:rsidRPr="002148F7" w:rsidRDefault="002148F7" w:rsidP="002148F7">
            <w:pPr>
              <w:numPr>
                <w:ilvl w:val="0"/>
                <w:numId w:val="2"/>
              </w:numPr>
              <w:tabs>
                <w:tab w:val="clear" w:pos="720"/>
                <w:tab w:val="num" w:pos="318"/>
              </w:tabs>
              <w:ind w:left="318" w:hanging="284"/>
              <w:jc w:val="both"/>
              <w:rPr>
                <w:sz w:val="20"/>
                <w:lang w:val="en-GB"/>
              </w:rPr>
            </w:pPr>
            <w:r w:rsidRPr="002148F7">
              <w:rPr>
                <w:sz w:val="20"/>
                <w:lang w:val="en-GB"/>
              </w:rPr>
              <w:t>inserting a definition of "antithrombotic therapy" in cla</w:t>
            </w:r>
            <w:r>
              <w:rPr>
                <w:sz w:val="20"/>
                <w:lang w:val="en-GB"/>
              </w:rPr>
              <w:t>use 9 in alphabetical order;</w:t>
            </w:r>
          </w:p>
          <w:p w:rsidR="00CC27FB" w:rsidRPr="002148F7" w:rsidRDefault="002148F7" w:rsidP="002148F7">
            <w:pPr>
              <w:numPr>
                <w:ilvl w:val="0"/>
                <w:numId w:val="2"/>
              </w:numPr>
              <w:tabs>
                <w:tab w:val="clear" w:pos="720"/>
                <w:tab w:val="num" w:pos="318"/>
              </w:tabs>
              <w:ind w:left="318" w:hanging="284"/>
              <w:jc w:val="both"/>
              <w:rPr>
                <w:sz w:val="20"/>
                <w:lang w:val="en-GB"/>
              </w:rPr>
            </w:pPr>
            <w:r w:rsidRPr="002148F7">
              <w:rPr>
                <w:sz w:val="20"/>
                <w:lang w:val="en-GB"/>
              </w:rPr>
              <w:t>repealing the existing definition of "a drug from the specified list" in clause 9</w:t>
            </w:r>
            <w:r w:rsidR="00CC27FB" w:rsidRPr="002148F7">
              <w:rPr>
                <w:sz w:val="20"/>
                <w:lang w:val="en-GB"/>
              </w:rPr>
              <w:t>; and</w:t>
            </w:r>
          </w:p>
          <w:p w:rsidR="00CC27FB" w:rsidRPr="002148F7" w:rsidRDefault="00CC27FB" w:rsidP="002148F7">
            <w:pPr>
              <w:numPr>
                <w:ilvl w:val="0"/>
                <w:numId w:val="2"/>
              </w:numPr>
              <w:tabs>
                <w:tab w:val="clear" w:pos="720"/>
                <w:tab w:val="num" w:pos="318"/>
              </w:tabs>
              <w:spacing w:after="60"/>
              <w:ind w:left="318" w:hanging="284"/>
              <w:jc w:val="both"/>
              <w:rPr>
                <w:sz w:val="20"/>
                <w:lang w:val="en-GB"/>
              </w:rPr>
            </w:pPr>
            <w:r w:rsidRPr="002148F7">
              <w:rPr>
                <w:sz w:val="20"/>
                <w:lang w:val="en-GB"/>
              </w:rPr>
              <w:t>specifying the day of commencement of these amendments.</w:t>
            </w:r>
          </w:p>
          <w:p w:rsidR="00CC27FB" w:rsidRPr="002148F7" w:rsidRDefault="00CC27FB" w:rsidP="00CC27FB">
            <w:pPr>
              <w:pStyle w:val="BodyText"/>
              <w:keepNext/>
              <w:tabs>
                <w:tab w:val="left" w:pos="6753"/>
              </w:tabs>
              <w:spacing w:before="60" w:after="60"/>
              <w:ind w:left="34" w:right="34"/>
              <w:jc w:val="both"/>
              <w:rPr>
                <w:b/>
              </w:rPr>
            </w:pPr>
            <w:r w:rsidRPr="002148F7">
              <w:rPr>
                <w:b/>
                <w:i/>
              </w:rPr>
              <w:t xml:space="preserve">For </w:t>
            </w:r>
            <w:proofErr w:type="spellStart"/>
            <w:r w:rsidRPr="002148F7">
              <w:rPr>
                <w:b/>
                <w:i/>
              </w:rPr>
              <w:t>BoP</w:t>
            </w:r>
            <w:proofErr w:type="spellEnd"/>
            <w:r w:rsidRPr="002148F7">
              <w:rPr>
                <w:b/>
                <w:i/>
              </w:rPr>
              <w:t xml:space="preserve"> Amendment </w:t>
            </w:r>
            <w:proofErr w:type="spellStart"/>
            <w:r w:rsidRPr="002148F7">
              <w:rPr>
                <w:b/>
                <w:i/>
              </w:rPr>
              <w:t>SoP</w:t>
            </w:r>
            <w:proofErr w:type="spellEnd"/>
            <w:r w:rsidRPr="002148F7">
              <w:t xml:space="preserve"> </w:t>
            </w:r>
            <w:r w:rsidRPr="002148F7">
              <w:rPr>
                <w:b/>
                <w:i/>
              </w:rPr>
              <w:t xml:space="preserve">(Instrument No. </w:t>
            </w:r>
            <w:r w:rsidR="002148F7">
              <w:rPr>
                <w:b/>
                <w:i/>
              </w:rPr>
              <w:t>4</w:t>
            </w:r>
            <w:r w:rsidRPr="002148F7">
              <w:rPr>
                <w:b/>
                <w:i/>
              </w:rPr>
              <w:t>4/2019)</w:t>
            </w:r>
          </w:p>
          <w:p w:rsidR="002148F7" w:rsidRPr="002148F7" w:rsidRDefault="002148F7" w:rsidP="002148F7">
            <w:pPr>
              <w:numPr>
                <w:ilvl w:val="0"/>
                <w:numId w:val="2"/>
              </w:numPr>
              <w:tabs>
                <w:tab w:val="clear" w:pos="720"/>
                <w:tab w:val="num" w:pos="318"/>
              </w:tabs>
              <w:ind w:left="318" w:hanging="284"/>
              <w:jc w:val="both"/>
              <w:rPr>
                <w:sz w:val="20"/>
                <w:lang w:val="en-GB"/>
              </w:rPr>
            </w:pPr>
            <w:r w:rsidRPr="002148F7">
              <w:rPr>
                <w:sz w:val="20"/>
                <w:lang w:val="en-GB"/>
              </w:rPr>
              <w:t>replacing the existing factors "(d)" and "(g)" in clause 6 concerning 'undergoing antithrombotic therapy';</w:t>
            </w:r>
          </w:p>
          <w:p w:rsidR="002148F7" w:rsidRPr="002148F7" w:rsidRDefault="002148F7" w:rsidP="002148F7">
            <w:pPr>
              <w:numPr>
                <w:ilvl w:val="0"/>
                <w:numId w:val="2"/>
              </w:numPr>
              <w:tabs>
                <w:tab w:val="clear" w:pos="720"/>
                <w:tab w:val="num" w:pos="318"/>
              </w:tabs>
              <w:ind w:left="318" w:hanging="284"/>
              <w:jc w:val="both"/>
              <w:rPr>
                <w:sz w:val="20"/>
                <w:lang w:val="en-GB"/>
              </w:rPr>
            </w:pPr>
            <w:r w:rsidRPr="002148F7">
              <w:rPr>
                <w:sz w:val="20"/>
                <w:lang w:val="en-GB"/>
              </w:rPr>
              <w:t>inserting new factors "(da)" and "(</w:t>
            </w:r>
            <w:proofErr w:type="spellStart"/>
            <w:r w:rsidRPr="002148F7">
              <w:rPr>
                <w:sz w:val="20"/>
                <w:lang w:val="en-GB"/>
              </w:rPr>
              <w:t>ga</w:t>
            </w:r>
            <w:proofErr w:type="spellEnd"/>
            <w:r w:rsidRPr="002148F7">
              <w:rPr>
                <w:sz w:val="20"/>
                <w:lang w:val="en-GB"/>
              </w:rPr>
              <w:t>)"concerning 'taking at least 700 milligrams of aspirin';</w:t>
            </w:r>
          </w:p>
          <w:p w:rsidR="002148F7" w:rsidRPr="002148F7" w:rsidRDefault="002148F7" w:rsidP="002148F7">
            <w:pPr>
              <w:numPr>
                <w:ilvl w:val="0"/>
                <w:numId w:val="2"/>
              </w:numPr>
              <w:tabs>
                <w:tab w:val="clear" w:pos="720"/>
                <w:tab w:val="num" w:pos="318"/>
              </w:tabs>
              <w:ind w:left="318" w:hanging="284"/>
              <w:jc w:val="both"/>
              <w:rPr>
                <w:sz w:val="20"/>
                <w:lang w:val="en-GB"/>
              </w:rPr>
            </w:pPr>
            <w:r w:rsidRPr="002148F7">
              <w:rPr>
                <w:sz w:val="20"/>
                <w:lang w:val="en-GB"/>
              </w:rPr>
              <w:t xml:space="preserve">inserting a definition of "antithrombotic therapy" in clause 9 in alphabetical order; </w:t>
            </w:r>
          </w:p>
          <w:p w:rsidR="00CC27FB" w:rsidRPr="002148F7" w:rsidRDefault="002148F7" w:rsidP="002148F7">
            <w:pPr>
              <w:numPr>
                <w:ilvl w:val="0"/>
                <w:numId w:val="2"/>
              </w:numPr>
              <w:tabs>
                <w:tab w:val="clear" w:pos="720"/>
                <w:tab w:val="num" w:pos="318"/>
              </w:tabs>
              <w:ind w:left="318" w:hanging="284"/>
              <w:jc w:val="both"/>
              <w:rPr>
                <w:sz w:val="20"/>
                <w:lang w:val="en-GB"/>
              </w:rPr>
            </w:pPr>
            <w:r w:rsidRPr="002148F7">
              <w:rPr>
                <w:sz w:val="20"/>
                <w:lang w:val="en-GB"/>
              </w:rPr>
              <w:t>repealing the existing definition of "a drug from the specified list" in clause 9</w:t>
            </w:r>
            <w:r>
              <w:rPr>
                <w:sz w:val="20"/>
                <w:lang w:val="en-GB"/>
              </w:rPr>
              <w:t>;</w:t>
            </w:r>
            <w:r w:rsidR="00CC27FB" w:rsidRPr="002148F7">
              <w:rPr>
                <w:sz w:val="20"/>
                <w:lang w:val="en-GB"/>
              </w:rPr>
              <w:t xml:space="preserve"> and</w:t>
            </w:r>
          </w:p>
          <w:p w:rsidR="00CC27FB" w:rsidRPr="002148F7" w:rsidRDefault="00CC27FB" w:rsidP="00CC27FB">
            <w:pPr>
              <w:numPr>
                <w:ilvl w:val="0"/>
                <w:numId w:val="2"/>
              </w:numPr>
              <w:tabs>
                <w:tab w:val="clear" w:pos="720"/>
                <w:tab w:val="num" w:pos="318"/>
              </w:tabs>
              <w:spacing w:after="120"/>
              <w:ind w:left="318" w:hanging="284"/>
              <w:jc w:val="both"/>
              <w:rPr>
                <w:sz w:val="20"/>
                <w:lang w:val="en-GB"/>
              </w:rPr>
            </w:pPr>
            <w:r w:rsidRPr="002148F7">
              <w:rPr>
                <w:sz w:val="20"/>
                <w:lang w:val="en-GB"/>
              </w:rPr>
              <w:t>specifying the day of commencement of these amendments.</w:t>
            </w:r>
          </w:p>
          <w:p w:rsidR="007E6E49" w:rsidRPr="005F2EAD" w:rsidRDefault="00CC27FB" w:rsidP="00591828">
            <w:pPr>
              <w:pStyle w:val="BodyText"/>
              <w:tabs>
                <w:tab w:val="left" w:pos="6753"/>
              </w:tabs>
              <w:spacing w:after="60"/>
              <w:ind w:right="33"/>
              <w:jc w:val="both"/>
              <w:rPr>
                <w:color w:val="0000FF"/>
              </w:rPr>
            </w:pPr>
            <w:r w:rsidRPr="002148F7">
              <w:rPr>
                <w:b/>
              </w:rPr>
              <w:t xml:space="preserve">The determining of these Instruments finalises the investigation in relation to </w:t>
            </w:r>
            <w:r w:rsidR="002148F7" w:rsidRPr="002148F7">
              <w:rPr>
                <w:b/>
                <w:i/>
              </w:rPr>
              <w:t xml:space="preserve">subdural haematoma </w:t>
            </w:r>
            <w:r w:rsidRPr="002148F7">
              <w:rPr>
                <w:b/>
              </w:rPr>
              <w:t xml:space="preserve">as advertised in the Government Notices Gazette of </w:t>
            </w:r>
            <w:r w:rsidR="002148F7" w:rsidRPr="002148F7">
              <w:rPr>
                <w:b/>
                <w:lang w:val="en-GB"/>
              </w:rPr>
              <w:t>6 November 2018</w:t>
            </w:r>
            <w:r w:rsidRPr="002148F7">
              <w:rPr>
                <w:b/>
              </w:rPr>
              <w:t>.</w:t>
            </w:r>
          </w:p>
        </w:tc>
      </w:tr>
    </w:tbl>
    <w:p w:rsidR="00705897" w:rsidRPr="004A08C2" w:rsidRDefault="00705897" w:rsidP="00705897">
      <w:pPr>
        <w:pStyle w:val="SHHeader"/>
        <w:rPr>
          <w:rStyle w:val="CharAmSchNo"/>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4A08C2"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55" w:rsidRDefault="00985155">
      <w:r>
        <w:separator/>
      </w:r>
    </w:p>
  </w:endnote>
  <w:endnote w:type="continuationSeparator" w:id="0">
    <w:p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155" w:rsidRDefault="00985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55" w:rsidRDefault="00985155">
    <w:pPr>
      <w:pStyle w:val="Footer"/>
      <w:framePr w:wrap="around" w:vAnchor="text" w:hAnchor="margin" w:xAlign="right" w:y="1"/>
      <w:rPr>
        <w:rStyle w:val="PageNumber"/>
      </w:rPr>
    </w:pPr>
  </w:p>
  <w:p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A08C2">
      <w:rPr>
        <w:rStyle w:val="PageNumber"/>
        <w:noProof/>
        <w:sz w:val="16"/>
        <w:szCs w:val="16"/>
      </w:rPr>
      <w:t>10</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4A08C2">
      <w:rPr>
        <w:rStyle w:val="PageNumber"/>
        <w:noProof/>
        <w:sz w:val="16"/>
        <w:szCs w:val="16"/>
      </w:rPr>
      <w:t>10</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55" w:rsidRDefault="00985155">
      <w:r>
        <w:separator/>
      </w:r>
    </w:p>
  </w:footnote>
  <w:footnote w:type="continuationSeparator" w:id="0">
    <w:p w:rsidR="00985155" w:rsidRDefault="00985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11"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4"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6"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8"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6"/>
  </w:num>
  <w:num w:numId="2">
    <w:abstractNumId w:val="6"/>
  </w:num>
  <w:num w:numId="3">
    <w:abstractNumId w:val="35"/>
  </w:num>
  <w:num w:numId="4">
    <w:abstractNumId w:val="32"/>
  </w:num>
  <w:num w:numId="5">
    <w:abstractNumId w:val="14"/>
  </w:num>
  <w:num w:numId="6">
    <w:abstractNumId w:val="33"/>
  </w:num>
  <w:num w:numId="7">
    <w:abstractNumId w:val="29"/>
  </w:num>
  <w:num w:numId="8">
    <w:abstractNumId w:val="4"/>
  </w:num>
  <w:num w:numId="9">
    <w:abstractNumId w:val="13"/>
  </w:num>
  <w:num w:numId="10">
    <w:abstractNumId w:val="2"/>
  </w:num>
  <w:num w:numId="11">
    <w:abstractNumId w:val="27"/>
  </w:num>
  <w:num w:numId="12">
    <w:abstractNumId w:val="18"/>
  </w:num>
  <w:num w:numId="13">
    <w:abstractNumId w:val="31"/>
  </w:num>
  <w:num w:numId="14">
    <w:abstractNumId w:val="6"/>
  </w:num>
  <w:num w:numId="15">
    <w:abstractNumId w:val="38"/>
  </w:num>
  <w:num w:numId="16">
    <w:abstractNumId w:val="1"/>
  </w:num>
  <w:num w:numId="17">
    <w:abstractNumId w:val="12"/>
  </w:num>
  <w:num w:numId="18">
    <w:abstractNumId w:val="37"/>
  </w:num>
  <w:num w:numId="19">
    <w:abstractNumId w:val="8"/>
  </w:num>
  <w:num w:numId="20">
    <w:abstractNumId w:val="19"/>
  </w:num>
  <w:num w:numId="21">
    <w:abstractNumId w:val="30"/>
  </w:num>
  <w:num w:numId="22">
    <w:abstractNumId w:val="5"/>
  </w:num>
  <w:num w:numId="23">
    <w:abstractNumId w:val="25"/>
  </w:num>
  <w:num w:numId="24">
    <w:abstractNumId w:val="26"/>
  </w:num>
  <w:num w:numId="25">
    <w:abstractNumId w:val="3"/>
  </w:num>
  <w:num w:numId="26">
    <w:abstractNumId w:val="23"/>
  </w:num>
  <w:num w:numId="27">
    <w:abstractNumId w:val="17"/>
  </w:num>
  <w:num w:numId="28">
    <w:abstractNumId w:val="34"/>
  </w:num>
  <w:num w:numId="29">
    <w:abstractNumId w:val="16"/>
  </w:num>
  <w:num w:numId="30">
    <w:abstractNumId w:val="9"/>
  </w:num>
  <w:num w:numId="31">
    <w:abstractNumId w:val="28"/>
  </w:num>
  <w:num w:numId="32">
    <w:abstractNumId w:val="11"/>
  </w:num>
  <w:num w:numId="33">
    <w:abstractNumId w:val="20"/>
  </w:num>
  <w:num w:numId="34">
    <w:abstractNumId w:val="7"/>
  </w:num>
  <w:num w:numId="35">
    <w:abstractNumId w:val="15"/>
  </w:num>
  <w:num w:numId="36">
    <w:abstractNumId w:val="22"/>
  </w:num>
  <w:num w:numId="37">
    <w:abstractNumId w:val="24"/>
  </w:num>
  <w:num w:numId="38">
    <w:abstractNumId w:val="0"/>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118B2"/>
    <w:rsid w:val="0002308C"/>
    <w:rsid w:val="0003279D"/>
    <w:rsid w:val="00041106"/>
    <w:rsid w:val="00043EA4"/>
    <w:rsid w:val="00046BC0"/>
    <w:rsid w:val="000476EA"/>
    <w:rsid w:val="00056496"/>
    <w:rsid w:val="00056AD5"/>
    <w:rsid w:val="00056FDE"/>
    <w:rsid w:val="00061463"/>
    <w:rsid w:val="00075AC6"/>
    <w:rsid w:val="000870E2"/>
    <w:rsid w:val="000910A4"/>
    <w:rsid w:val="00091719"/>
    <w:rsid w:val="00096A45"/>
    <w:rsid w:val="00097D55"/>
    <w:rsid w:val="000A10D1"/>
    <w:rsid w:val="000A10DE"/>
    <w:rsid w:val="000B27C3"/>
    <w:rsid w:val="000C68A0"/>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42130"/>
    <w:rsid w:val="001433FB"/>
    <w:rsid w:val="0015159D"/>
    <w:rsid w:val="00151F5C"/>
    <w:rsid w:val="001530EF"/>
    <w:rsid w:val="00155A84"/>
    <w:rsid w:val="00162CE4"/>
    <w:rsid w:val="00170C4E"/>
    <w:rsid w:val="00182314"/>
    <w:rsid w:val="00191676"/>
    <w:rsid w:val="001A68B8"/>
    <w:rsid w:val="001A78B4"/>
    <w:rsid w:val="001B5219"/>
    <w:rsid w:val="001B5AA0"/>
    <w:rsid w:val="001B7E10"/>
    <w:rsid w:val="001C027F"/>
    <w:rsid w:val="001C5985"/>
    <w:rsid w:val="001D09BC"/>
    <w:rsid w:val="001D5766"/>
    <w:rsid w:val="001D68C9"/>
    <w:rsid w:val="001D774E"/>
    <w:rsid w:val="001D7F9A"/>
    <w:rsid w:val="001E0473"/>
    <w:rsid w:val="001E5BC7"/>
    <w:rsid w:val="001E7260"/>
    <w:rsid w:val="001F0234"/>
    <w:rsid w:val="001F3F0B"/>
    <w:rsid w:val="001F4762"/>
    <w:rsid w:val="001F783E"/>
    <w:rsid w:val="001F7961"/>
    <w:rsid w:val="00204C27"/>
    <w:rsid w:val="00210125"/>
    <w:rsid w:val="0021180B"/>
    <w:rsid w:val="00211DA4"/>
    <w:rsid w:val="0021422C"/>
    <w:rsid w:val="002148F7"/>
    <w:rsid w:val="00214B51"/>
    <w:rsid w:val="002273F1"/>
    <w:rsid w:val="0023135A"/>
    <w:rsid w:val="002375CC"/>
    <w:rsid w:val="00240F71"/>
    <w:rsid w:val="0024289C"/>
    <w:rsid w:val="00244B31"/>
    <w:rsid w:val="002469F2"/>
    <w:rsid w:val="002546A6"/>
    <w:rsid w:val="00257785"/>
    <w:rsid w:val="0026085E"/>
    <w:rsid w:val="0026679F"/>
    <w:rsid w:val="00275D29"/>
    <w:rsid w:val="00276E92"/>
    <w:rsid w:val="002814C7"/>
    <w:rsid w:val="00282756"/>
    <w:rsid w:val="0028335B"/>
    <w:rsid w:val="00285993"/>
    <w:rsid w:val="0028740F"/>
    <w:rsid w:val="002919AC"/>
    <w:rsid w:val="002924B3"/>
    <w:rsid w:val="002B3FDD"/>
    <w:rsid w:val="002C3145"/>
    <w:rsid w:val="002E0408"/>
    <w:rsid w:val="002E15D1"/>
    <w:rsid w:val="002E1723"/>
    <w:rsid w:val="002E4479"/>
    <w:rsid w:val="003000E4"/>
    <w:rsid w:val="00303672"/>
    <w:rsid w:val="003054F9"/>
    <w:rsid w:val="00305686"/>
    <w:rsid w:val="00305A79"/>
    <w:rsid w:val="003101BA"/>
    <w:rsid w:val="003167DA"/>
    <w:rsid w:val="0032302D"/>
    <w:rsid w:val="00323B01"/>
    <w:rsid w:val="00332C3A"/>
    <w:rsid w:val="003363C7"/>
    <w:rsid w:val="00345C2C"/>
    <w:rsid w:val="00347FA7"/>
    <w:rsid w:val="00351BBE"/>
    <w:rsid w:val="00357377"/>
    <w:rsid w:val="00360FCF"/>
    <w:rsid w:val="003617AC"/>
    <w:rsid w:val="00363EE2"/>
    <w:rsid w:val="0036666D"/>
    <w:rsid w:val="00367E28"/>
    <w:rsid w:val="00373492"/>
    <w:rsid w:val="003855E9"/>
    <w:rsid w:val="00392F78"/>
    <w:rsid w:val="003A3ECF"/>
    <w:rsid w:val="003B06D3"/>
    <w:rsid w:val="003B1BB8"/>
    <w:rsid w:val="003D60B8"/>
    <w:rsid w:val="003D6698"/>
    <w:rsid w:val="003E1E3C"/>
    <w:rsid w:val="003E23EA"/>
    <w:rsid w:val="003E65E7"/>
    <w:rsid w:val="003E6746"/>
    <w:rsid w:val="003F32B2"/>
    <w:rsid w:val="003F7437"/>
    <w:rsid w:val="00403239"/>
    <w:rsid w:val="00405793"/>
    <w:rsid w:val="00405AC5"/>
    <w:rsid w:val="00407CB8"/>
    <w:rsid w:val="004108EE"/>
    <w:rsid w:val="00411343"/>
    <w:rsid w:val="0041348F"/>
    <w:rsid w:val="0041602D"/>
    <w:rsid w:val="004347E1"/>
    <w:rsid w:val="00434A2A"/>
    <w:rsid w:val="00442CBB"/>
    <w:rsid w:val="004439A8"/>
    <w:rsid w:val="00447D76"/>
    <w:rsid w:val="00453419"/>
    <w:rsid w:val="004669F2"/>
    <w:rsid w:val="00473F0A"/>
    <w:rsid w:val="004747C1"/>
    <w:rsid w:val="004755B9"/>
    <w:rsid w:val="004762AD"/>
    <w:rsid w:val="00480004"/>
    <w:rsid w:val="0048027A"/>
    <w:rsid w:val="0048426D"/>
    <w:rsid w:val="00484C2B"/>
    <w:rsid w:val="00493433"/>
    <w:rsid w:val="004A08C2"/>
    <w:rsid w:val="004A119A"/>
    <w:rsid w:val="004A1F8A"/>
    <w:rsid w:val="004A40D3"/>
    <w:rsid w:val="004A79FF"/>
    <w:rsid w:val="004C1B11"/>
    <w:rsid w:val="004C54D5"/>
    <w:rsid w:val="004C5886"/>
    <w:rsid w:val="004D059B"/>
    <w:rsid w:val="004E00E7"/>
    <w:rsid w:val="004F0E6B"/>
    <w:rsid w:val="004F109C"/>
    <w:rsid w:val="004F4428"/>
    <w:rsid w:val="004F4BA0"/>
    <w:rsid w:val="004F68D6"/>
    <w:rsid w:val="00515703"/>
    <w:rsid w:val="00517506"/>
    <w:rsid w:val="005217A7"/>
    <w:rsid w:val="00526290"/>
    <w:rsid w:val="005272F5"/>
    <w:rsid w:val="005320D3"/>
    <w:rsid w:val="00533E20"/>
    <w:rsid w:val="00537CDC"/>
    <w:rsid w:val="00542E0C"/>
    <w:rsid w:val="0054535F"/>
    <w:rsid w:val="0054538E"/>
    <w:rsid w:val="005454BF"/>
    <w:rsid w:val="0056555F"/>
    <w:rsid w:val="005711D1"/>
    <w:rsid w:val="00573043"/>
    <w:rsid w:val="00574C11"/>
    <w:rsid w:val="0058568D"/>
    <w:rsid w:val="0058615C"/>
    <w:rsid w:val="0058666E"/>
    <w:rsid w:val="00586726"/>
    <w:rsid w:val="005875CA"/>
    <w:rsid w:val="005903C2"/>
    <w:rsid w:val="00591828"/>
    <w:rsid w:val="00594393"/>
    <w:rsid w:val="00597D0F"/>
    <w:rsid w:val="005C48F9"/>
    <w:rsid w:val="005C6B3F"/>
    <w:rsid w:val="005C79A9"/>
    <w:rsid w:val="005D0CE6"/>
    <w:rsid w:val="005D2BD9"/>
    <w:rsid w:val="005D4C2A"/>
    <w:rsid w:val="005D5463"/>
    <w:rsid w:val="005D67D4"/>
    <w:rsid w:val="005E49B2"/>
    <w:rsid w:val="005E6B82"/>
    <w:rsid w:val="005F2EAD"/>
    <w:rsid w:val="005F3937"/>
    <w:rsid w:val="005F60B6"/>
    <w:rsid w:val="00605651"/>
    <w:rsid w:val="006076A6"/>
    <w:rsid w:val="00632B7A"/>
    <w:rsid w:val="00640A93"/>
    <w:rsid w:val="006426E1"/>
    <w:rsid w:val="00642904"/>
    <w:rsid w:val="00647664"/>
    <w:rsid w:val="00652316"/>
    <w:rsid w:val="006558C5"/>
    <w:rsid w:val="00687EA7"/>
    <w:rsid w:val="00694850"/>
    <w:rsid w:val="006A3CB2"/>
    <w:rsid w:val="006A58DD"/>
    <w:rsid w:val="006B2F25"/>
    <w:rsid w:val="006B355C"/>
    <w:rsid w:val="006C221D"/>
    <w:rsid w:val="006C36B8"/>
    <w:rsid w:val="006D3625"/>
    <w:rsid w:val="006E1180"/>
    <w:rsid w:val="006E1F2D"/>
    <w:rsid w:val="006F19D6"/>
    <w:rsid w:val="006F3CE4"/>
    <w:rsid w:val="006F4C7C"/>
    <w:rsid w:val="00705897"/>
    <w:rsid w:val="007155A5"/>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3FEF"/>
    <w:rsid w:val="007800D1"/>
    <w:rsid w:val="007803DD"/>
    <w:rsid w:val="007A5232"/>
    <w:rsid w:val="007A6D9D"/>
    <w:rsid w:val="007B1F16"/>
    <w:rsid w:val="007B25EC"/>
    <w:rsid w:val="007B454D"/>
    <w:rsid w:val="007C098B"/>
    <w:rsid w:val="007C1C18"/>
    <w:rsid w:val="007C753D"/>
    <w:rsid w:val="007D6658"/>
    <w:rsid w:val="007D69E7"/>
    <w:rsid w:val="007E2F9C"/>
    <w:rsid w:val="007E6E49"/>
    <w:rsid w:val="007F294A"/>
    <w:rsid w:val="0080326C"/>
    <w:rsid w:val="00804993"/>
    <w:rsid w:val="00812B7B"/>
    <w:rsid w:val="00812EF7"/>
    <w:rsid w:val="00813AE9"/>
    <w:rsid w:val="00815FBB"/>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747"/>
    <w:rsid w:val="00872C0D"/>
    <w:rsid w:val="00877886"/>
    <w:rsid w:val="00881B88"/>
    <w:rsid w:val="00882ABA"/>
    <w:rsid w:val="00887C9E"/>
    <w:rsid w:val="00890D56"/>
    <w:rsid w:val="00891C9B"/>
    <w:rsid w:val="00892B3B"/>
    <w:rsid w:val="008A32D5"/>
    <w:rsid w:val="008B165A"/>
    <w:rsid w:val="008B4715"/>
    <w:rsid w:val="008C1A2B"/>
    <w:rsid w:val="008C3EF9"/>
    <w:rsid w:val="008C4BA6"/>
    <w:rsid w:val="008E2D20"/>
    <w:rsid w:val="008F36E2"/>
    <w:rsid w:val="008F555D"/>
    <w:rsid w:val="0090304E"/>
    <w:rsid w:val="00904B10"/>
    <w:rsid w:val="00905545"/>
    <w:rsid w:val="0090566D"/>
    <w:rsid w:val="0091279A"/>
    <w:rsid w:val="00912D9C"/>
    <w:rsid w:val="00914C40"/>
    <w:rsid w:val="00943882"/>
    <w:rsid w:val="00953055"/>
    <w:rsid w:val="00966D63"/>
    <w:rsid w:val="00972462"/>
    <w:rsid w:val="00974E24"/>
    <w:rsid w:val="00975CF9"/>
    <w:rsid w:val="00984799"/>
    <w:rsid w:val="00985155"/>
    <w:rsid w:val="009935AA"/>
    <w:rsid w:val="0099374E"/>
    <w:rsid w:val="009B0D88"/>
    <w:rsid w:val="009B53A2"/>
    <w:rsid w:val="009B6352"/>
    <w:rsid w:val="009D1C93"/>
    <w:rsid w:val="009D4D22"/>
    <w:rsid w:val="009E529D"/>
    <w:rsid w:val="009E5D11"/>
    <w:rsid w:val="009F18BA"/>
    <w:rsid w:val="009F61B7"/>
    <w:rsid w:val="009F7CAD"/>
    <w:rsid w:val="00A04271"/>
    <w:rsid w:val="00A06826"/>
    <w:rsid w:val="00A16F94"/>
    <w:rsid w:val="00A2228B"/>
    <w:rsid w:val="00A34C3C"/>
    <w:rsid w:val="00A3569F"/>
    <w:rsid w:val="00A41AE1"/>
    <w:rsid w:val="00A463CB"/>
    <w:rsid w:val="00A57480"/>
    <w:rsid w:val="00A63FDF"/>
    <w:rsid w:val="00A64C8E"/>
    <w:rsid w:val="00A73805"/>
    <w:rsid w:val="00A7423F"/>
    <w:rsid w:val="00A812AC"/>
    <w:rsid w:val="00A876D4"/>
    <w:rsid w:val="00A95F00"/>
    <w:rsid w:val="00AA1792"/>
    <w:rsid w:val="00AA315B"/>
    <w:rsid w:val="00AB3052"/>
    <w:rsid w:val="00AB68B5"/>
    <w:rsid w:val="00AC0E6C"/>
    <w:rsid w:val="00AC36E9"/>
    <w:rsid w:val="00AC5DAB"/>
    <w:rsid w:val="00AC6B3D"/>
    <w:rsid w:val="00AD18E1"/>
    <w:rsid w:val="00AD3DC3"/>
    <w:rsid w:val="00AD5B52"/>
    <w:rsid w:val="00AD7581"/>
    <w:rsid w:val="00AE3563"/>
    <w:rsid w:val="00AE53A9"/>
    <w:rsid w:val="00AF7EA6"/>
    <w:rsid w:val="00B02F16"/>
    <w:rsid w:val="00B12BC4"/>
    <w:rsid w:val="00B13678"/>
    <w:rsid w:val="00B16CA3"/>
    <w:rsid w:val="00B174C2"/>
    <w:rsid w:val="00B17F12"/>
    <w:rsid w:val="00B23DE0"/>
    <w:rsid w:val="00B2575D"/>
    <w:rsid w:val="00B329B5"/>
    <w:rsid w:val="00B40633"/>
    <w:rsid w:val="00B408EE"/>
    <w:rsid w:val="00B507A5"/>
    <w:rsid w:val="00B56D13"/>
    <w:rsid w:val="00B62B3E"/>
    <w:rsid w:val="00B76236"/>
    <w:rsid w:val="00B803B0"/>
    <w:rsid w:val="00B80718"/>
    <w:rsid w:val="00B8384B"/>
    <w:rsid w:val="00B861E3"/>
    <w:rsid w:val="00B976B3"/>
    <w:rsid w:val="00BA1274"/>
    <w:rsid w:val="00BB690D"/>
    <w:rsid w:val="00BB7038"/>
    <w:rsid w:val="00BB7B5C"/>
    <w:rsid w:val="00BC6098"/>
    <w:rsid w:val="00BD1EE7"/>
    <w:rsid w:val="00BD6588"/>
    <w:rsid w:val="00BE1FAE"/>
    <w:rsid w:val="00BE3317"/>
    <w:rsid w:val="00BE4ADD"/>
    <w:rsid w:val="00BF38B4"/>
    <w:rsid w:val="00BF7D54"/>
    <w:rsid w:val="00C0040D"/>
    <w:rsid w:val="00C06A95"/>
    <w:rsid w:val="00C11CE4"/>
    <w:rsid w:val="00C1282F"/>
    <w:rsid w:val="00C15A71"/>
    <w:rsid w:val="00C15F3C"/>
    <w:rsid w:val="00C160EF"/>
    <w:rsid w:val="00C17DA9"/>
    <w:rsid w:val="00C20561"/>
    <w:rsid w:val="00C2378F"/>
    <w:rsid w:val="00C23D8C"/>
    <w:rsid w:val="00C240D9"/>
    <w:rsid w:val="00C32249"/>
    <w:rsid w:val="00C40D00"/>
    <w:rsid w:val="00C513D2"/>
    <w:rsid w:val="00C560CF"/>
    <w:rsid w:val="00C5734D"/>
    <w:rsid w:val="00C61EF0"/>
    <w:rsid w:val="00C63141"/>
    <w:rsid w:val="00C67E82"/>
    <w:rsid w:val="00C7059F"/>
    <w:rsid w:val="00C74969"/>
    <w:rsid w:val="00C80225"/>
    <w:rsid w:val="00C82602"/>
    <w:rsid w:val="00C83B61"/>
    <w:rsid w:val="00C84BC7"/>
    <w:rsid w:val="00C925E4"/>
    <w:rsid w:val="00CA50C8"/>
    <w:rsid w:val="00CB0A5A"/>
    <w:rsid w:val="00CB7C0C"/>
    <w:rsid w:val="00CC27FB"/>
    <w:rsid w:val="00CC61F1"/>
    <w:rsid w:val="00CD223F"/>
    <w:rsid w:val="00CD4020"/>
    <w:rsid w:val="00CD51AC"/>
    <w:rsid w:val="00CD65BE"/>
    <w:rsid w:val="00CE140D"/>
    <w:rsid w:val="00CE7941"/>
    <w:rsid w:val="00CF4B95"/>
    <w:rsid w:val="00D016BD"/>
    <w:rsid w:val="00D02420"/>
    <w:rsid w:val="00D23541"/>
    <w:rsid w:val="00D243FF"/>
    <w:rsid w:val="00D3020E"/>
    <w:rsid w:val="00D31D9E"/>
    <w:rsid w:val="00D3458F"/>
    <w:rsid w:val="00D43A30"/>
    <w:rsid w:val="00D43B57"/>
    <w:rsid w:val="00D5572B"/>
    <w:rsid w:val="00D62ED9"/>
    <w:rsid w:val="00D67BDC"/>
    <w:rsid w:val="00D7698B"/>
    <w:rsid w:val="00D771CA"/>
    <w:rsid w:val="00D82C1B"/>
    <w:rsid w:val="00D84F1F"/>
    <w:rsid w:val="00D91073"/>
    <w:rsid w:val="00D915AD"/>
    <w:rsid w:val="00DA3B20"/>
    <w:rsid w:val="00DA4B2D"/>
    <w:rsid w:val="00DA58C4"/>
    <w:rsid w:val="00DA7705"/>
    <w:rsid w:val="00DB6362"/>
    <w:rsid w:val="00DC15AE"/>
    <w:rsid w:val="00DC32DB"/>
    <w:rsid w:val="00DC43F5"/>
    <w:rsid w:val="00DC68E2"/>
    <w:rsid w:val="00DD2E02"/>
    <w:rsid w:val="00DE4362"/>
    <w:rsid w:val="00DE56B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6037F"/>
    <w:rsid w:val="00E709B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3D25"/>
    <w:rsid w:val="00EF6BF3"/>
    <w:rsid w:val="00F03806"/>
    <w:rsid w:val="00F32AC2"/>
    <w:rsid w:val="00F41AE4"/>
    <w:rsid w:val="00F41E35"/>
    <w:rsid w:val="00F44372"/>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FF"/>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5319</Words>
  <Characters>32895</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2019-01-30T23:55:00Z</dcterms:created>
  <dcterms:modified xsi:type="dcterms:W3CDTF">2019-02-26T06:16:00Z</dcterms:modified>
</cp:coreProperties>
</file>