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870747">
        <w:rPr>
          <w:b/>
        </w:rPr>
        <w:t>1</w:t>
      </w:r>
      <w:r w:rsidR="00D43B57">
        <w:rPr>
          <w:b/>
        </w:rPr>
        <w:t xml:space="preserve"> </w:t>
      </w:r>
      <w:r w:rsidRPr="0080326C">
        <w:rPr>
          <w:b/>
        </w:rPr>
        <w:t xml:space="preserve">to </w:t>
      </w:r>
      <w:r w:rsidR="00870747">
        <w:rPr>
          <w:b/>
        </w:rPr>
        <w:t>1</w:t>
      </w:r>
      <w:r w:rsidR="008624E3">
        <w:rPr>
          <w:b/>
        </w:rPr>
        <w:t>6</w:t>
      </w:r>
      <w:r w:rsidRPr="0080326C">
        <w:rPr>
          <w:b/>
        </w:rPr>
        <w:t xml:space="preserve"> OF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Statements of Principles (S</w:t>
      </w:r>
      <w:r>
        <w:t>O</w:t>
      </w:r>
      <w:r w:rsidRPr="0080326C">
        <w:t xml:space="preserve">Ps) Nos. </w:t>
      </w:r>
      <w:r w:rsidR="00870747">
        <w:t>1</w:t>
      </w:r>
      <w:r w:rsidR="00F74D34">
        <w:t xml:space="preserve"> </w:t>
      </w:r>
      <w:r w:rsidRPr="0080326C">
        <w:t xml:space="preserve">to </w:t>
      </w:r>
      <w:r w:rsidR="00870747">
        <w:t>1</w:t>
      </w:r>
      <w:r w:rsidR="008624E3">
        <w:t>6</w:t>
      </w:r>
      <w:r>
        <w:t xml:space="preserve"> </w:t>
      </w:r>
      <w:r w:rsidRPr="0080326C">
        <w:t>of 201</w:t>
      </w:r>
      <w:r w:rsidR="00870747">
        <w:t>8</w:t>
      </w:r>
      <w:r w:rsidRPr="0080326C">
        <w:t xml:space="preserve"> were signed by the Chairperson of the Repatriation Medical Authority (the </w:t>
      </w:r>
      <w:r>
        <w:t>Authority</w:t>
      </w:r>
      <w:r w:rsidRPr="0080326C">
        <w:t xml:space="preserve">) on </w:t>
      </w:r>
      <w:r w:rsidR="00870747">
        <w:t>22 December</w:t>
      </w:r>
      <w:r w:rsidR="00B803B0">
        <w:t xml:space="preserve"> 2017</w:t>
      </w:r>
      <w:r w:rsidRPr="0080326C">
        <w:t>.</w:t>
      </w:r>
      <w:r>
        <w:t xml:space="preserve"> </w:t>
      </w:r>
    </w:p>
    <w:p w:rsidR="002E0408" w:rsidRPr="0080326C" w:rsidRDefault="002E0408" w:rsidP="002E0408">
      <w:pPr>
        <w:tabs>
          <w:tab w:val="left" w:pos="2410"/>
          <w:tab w:val="left" w:pos="7655"/>
        </w:tabs>
        <w:jc w:val="both"/>
      </w:pPr>
    </w:p>
    <w:p w:rsidR="00B803B0" w:rsidRDefault="002E0408" w:rsidP="00B803B0">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B803B0" w:rsidRPr="004C50BC">
        <w:t xml:space="preserve">The day of commencement as specified in each of the </w:t>
      </w:r>
      <w:r w:rsidR="008E2D20">
        <w:t xml:space="preserve">Instruments </w:t>
      </w:r>
      <w:r w:rsidR="00B803B0" w:rsidRPr="004C50BC">
        <w:t xml:space="preserve">is </w:t>
      </w:r>
      <w:r w:rsidR="00870747">
        <w:t>29 January 2018</w:t>
      </w:r>
      <w:r w:rsidR="00B803B0" w:rsidRPr="004C50BC">
        <w:t>.  In accordance with the L</w:t>
      </w:r>
      <w:r w:rsidR="00B803B0">
        <w:t>egislation Act</w:t>
      </w:r>
      <w:r w:rsidR="00B803B0" w:rsidRPr="004C50BC">
        <w:t xml:space="preserve">, the Office of Parliamentary Counsel must generally deliver a legislative instrument for laying before each House of the Parliament within </w:t>
      </w:r>
      <w:r w:rsidR="00B803B0">
        <w:t>six</w:t>
      </w:r>
      <w:r w:rsidR="00B803B0" w:rsidRPr="004C50BC">
        <w:t xml:space="preserve"> sitting days of that House after the instrument is registered with the instrument’s registered explanatory statement. </w:t>
      </w:r>
      <w:r w:rsidR="00B803B0">
        <w:t xml:space="preserve"> </w:t>
      </w:r>
      <w:r w:rsidR="00B803B0" w:rsidRPr="004C50BC">
        <w:t xml:space="preserve">The Instruments and the associated Explanatory Statements registered with the Federal Register 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Instrument,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2814C7">
        <w:rPr>
          <w:szCs w:val="24"/>
        </w:rPr>
        <w:t xml:space="preserve">SOP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proofErr w:type="gramStart"/>
      <w:r w:rsidRPr="0080326C">
        <w:t>T  +</w:t>
      </w:r>
      <w:proofErr w:type="gramEnd"/>
      <w:r w:rsidRPr="0080326C">
        <w:t>61 7 3815 9404</w:t>
      </w:r>
    </w:p>
    <w:p w:rsidR="002E0408" w:rsidRPr="0080326C" w:rsidRDefault="002E0408" w:rsidP="002E0408">
      <w:pPr>
        <w:tabs>
          <w:tab w:val="left" w:pos="2410"/>
          <w:tab w:val="left" w:pos="7655"/>
        </w:tabs>
        <w:jc w:val="both"/>
      </w:pPr>
      <w:proofErr w:type="gramStart"/>
      <w:r w:rsidRPr="0080326C">
        <w:t>F  +</w:t>
      </w:r>
      <w:proofErr w:type="gramEnd"/>
      <w:r w:rsidRPr="0080326C">
        <w:t>61 7 3815 9412</w:t>
      </w:r>
    </w:p>
    <w:p w:rsidR="002E0408" w:rsidRPr="0080326C" w:rsidRDefault="002E0408" w:rsidP="002E0408">
      <w:pPr>
        <w:tabs>
          <w:tab w:val="left" w:pos="2410"/>
          <w:tab w:val="left" w:pos="7655"/>
        </w:tabs>
        <w:jc w:val="both"/>
      </w:pPr>
      <w:proofErr w:type="gramStart"/>
      <w:r w:rsidRPr="0080326C">
        <w:t>E  info@rma.gov.au</w:t>
      </w:r>
      <w:proofErr w:type="gramEnd"/>
    </w:p>
    <w:p w:rsidR="00191676" w:rsidRPr="0080326C" w:rsidRDefault="00191676">
      <w:pPr>
        <w:tabs>
          <w:tab w:val="left" w:pos="2410"/>
          <w:tab w:val="left" w:pos="7655"/>
        </w:tabs>
        <w:jc w:val="both"/>
        <w:rPr>
          <w:b/>
        </w:rPr>
      </w:pPr>
    </w:p>
    <w:p w:rsidR="00191676" w:rsidRPr="0080326C" w:rsidRDefault="00870747" w:rsidP="004669F2">
      <w:pPr>
        <w:tabs>
          <w:tab w:val="left" w:pos="2410"/>
          <w:tab w:val="left" w:pos="7655"/>
        </w:tabs>
        <w:rPr>
          <w:sz w:val="16"/>
        </w:rPr>
      </w:pPr>
      <w:r>
        <w:t>5 January 2018</w:t>
      </w:r>
      <w:r w:rsidR="00744EEC" w:rsidRPr="0080326C">
        <w:br w:type="page"/>
      </w:r>
    </w:p>
    <w:p w:rsidR="00191676" w:rsidRPr="0080326C" w:rsidRDefault="00191676">
      <w:pPr>
        <w:jc w:val="center"/>
        <w:rPr>
          <w:sz w:val="16"/>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674"/>
        <w:gridCol w:w="1843"/>
        <w:gridCol w:w="2552"/>
      </w:tblGrid>
      <w:tr w:rsidR="00191676" w:rsidRPr="0086328E" w:rsidTr="00542E0C">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67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843"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552"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pPr>
              <w:rPr>
                <w:b/>
                <w:sz w:val="23"/>
                <w:szCs w:val="23"/>
              </w:rPr>
            </w:pPr>
            <w:r w:rsidRPr="0086328E">
              <w:rPr>
                <w:b/>
                <w:sz w:val="23"/>
                <w:szCs w:val="23"/>
              </w:rPr>
              <w:t>ICD-10-AM Codes</w:t>
            </w:r>
          </w:p>
        </w:tc>
      </w:tr>
      <w:tr w:rsidR="00A73805" w:rsidRPr="00A73805">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rPr>
            </w:pPr>
            <w:r w:rsidRPr="00A73805">
              <w:rPr>
                <w:b/>
              </w:rPr>
              <w:t>REVOCATIONS</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1 &amp; 2/2018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cerebral meningioma</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sidRPr="00D31306">
              <w:t>D32.0 or D32.9</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3 &amp; 4/2018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malignant neoplasm of the cerebral meninges</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sidRPr="0001730F">
              <w:t>C70.0 or C70.9</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5 &amp; 6/2018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t>non-freezing cold injury</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sidRPr="000D695B">
              <w:t>T69.0</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Pr="008624E3"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7 &amp; 8/2018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migraine</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t>G43</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Pr="008624E3"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r>
              <w:rPr>
                <w:szCs w:val="24"/>
              </w:rPr>
              <w:t>9 &amp; 10/2018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 xml:space="preserve">malignant neoplasm of the ovary </w:t>
            </w:r>
          </w:p>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8624E3" w:rsidRDefault="00870747" w:rsidP="00870747">
            <w:pPr>
              <w:rPr>
                <w:szCs w:val="24"/>
              </w:rPr>
            </w:pPr>
            <w:r>
              <w:t>C</w:t>
            </w:r>
            <w:r w:rsidRPr="00234EA5">
              <w:t>56 or D39.1</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11 &amp; 12/2018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frostbite</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sidRPr="00D12A73">
              <w:t>T33, T34 or T35</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13 &amp; 14/2018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r w:rsidRPr="000D7D1F">
              <w:t xml:space="preserve">hepatitis C </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r>
              <w:t>B17.1 or B18.2</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r>
      <w:tr w:rsidR="00B56D13" w:rsidRPr="00A73805" w:rsidTr="00860CEE">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B56D13" w:rsidRPr="00A73805" w:rsidRDefault="00B56D13" w:rsidP="00B56D13">
            <w:pPr>
              <w:rPr>
                <w:b/>
              </w:rPr>
            </w:pPr>
            <w:r>
              <w:rPr>
                <w:b/>
              </w:rPr>
              <w:t>DETERMINATIONS</w:t>
            </w: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674"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r>
      <w:tr w:rsidR="00DC68E2"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DC68E2" w:rsidRPr="00A73805" w:rsidRDefault="00870747" w:rsidP="00870747">
            <w:pPr>
              <w:rPr>
                <w:szCs w:val="24"/>
              </w:rPr>
            </w:pPr>
            <w:r>
              <w:rPr>
                <w:szCs w:val="24"/>
              </w:rPr>
              <w:t>1</w:t>
            </w:r>
            <w:r w:rsidR="00DC68E2">
              <w:rPr>
                <w:szCs w:val="24"/>
              </w:rPr>
              <w:t xml:space="preserve">5 &amp; </w:t>
            </w:r>
            <w:r w:rsidR="008624E3">
              <w:rPr>
                <w:szCs w:val="24"/>
              </w:rPr>
              <w:t>6</w:t>
            </w:r>
            <w:r w:rsidR="00DC68E2">
              <w:rPr>
                <w:szCs w:val="24"/>
              </w:rPr>
              <w:t>/201</w:t>
            </w:r>
            <w:r>
              <w:rPr>
                <w:szCs w:val="24"/>
              </w:rPr>
              <w:t>8</w:t>
            </w:r>
          </w:p>
        </w:tc>
        <w:tc>
          <w:tcPr>
            <w:tcW w:w="2674" w:type="dxa"/>
            <w:tcBorders>
              <w:top w:val="single" w:sz="6" w:space="0" w:color="auto"/>
              <w:left w:val="single" w:sz="6" w:space="0" w:color="auto"/>
              <w:bottom w:val="single" w:sz="6" w:space="0" w:color="auto"/>
              <w:right w:val="single" w:sz="6" w:space="0" w:color="auto"/>
            </w:tcBorders>
          </w:tcPr>
          <w:p w:rsidR="00DC68E2" w:rsidRPr="00A73805" w:rsidRDefault="00870747" w:rsidP="008624E3">
            <w:pPr>
              <w:rPr>
                <w:szCs w:val="24"/>
              </w:rPr>
            </w:pPr>
            <w:proofErr w:type="spellStart"/>
            <w:r w:rsidRPr="000D7D1F">
              <w:t>Zika</w:t>
            </w:r>
            <w:proofErr w:type="spellEnd"/>
            <w:r w:rsidRPr="000D7D1F">
              <w:t xml:space="preserve"> virus infection</w:t>
            </w:r>
          </w:p>
        </w:tc>
        <w:tc>
          <w:tcPr>
            <w:tcW w:w="1843" w:type="dxa"/>
            <w:tcBorders>
              <w:top w:val="single" w:sz="6" w:space="0" w:color="auto"/>
              <w:left w:val="single" w:sz="6" w:space="0" w:color="auto"/>
              <w:bottom w:val="single" w:sz="6" w:space="0" w:color="auto"/>
              <w:right w:val="single" w:sz="6" w:space="0" w:color="auto"/>
            </w:tcBorders>
          </w:tcPr>
          <w:p w:rsidR="00DC68E2" w:rsidRPr="00A73805" w:rsidRDefault="00870747" w:rsidP="008624E3">
            <w:pPr>
              <w:rPr>
                <w:szCs w:val="24"/>
              </w:rPr>
            </w:pPr>
            <w:r>
              <w:rPr>
                <w:szCs w:val="24"/>
              </w:rPr>
              <w:t>29/01/2018</w:t>
            </w:r>
          </w:p>
        </w:tc>
        <w:tc>
          <w:tcPr>
            <w:tcW w:w="2552" w:type="dxa"/>
            <w:tcBorders>
              <w:top w:val="single" w:sz="6" w:space="0" w:color="auto"/>
              <w:left w:val="single" w:sz="6" w:space="0" w:color="auto"/>
              <w:bottom w:val="single" w:sz="6" w:space="0" w:color="auto"/>
              <w:right w:val="single" w:sz="6" w:space="0" w:color="auto"/>
            </w:tcBorders>
          </w:tcPr>
          <w:p w:rsidR="00DC68E2" w:rsidRPr="00A73805" w:rsidRDefault="00244B31" w:rsidP="00B56D13">
            <w:pPr>
              <w:rPr>
                <w:szCs w:val="24"/>
              </w:rPr>
            </w:pPr>
            <w:r>
              <w:rPr>
                <w:szCs w:val="24"/>
              </w:rPr>
              <w:t>Nil</w:t>
            </w:r>
          </w:p>
        </w:tc>
      </w:tr>
      <w:tr w:rsidR="00DC68E2"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c>
          <w:tcPr>
            <w:tcW w:w="2674" w:type="dxa"/>
            <w:tcBorders>
              <w:top w:val="single" w:sz="6" w:space="0" w:color="auto"/>
              <w:left w:val="single" w:sz="6" w:space="0" w:color="auto"/>
              <w:bottom w:val="single" w:sz="6" w:space="0" w:color="auto"/>
              <w:right w:val="single" w:sz="6" w:space="0" w:color="auto"/>
            </w:tcBorders>
          </w:tcPr>
          <w:p w:rsidR="00DC68E2" w:rsidRPr="00FE6464" w:rsidRDefault="00DC68E2" w:rsidP="00DC68E2"/>
        </w:tc>
        <w:tc>
          <w:tcPr>
            <w:tcW w:w="1843"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c>
          <w:tcPr>
            <w:tcW w:w="2552"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r>
    </w:tbl>
    <w:p w:rsidR="00B803B0" w:rsidRDefault="00B803B0" w:rsidP="00B803B0">
      <w:pPr>
        <w:spacing w:after="60"/>
        <w:ind w:left="360"/>
        <w:jc w:val="both"/>
        <w:rPr>
          <w:sz w:val="16"/>
        </w:rPr>
      </w:pPr>
    </w:p>
    <w:p w:rsidR="00447D76" w:rsidRDefault="00447D76" w:rsidP="00B803B0">
      <w:pPr>
        <w:spacing w:after="60"/>
        <w:ind w:left="360"/>
        <w:jc w:val="both"/>
        <w:rPr>
          <w:sz w:val="16"/>
        </w:rPr>
      </w:pP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257785">
            <w:pPr>
              <w:rPr>
                <w:sz w:val="20"/>
              </w:rPr>
            </w:pPr>
            <w:r>
              <w:rPr>
                <w:sz w:val="20"/>
              </w:rPr>
              <w:t>1</w:t>
            </w:r>
            <w:r w:rsidR="00F41E35" w:rsidRPr="00A73805">
              <w:rPr>
                <w:sz w:val="20"/>
              </w:rPr>
              <w:t xml:space="preserve"> &amp; </w:t>
            </w:r>
            <w:r>
              <w:rPr>
                <w:sz w:val="20"/>
              </w:rPr>
              <w:t>2</w:t>
            </w:r>
            <w:r w:rsidR="00744EEC" w:rsidRPr="00A73805">
              <w:rPr>
                <w:sz w:val="20"/>
              </w:rPr>
              <w:t>/</w:t>
            </w:r>
            <w:r w:rsidR="00046BC0">
              <w:rPr>
                <w:sz w:val="20"/>
              </w:rPr>
              <w:t>201</w:t>
            </w:r>
            <w:r>
              <w:rPr>
                <w:sz w:val="20"/>
              </w:rPr>
              <w:t>8</w:t>
            </w:r>
          </w:p>
          <w:p w:rsidR="00191676" w:rsidRPr="00A73805" w:rsidRDefault="00191676" w:rsidP="00830FB8">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870747">
            <w:pPr>
              <w:rPr>
                <w:sz w:val="20"/>
              </w:rPr>
            </w:pPr>
            <w:r w:rsidRPr="00870747">
              <w:rPr>
                <w:sz w:val="20"/>
              </w:rPr>
              <w:t>cerebral meningioma</w:t>
            </w:r>
          </w:p>
          <w:p w:rsidR="00191676" w:rsidRPr="00A73805" w:rsidRDefault="00191676">
            <w:pPr>
              <w:rPr>
                <w:sz w:val="20"/>
              </w:rPr>
            </w:pPr>
          </w:p>
        </w:tc>
        <w:tc>
          <w:tcPr>
            <w:tcW w:w="7912" w:type="dxa"/>
            <w:tcBorders>
              <w:top w:val="single" w:sz="6" w:space="0" w:color="auto"/>
              <w:left w:val="single" w:sz="6" w:space="0" w:color="auto"/>
              <w:bottom w:val="single" w:sz="6" w:space="0" w:color="auto"/>
              <w:right w:val="single" w:sz="6" w:space="0" w:color="auto"/>
            </w:tcBorders>
          </w:tcPr>
          <w:p w:rsidR="00191676" w:rsidRPr="00A73805" w:rsidRDefault="00744EEC" w:rsidP="001A68B8">
            <w:pPr>
              <w:pStyle w:val="BodyText"/>
              <w:tabs>
                <w:tab w:val="left" w:pos="6753"/>
              </w:tabs>
              <w:spacing w:after="60"/>
              <w:ind w:right="33"/>
              <w:jc w:val="both"/>
            </w:pPr>
            <w:r w:rsidRPr="00A73805">
              <w:t xml:space="preserve">These Instruments result from an investigation notified by the Authority in the Government Notices Gazette of </w:t>
            </w:r>
            <w:r w:rsidR="00257785" w:rsidRPr="00257785">
              <w:t>19 October 2016</w:t>
            </w:r>
            <w:r w:rsidR="00860CEE" w:rsidRPr="00860CEE">
              <w:t xml:space="preserve"> </w:t>
            </w:r>
            <w:r w:rsidRPr="00A73805">
              <w:t xml:space="preserve">concerning </w:t>
            </w:r>
            <w:r w:rsidR="00870747" w:rsidRPr="00870747">
              <w:rPr>
                <w:i/>
              </w:rPr>
              <w:t>cerebral meningioma</w:t>
            </w:r>
            <w:r w:rsidR="008624E3" w:rsidRPr="008624E3">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191676" w:rsidRPr="00A73805" w:rsidRDefault="00744EEC" w:rsidP="001A68B8">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191676" w:rsidRPr="00A73805" w:rsidRDefault="00744EEC" w:rsidP="001A68B8">
            <w:pPr>
              <w:pStyle w:val="BodyText"/>
              <w:tabs>
                <w:tab w:val="left" w:pos="6753"/>
              </w:tabs>
              <w:ind w:right="33"/>
              <w:jc w:val="both"/>
              <w:rPr>
                <w:b/>
                <w:i/>
              </w:rPr>
            </w:pPr>
            <w:r w:rsidRPr="00A73805">
              <w:rPr>
                <w:b/>
                <w:i/>
              </w:rPr>
              <w:t>For RH</w:t>
            </w:r>
            <w:r w:rsidR="007B1F16">
              <w:rPr>
                <w:b/>
                <w:i/>
              </w:rPr>
              <w:t xml:space="preserve"> </w:t>
            </w:r>
            <w:proofErr w:type="spellStart"/>
            <w:r w:rsidRPr="00A73805">
              <w:rPr>
                <w:b/>
                <w:i/>
              </w:rPr>
              <w:t>SoP</w:t>
            </w:r>
            <w:proofErr w:type="spellEnd"/>
            <w:r w:rsidRPr="00A73805">
              <w:t xml:space="preserve"> </w:t>
            </w:r>
            <w:r w:rsidRPr="00A73805">
              <w:rPr>
                <w:b/>
                <w:i/>
              </w:rPr>
              <w:t xml:space="preserve">(Instrument No. </w:t>
            </w:r>
            <w:r w:rsidR="00257785">
              <w:rPr>
                <w:b/>
                <w:i/>
              </w:rPr>
              <w:t>1</w:t>
            </w:r>
            <w:r w:rsidRPr="00A73805">
              <w:rPr>
                <w:b/>
                <w:i/>
              </w:rPr>
              <w:t>/</w:t>
            </w:r>
            <w:r w:rsidR="00046BC0">
              <w:rPr>
                <w:b/>
                <w:i/>
              </w:rPr>
              <w:t>201</w:t>
            </w:r>
            <w:r w:rsidR="00257785">
              <w:rPr>
                <w:b/>
                <w:i/>
              </w:rPr>
              <w:t>8</w:t>
            </w:r>
            <w:r w:rsidRPr="00A73805">
              <w:rPr>
                <w:b/>
                <w:i/>
              </w:rPr>
              <w:t>)</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adopting the latest revised Instrument format, which commenced in 2015;</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specifying a day of commencement for the Instrument in section 2;</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reference to 'ICD-10-AM code' in subsection 7(4);</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factor in subsection 9(1) concerning 'ionising radiation' by inclusion of a Note;</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 in subsection 9(2) concerning 'being overweight or obese', for clinical onset only;</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factors in subsections 9(3) &amp; 9(6) concerning 'being in the second or third trimester of pregnancy, or within the 30 days postpartum';</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factors in subsections 9(4) &amp; 9(7) concerning 'being treated with a drug';</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 in subsection 9(5) concerning 'hormone replacement therapy', for clinical onset only;</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definitions of 'being overweight or obese',</w:t>
            </w:r>
            <w:r w:rsidR="007629F4">
              <w:rPr>
                <w:sz w:val="20"/>
              </w:rPr>
              <w:t xml:space="preserve"> 'being treated with a drug as specified', </w:t>
            </w:r>
            <w:r w:rsidRPr="00257785">
              <w:rPr>
                <w:sz w:val="20"/>
              </w:rPr>
              <w:t>'BMI', 'hormone replacement therapy', 'MRCA' and 'VEA' in Schedule 1 - Dictionary; and</w:t>
            </w:r>
          </w:p>
          <w:p w:rsidR="00B23DE0" w:rsidRDefault="00257785" w:rsidP="00257785">
            <w:pPr>
              <w:numPr>
                <w:ilvl w:val="0"/>
                <w:numId w:val="6"/>
              </w:numPr>
              <w:tabs>
                <w:tab w:val="clear" w:pos="760"/>
                <w:tab w:val="num" w:pos="459"/>
                <w:tab w:val="left" w:pos="6753"/>
              </w:tabs>
              <w:spacing w:after="60"/>
              <w:ind w:left="459" w:right="34" w:hanging="459"/>
              <w:jc w:val="both"/>
              <w:rPr>
                <w:sz w:val="20"/>
              </w:rPr>
            </w:pPr>
            <w:proofErr w:type="gramStart"/>
            <w:r w:rsidRPr="00257785">
              <w:rPr>
                <w:sz w:val="20"/>
              </w:rPr>
              <w:t>revising</w:t>
            </w:r>
            <w:proofErr w:type="gramEnd"/>
            <w:r w:rsidRPr="00257785">
              <w:rPr>
                <w:sz w:val="20"/>
              </w:rPr>
              <w:t xml:space="preserve"> the definition of 'relevant service' in Schedule 1 - Dictionary.</w:t>
            </w:r>
          </w:p>
          <w:p w:rsidR="008624E3" w:rsidRDefault="004A1F8A" w:rsidP="008624E3">
            <w:pPr>
              <w:tabs>
                <w:tab w:val="left" w:pos="6753"/>
              </w:tabs>
              <w:spacing w:after="60"/>
              <w:ind w:right="34"/>
              <w:jc w:val="both"/>
              <w:rPr>
                <w:sz w:val="20"/>
              </w:rPr>
            </w:pPr>
            <w:r w:rsidRPr="004A1F8A">
              <w:rPr>
                <w:b/>
                <w:i/>
                <w:sz w:val="20"/>
              </w:rPr>
              <w:t xml:space="preserve">For </w:t>
            </w:r>
            <w:proofErr w:type="spellStart"/>
            <w:r>
              <w:rPr>
                <w:b/>
                <w:i/>
                <w:sz w:val="20"/>
              </w:rPr>
              <w:t>BoP</w:t>
            </w:r>
            <w:proofErr w:type="spellEnd"/>
            <w:r w:rsidRPr="004A1F8A">
              <w:rPr>
                <w:b/>
                <w:i/>
                <w:sz w:val="20"/>
              </w:rPr>
              <w:t xml:space="preserve"> </w:t>
            </w:r>
            <w:proofErr w:type="spellStart"/>
            <w:r w:rsidRPr="004A1F8A">
              <w:rPr>
                <w:b/>
                <w:i/>
                <w:sz w:val="20"/>
              </w:rPr>
              <w:t>SoP</w:t>
            </w:r>
            <w:proofErr w:type="spellEnd"/>
            <w:r w:rsidRPr="004A1F8A">
              <w:rPr>
                <w:b/>
                <w:i/>
                <w:sz w:val="20"/>
              </w:rPr>
              <w:t xml:space="preserve"> (Instrument No. </w:t>
            </w:r>
            <w:r w:rsidR="00257785">
              <w:rPr>
                <w:b/>
                <w:i/>
                <w:sz w:val="20"/>
              </w:rPr>
              <w:t>2</w:t>
            </w:r>
            <w:r w:rsidRPr="004A1F8A">
              <w:rPr>
                <w:b/>
                <w:i/>
                <w:sz w:val="20"/>
              </w:rPr>
              <w:t>/201</w:t>
            </w:r>
            <w:r w:rsidR="00257785">
              <w:rPr>
                <w:b/>
                <w:i/>
                <w:sz w:val="20"/>
              </w:rPr>
              <w:t>8</w:t>
            </w:r>
            <w:r w:rsidRPr="004A1F8A">
              <w:rPr>
                <w:b/>
                <w:i/>
                <w:sz w:val="20"/>
              </w:rPr>
              <w:t>)</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adopting the latest revised Instrument format, which commenced in 2015;</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specifying a day of commencement for the Instrument in section 2;</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revising the reference to 'ICD-10-AM code' in subsection 7(4);</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revising the factor in subsection 9(1) concerning 'ionising radiation' by inclusion of a Note;</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new factor in subsection 9(2) concerning 'being obese', for clinical onset only;</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new factors in subsections 9(3) &amp; 9(5) concerning 'being in the second or third trimester of pregnancy, or within the 30 days postpartum';</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 xml:space="preserve">new factors in subsections 9(4) &amp; 9(6) concerning 'being treated with </w:t>
            </w:r>
            <w:proofErr w:type="spellStart"/>
            <w:r w:rsidRPr="00257785">
              <w:rPr>
                <w:sz w:val="20"/>
              </w:rPr>
              <w:t>cyproterone</w:t>
            </w:r>
            <w:proofErr w:type="spellEnd"/>
            <w:r w:rsidRPr="00257785">
              <w:rPr>
                <w:sz w:val="20"/>
              </w:rPr>
              <w:t xml:space="preserve"> acetate';</w:t>
            </w:r>
          </w:p>
          <w:p w:rsidR="00257785" w:rsidRPr="00257785" w:rsidRDefault="00257785" w:rsidP="00257785">
            <w:pPr>
              <w:numPr>
                <w:ilvl w:val="0"/>
                <w:numId w:val="6"/>
              </w:numPr>
              <w:tabs>
                <w:tab w:val="clear" w:pos="760"/>
                <w:tab w:val="num" w:pos="459"/>
                <w:tab w:val="num" w:pos="1276"/>
                <w:tab w:val="left" w:pos="6753"/>
              </w:tabs>
              <w:ind w:left="459" w:right="34" w:hanging="425"/>
              <w:jc w:val="both"/>
              <w:rPr>
                <w:sz w:val="20"/>
              </w:rPr>
            </w:pPr>
            <w:r w:rsidRPr="00257785">
              <w:rPr>
                <w:sz w:val="20"/>
              </w:rPr>
              <w:t>new definitions of 'being obese', 'BMI', 'MRCA' and 'VEA' in Schedule 1 - Dictionary; and</w:t>
            </w:r>
          </w:p>
          <w:p w:rsidR="008624E3" w:rsidRPr="004A1F8A" w:rsidRDefault="00257785" w:rsidP="00257785">
            <w:pPr>
              <w:numPr>
                <w:ilvl w:val="0"/>
                <w:numId w:val="6"/>
              </w:numPr>
              <w:tabs>
                <w:tab w:val="clear" w:pos="760"/>
                <w:tab w:val="num" w:pos="459"/>
                <w:tab w:val="num" w:pos="1276"/>
                <w:tab w:val="left" w:pos="6753"/>
              </w:tabs>
              <w:spacing w:after="60"/>
              <w:ind w:left="459" w:right="34" w:hanging="425"/>
              <w:jc w:val="both"/>
              <w:rPr>
                <w:sz w:val="20"/>
              </w:rPr>
            </w:pPr>
            <w:proofErr w:type="gramStart"/>
            <w:r w:rsidRPr="00257785">
              <w:rPr>
                <w:sz w:val="20"/>
              </w:rPr>
              <w:t>revising</w:t>
            </w:r>
            <w:proofErr w:type="gramEnd"/>
            <w:r w:rsidRPr="00257785">
              <w:rPr>
                <w:sz w:val="20"/>
              </w:rPr>
              <w:t xml:space="preserve"> the definition of 'relevant service' in Schedule 1 - Dictionary.</w:t>
            </w:r>
          </w:p>
          <w:p w:rsidR="00A04271" w:rsidRPr="00A73805" w:rsidRDefault="00744EEC" w:rsidP="00860CEE">
            <w:pPr>
              <w:pStyle w:val="BodyText"/>
              <w:tabs>
                <w:tab w:val="left" w:pos="6753"/>
              </w:tabs>
              <w:spacing w:after="40"/>
              <w:ind w:left="34" w:right="34"/>
              <w:jc w:val="both"/>
              <w:rPr>
                <w:b/>
              </w:rPr>
            </w:pPr>
            <w:r w:rsidRPr="00A73805">
              <w:rPr>
                <w:b/>
              </w:rPr>
              <w:t>The determining of these Instruments finalises the investigation in relation to</w:t>
            </w:r>
            <w:r w:rsidR="00075AC6" w:rsidRPr="00A73805">
              <w:rPr>
                <w:b/>
              </w:rPr>
              <w:t xml:space="preserve"> </w:t>
            </w:r>
            <w:r w:rsidR="00257785" w:rsidRPr="00257785">
              <w:rPr>
                <w:b/>
                <w:i/>
              </w:rPr>
              <w:t>cerebral meningioma</w:t>
            </w:r>
            <w:r w:rsidR="008624E3" w:rsidRPr="008624E3">
              <w:rPr>
                <w:b/>
                <w:i/>
              </w:rPr>
              <w:t xml:space="preserve"> </w:t>
            </w:r>
            <w:r w:rsidRPr="00A73805">
              <w:rPr>
                <w:b/>
              </w:rPr>
              <w:t xml:space="preserve">as advertised in the Government Notices Gazette of </w:t>
            </w:r>
            <w:r w:rsidR="00257785" w:rsidRPr="00257785">
              <w:rPr>
                <w:b/>
              </w:rPr>
              <w:t>19 October 2016</w:t>
            </w:r>
            <w:r w:rsidRPr="00A73805">
              <w:rPr>
                <w:b/>
              </w:rPr>
              <w:t>.</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257785">
            <w:pPr>
              <w:rPr>
                <w:sz w:val="20"/>
              </w:rPr>
            </w:pPr>
            <w:r>
              <w:rPr>
                <w:sz w:val="20"/>
              </w:rPr>
              <w:t>3</w:t>
            </w:r>
            <w:r w:rsidR="00CC61F1">
              <w:rPr>
                <w:sz w:val="20"/>
              </w:rPr>
              <w:t xml:space="preserve"> &amp; </w:t>
            </w:r>
            <w:r>
              <w:rPr>
                <w:sz w:val="20"/>
              </w:rPr>
              <w:t>4</w:t>
            </w:r>
            <w:r w:rsidR="00744EEC" w:rsidRPr="00A73805">
              <w:rPr>
                <w:sz w:val="20"/>
              </w:rPr>
              <w:t>/</w:t>
            </w:r>
            <w:r w:rsidR="00046BC0">
              <w:rPr>
                <w:sz w:val="20"/>
              </w:rPr>
              <w:t>201</w:t>
            </w:r>
            <w:r>
              <w:rPr>
                <w:sz w:val="20"/>
              </w:rPr>
              <w:t>8</w:t>
            </w:r>
          </w:p>
          <w:p w:rsidR="00191676" w:rsidRPr="00A73805" w:rsidRDefault="00191676">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257785" w:rsidP="00D84F1F">
            <w:pPr>
              <w:rPr>
                <w:sz w:val="20"/>
              </w:rPr>
            </w:pPr>
            <w:r w:rsidRPr="00257785">
              <w:rPr>
                <w:sz w:val="19"/>
                <w:szCs w:val="19"/>
              </w:rPr>
              <w:t>malignant neoplasm of the cerebral meninges</w:t>
            </w:r>
          </w:p>
        </w:tc>
        <w:tc>
          <w:tcPr>
            <w:tcW w:w="7912" w:type="dxa"/>
            <w:tcBorders>
              <w:top w:val="single" w:sz="6" w:space="0" w:color="auto"/>
              <w:left w:val="single" w:sz="6" w:space="0" w:color="auto"/>
              <w:bottom w:val="single" w:sz="6" w:space="0" w:color="auto"/>
              <w:right w:val="single" w:sz="6" w:space="0" w:color="auto"/>
            </w:tcBorders>
          </w:tcPr>
          <w:p w:rsidR="00AD3DC3" w:rsidRPr="00A73805" w:rsidRDefault="00AD3DC3" w:rsidP="00AD3DC3">
            <w:pPr>
              <w:pStyle w:val="BodyText"/>
              <w:tabs>
                <w:tab w:val="left" w:pos="6753"/>
              </w:tabs>
              <w:spacing w:after="60"/>
              <w:ind w:right="33"/>
              <w:jc w:val="both"/>
            </w:pPr>
            <w:r w:rsidRPr="00A73805">
              <w:t xml:space="preserve">These Instruments result from an investigation notified by the Authority in the Government Notices Gazette of </w:t>
            </w:r>
            <w:r w:rsidR="004A1F8A" w:rsidRPr="004A1F8A">
              <w:t>19 October 2016</w:t>
            </w:r>
            <w:r w:rsidRPr="00A73805">
              <w:t xml:space="preserve"> concerning </w:t>
            </w:r>
            <w:r w:rsidR="00257785" w:rsidRPr="00257785">
              <w:rPr>
                <w:i/>
              </w:rPr>
              <w:t>malignant neoplasm of the cerebral meninges</w:t>
            </w:r>
            <w:r w:rsidR="004A1F8A"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D3DC3" w:rsidRPr="00A73805" w:rsidRDefault="00AD3DC3" w:rsidP="00AD3DC3">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AD3DC3" w:rsidRPr="00A73805" w:rsidRDefault="00AD3DC3" w:rsidP="004A1F8A">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257785">
              <w:rPr>
                <w:b/>
                <w:i/>
              </w:rPr>
              <w:t>3</w:t>
            </w:r>
            <w:r w:rsidRPr="00A73805">
              <w:rPr>
                <w:b/>
                <w:i/>
              </w:rPr>
              <w:t>/</w:t>
            </w:r>
            <w:r>
              <w:rPr>
                <w:b/>
                <w:i/>
              </w:rPr>
              <w:t>201</w:t>
            </w:r>
            <w:r w:rsidR="00257785">
              <w:rPr>
                <w:b/>
                <w:i/>
              </w:rPr>
              <w:t>8</w:t>
            </w:r>
            <w:r w:rsidRPr="00A73805">
              <w:rPr>
                <w:b/>
                <w:i/>
              </w:rPr>
              <w:t>)</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adopting the latest revised Instrument format, which commenced in 2015;</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specifying a day of commencement for the Instrument in section 2;</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definition of 'malignant neoplasm of the cerebral meninges' in subsection 7(2);</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reference to 'ICD-10-AM code' in subsection 7(4);</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factor in subsection 9(1) concerning 'ionising radiation' by inclusion of a Note;</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 in subsection 9(2) concerning 'being overweight or obese', for clinical onset only;</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factors in subsections 9(3) &amp; 9(6) concerning 'being in the second or third trimester of pregnancy, or within the 30 days postpartum';</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factors in subsections 9(4) &amp; 9(7) concerning 'being treated with a drug';</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factor in subsection 9(5) concerning 'hormone replacement therapy', for clinical onset only;</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definitions of 'being overweight or obese',</w:t>
            </w:r>
            <w:r w:rsidR="007629F4">
              <w:rPr>
                <w:sz w:val="20"/>
              </w:rPr>
              <w:t xml:space="preserve"> 'being treated with a drug as specified', </w:t>
            </w:r>
            <w:r w:rsidRPr="00257785">
              <w:rPr>
                <w:sz w:val="20"/>
              </w:rPr>
              <w:t>'BMI', 'hormone replacement therapy', 'MRCA' and 'VEA' in Schedule 1 - Dictionary; and</w:t>
            </w:r>
          </w:p>
          <w:p w:rsidR="00AD3DC3" w:rsidRPr="00AD3DC3" w:rsidRDefault="00257785" w:rsidP="00257785">
            <w:pPr>
              <w:numPr>
                <w:ilvl w:val="0"/>
                <w:numId w:val="6"/>
              </w:numPr>
              <w:tabs>
                <w:tab w:val="clear" w:pos="760"/>
                <w:tab w:val="num" w:pos="459"/>
                <w:tab w:val="left" w:pos="6753"/>
              </w:tabs>
              <w:spacing w:after="60"/>
              <w:ind w:left="459" w:right="34" w:hanging="459"/>
              <w:jc w:val="both"/>
              <w:rPr>
                <w:sz w:val="20"/>
              </w:rPr>
            </w:pPr>
            <w:proofErr w:type="gramStart"/>
            <w:r w:rsidRPr="00257785">
              <w:rPr>
                <w:sz w:val="20"/>
              </w:rPr>
              <w:lastRenderedPageBreak/>
              <w:t>revising</w:t>
            </w:r>
            <w:proofErr w:type="gramEnd"/>
            <w:r w:rsidRPr="00257785">
              <w:rPr>
                <w:sz w:val="20"/>
              </w:rPr>
              <w:t xml:space="preserve"> the definition of 'relevant service' in Schedule 1 - Dictionary.</w:t>
            </w:r>
          </w:p>
          <w:p w:rsidR="006F19D6" w:rsidRDefault="006F19D6" w:rsidP="00AD3DC3">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257785">
              <w:rPr>
                <w:b/>
                <w:i/>
              </w:rPr>
              <w:t>4</w:t>
            </w:r>
            <w:r w:rsidRPr="00A73805">
              <w:rPr>
                <w:b/>
                <w:i/>
              </w:rPr>
              <w:t>/</w:t>
            </w:r>
            <w:r>
              <w:rPr>
                <w:b/>
                <w:i/>
              </w:rPr>
              <w:t>201</w:t>
            </w:r>
            <w:r w:rsidR="00257785">
              <w:rPr>
                <w:b/>
                <w:i/>
              </w:rPr>
              <w:t>8</w:t>
            </w:r>
            <w:r w:rsidRPr="00A73805">
              <w:rPr>
                <w:b/>
                <w:i/>
              </w:rPr>
              <w:t>)</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adopting the latest revised Instrument format, which commenced in 2015;</w:t>
            </w:r>
          </w:p>
          <w:p w:rsidR="008A32D5" w:rsidRDefault="008A32D5" w:rsidP="00257785">
            <w:pPr>
              <w:numPr>
                <w:ilvl w:val="0"/>
                <w:numId w:val="2"/>
              </w:numPr>
              <w:tabs>
                <w:tab w:val="clear" w:pos="720"/>
                <w:tab w:val="num" w:pos="459"/>
              </w:tabs>
              <w:ind w:left="459" w:hanging="425"/>
              <w:jc w:val="both"/>
              <w:rPr>
                <w:sz w:val="20"/>
              </w:rPr>
            </w:pPr>
            <w:r w:rsidRPr="00257785">
              <w:rPr>
                <w:sz w:val="20"/>
              </w:rPr>
              <w:t>specifying a day of commencement for the Instrument in section 2;</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revising the definition of 'malignant neoplasm of the cerebral meninges' in subsection 7(2);</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revising the reference to 'ICD-10-AM code' in subsection 7(4);</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revising the factor in subsection 9(1) concerning 'ionising radiation' by inclusion of a Note;</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new factor in subsection 9(2) concerning 'being obese', for clinical onset only;</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new factors in subsections 9(3) &amp; 9(5) concerning 'being in the second or third trimester of pregnancy, or within the 30 days postpartum';</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 xml:space="preserve">new factors in subsections 9(4) &amp; 9(6) concerning 'being treated with </w:t>
            </w:r>
            <w:proofErr w:type="spellStart"/>
            <w:r w:rsidRPr="00257785">
              <w:rPr>
                <w:sz w:val="20"/>
              </w:rPr>
              <w:t>cyproterone</w:t>
            </w:r>
            <w:proofErr w:type="spellEnd"/>
            <w:r w:rsidRPr="00257785">
              <w:rPr>
                <w:sz w:val="20"/>
              </w:rPr>
              <w:t xml:space="preserve"> acetate';</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new definitions of 'being obese', 'BMI', 'MRCA' and 'VEA' in Schedule  1 - Dictionary; and</w:t>
            </w:r>
          </w:p>
          <w:p w:rsidR="006F19D6" w:rsidRPr="006F19D6" w:rsidRDefault="00257785" w:rsidP="00257785">
            <w:pPr>
              <w:numPr>
                <w:ilvl w:val="0"/>
                <w:numId w:val="2"/>
              </w:numPr>
              <w:tabs>
                <w:tab w:val="clear" w:pos="720"/>
                <w:tab w:val="num" w:pos="459"/>
              </w:tabs>
              <w:spacing w:after="120"/>
              <w:ind w:left="459" w:hanging="425"/>
              <w:jc w:val="both"/>
              <w:rPr>
                <w:sz w:val="20"/>
              </w:rPr>
            </w:pPr>
            <w:proofErr w:type="gramStart"/>
            <w:r w:rsidRPr="00257785">
              <w:rPr>
                <w:sz w:val="20"/>
              </w:rPr>
              <w:t>revising</w:t>
            </w:r>
            <w:proofErr w:type="gramEnd"/>
            <w:r w:rsidRPr="00257785">
              <w:rPr>
                <w:sz w:val="20"/>
              </w:rPr>
              <w:t xml:space="preserve"> the definition of 'relevant service' in Schedule 1 - Dictionary.</w:t>
            </w:r>
          </w:p>
          <w:p w:rsidR="00C560CF" w:rsidRPr="00A73805" w:rsidRDefault="00AD3DC3" w:rsidP="00257785">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257785" w:rsidRPr="00257785">
              <w:rPr>
                <w:b/>
                <w:i/>
              </w:rPr>
              <w:t>malignant neoplasm of the cerebral meninges</w:t>
            </w:r>
            <w:r w:rsidR="004A1F8A" w:rsidRPr="004A1F8A">
              <w:rPr>
                <w:b/>
                <w:i/>
              </w:rPr>
              <w:t xml:space="preserve"> </w:t>
            </w:r>
            <w:r w:rsidRPr="00A73805">
              <w:rPr>
                <w:b/>
              </w:rPr>
              <w:t xml:space="preserve">as advertised in the Government Notices Gazette of </w:t>
            </w:r>
            <w:r w:rsidR="001C027F" w:rsidRPr="001C027F">
              <w:rPr>
                <w:b/>
              </w:rPr>
              <w:t>19</w:t>
            </w:r>
            <w:r w:rsidR="00257785">
              <w:rPr>
                <w:b/>
              </w:rPr>
              <w:t> </w:t>
            </w:r>
            <w:r w:rsidR="001C027F" w:rsidRPr="001C027F">
              <w:rPr>
                <w:b/>
              </w:rPr>
              <w:t>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257785" w:rsidP="00257785">
            <w:pPr>
              <w:rPr>
                <w:sz w:val="20"/>
              </w:rPr>
            </w:pPr>
            <w:r>
              <w:rPr>
                <w:sz w:val="20"/>
              </w:rPr>
              <w:lastRenderedPageBreak/>
              <w:t>5</w:t>
            </w:r>
            <w:r w:rsidR="00DA4B2D" w:rsidRPr="00C513D2">
              <w:rPr>
                <w:sz w:val="20"/>
              </w:rPr>
              <w:t xml:space="preserve"> &amp; </w:t>
            </w:r>
            <w:r w:rsidR="00CB7C0C">
              <w:rPr>
                <w:sz w:val="20"/>
              </w:rPr>
              <w:t>6</w:t>
            </w:r>
            <w:r w:rsidR="00DA4B2D" w:rsidRPr="00C513D2">
              <w:rPr>
                <w:sz w:val="20"/>
              </w:rPr>
              <w:t>/201</w:t>
            </w:r>
            <w:r>
              <w:rPr>
                <w:sz w:val="20"/>
              </w:rPr>
              <w:t>8</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257785" w:rsidP="00860CEE">
            <w:pPr>
              <w:rPr>
                <w:sz w:val="20"/>
              </w:rPr>
            </w:pPr>
            <w:r w:rsidRPr="00257785">
              <w:rPr>
                <w:sz w:val="20"/>
              </w:rPr>
              <w:t>non-freezing cold injury</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257785" w:rsidRPr="00257785">
              <w:t>19 October 2016</w:t>
            </w:r>
            <w:r w:rsidRPr="00860CEE">
              <w:t xml:space="preserve"> </w:t>
            </w:r>
            <w:r w:rsidRPr="00A73805">
              <w:t xml:space="preserve">concerning </w:t>
            </w:r>
            <w:r w:rsidR="00257785" w:rsidRPr="00257785">
              <w:rPr>
                <w:i/>
              </w:rPr>
              <w:t xml:space="preserve">immersion foot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Pr>
                <w:b/>
                <w:i/>
              </w:rPr>
              <w:t xml:space="preserve">&amp; </w:t>
            </w:r>
            <w:proofErr w:type="spellStart"/>
            <w:r>
              <w:rPr>
                <w:b/>
                <w:i/>
              </w:rPr>
              <w:t>BoP</w:t>
            </w:r>
            <w:proofErr w:type="spellEnd"/>
            <w:r>
              <w:rPr>
                <w:b/>
                <w:i/>
              </w:rPr>
              <w:t xml:space="preserve"> </w:t>
            </w:r>
            <w:proofErr w:type="spellStart"/>
            <w:r w:rsidRPr="00A73805">
              <w:rPr>
                <w:b/>
                <w:i/>
              </w:rPr>
              <w:t>SoP</w:t>
            </w:r>
            <w:r>
              <w:rPr>
                <w:b/>
                <w:i/>
              </w:rPr>
              <w:t>s</w:t>
            </w:r>
            <w:proofErr w:type="spellEnd"/>
            <w:r w:rsidRPr="00A73805">
              <w:t xml:space="preserve"> </w:t>
            </w:r>
            <w:r w:rsidRPr="00A73805">
              <w:rPr>
                <w:b/>
                <w:i/>
              </w:rPr>
              <w:t>(Instrument No</w:t>
            </w:r>
            <w:r>
              <w:rPr>
                <w:b/>
                <w:i/>
              </w:rPr>
              <w:t>s</w:t>
            </w:r>
            <w:r w:rsidRPr="00A73805">
              <w:rPr>
                <w:b/>
                <w:i/>
              </w:rPr>
              <w:t xml:space="preserve">. </w:t>
            </w:r>
            <w:r w:rsidR="00852FE0">
              <w:rPr>
                <w:b/>
                <w:i/>
              </w:rPr>
              <w:t>5</w:t>
            </w:r>
            <w:r>
              <w:rPr>
                <w:b/>
                <w:i/>
              </w:rPr>
              <w:t xml:space="preserve"> &amp; 6</w:t>
            </w:r>
            <w:r w:rsidRPr="00A73805">
              <w:rPr>
                <w:b/>
                <w:i/>
              </w:rPr>
              <w:t>/</w:t>
            </w:r>
            <w:r>
              <w:rPr>
                <w:b/>
                <w:i/>
              </w:rPr>
              <w:t>201</w:t>
            </w:r>
            <w:r w:rsidR="00852FE0">
              <w:rPr>
                <w:b/>
                <w:i/>
              </w:rPr>
              <w:t>8</w:t>
            </w:r>
            <w:r w:rsidRPr="00A73805">
              <w:rPr>
                <w:b/>
                <w:i/>
              </w:rPr>
              <w:t>)</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adopting the latest revised Instrument format, which commenced in 2015;</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specifying a day of commencement for the Instrument in section 2;</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changing the title of the Instrument to 'non-freezing cold injury';</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definition of 'non-freezing cold injury' in subsection 7(2);</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revising the reference to 'ICD-10-AM code' in subsection 7(4);</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 xml:space="preserve">revising the factor in subsection 9(1) concerning 'exposing the affected </w:t>
            </w:r>
            <w:r w:rsidR="007629F4">
              <w:rPr>
                <w:sz w:val="20"/>
              </w:rPr>
              <w:t>limb</w:t>
            </w:r>
            <w:r w:rsidRPr="00257785">
              <w:rPr>
                <w:sz w:val="20"/>
              </w:rPr>
              <w:t xml:space="preserve"> to moisture and non-freezing temperatures below 21</w:t>
            </w:r>
            <w:r w:rsidR="007629F4">
              <w:rPr>
                <w:sz w:val="20"/>
              </w:rPr>
              <w:t xml:space="preserve"> degrees </w:t>
            </w:r>
            <w:r w:rsidRPr="00257785">
              <w:rPr>
                <w:sz w:val="20"/>
              </w:rPr>
              <w:t>Celsius';</w:t>
            </w:r>
          </w:p>
          <w:p w:rsidR="00257785" w:rsidRPr="00257785" w:rsidRDefault="00257785" w:rsidP="00257785">
            <w:pPr>
              <w:numPr>
                <w:ilvl w:val="0"/>
                <w:numId w:val="6"/>
              </w:numPr>
              <w:tabs>
                <w:tab w:val="clear" w:pos="760"/>
                <w:tab w:val="num" w:pos="459"/>
                <w:tab w:val="left" w:pos="6753"/>
              </w:tabs>
              <w:ind w:left="459" w:right="34" w:hanging="459"/>
              <w:jc w:val="both"/>
              <w:rPr>
                <w:sz w:val="20"/>
              </w:rPr>
            </w:pPr>
            <w:r w:rsidRPr="00257785">
              <w:rPr>
                <w:sz w:val="20"/>
              </w:rPr>
              <w:t>new definitions of 'MRCA' and 'VEA' in Schedule 1 - Dictionary; and</w:t>
            </w:r>
          </w:p>
          <w:p w:rsidR="006B2F25" w:rsidRDefault="00257785" w:rsidP="00257785">
            <w:pPr>
              <w:numPr>
                <w:ilvl w:val="0"/>
                <w:numId w:val="6"/>
              </w:numPr>
              <w:tabs>
                <w:tab w:val="clear" w:pos="760"/>
                <w:tab w:val="num" w:pos="459"/>
                <w:tab w:val="left" w:pos="6753"/>
              </w:tabs>
              <w:spacing w:after="60"/>
              <w:ind w:left="459" w:right="34" w:hanging="459"/>
              <w:jc w:val="both"/>
              <w:rPr>
                <w:sz w:val="20"/>
              </w:rPr>
            </w:pPr>
            <w:proofErr w:type="gramStart"/>
            <w:r w:rsidRPr="00257785">
              <w:rPr>
                <w:sz w:val="20"/>
              </w:rPr>
              <w:t>revising</w:t>
            </w:r>
            <w:proofErr w:type="gramEnd"/>
            <w:r w:rsidRPr="00257785">
              <w:rPr>
                <w:sz w:val="20"/>
              </w:rPr>
              <w:t xml:space="preserve"> the definition of 'relevant service' in Schedule 1 - Dictionary.</w:t>
            </w:r>
          </w:p>
          <w:p w:rsidR="00FF0656" w:rsidRPr="00694850" w:rsidRDefault="006B2F25" w:rsidP="00257785">
            <w:pPr>
              <w:pStyle w:val="BodyText"/>
              <w:spacing w:after="60"/>
              <w:ind w:right="272"/>
              <w:jc w:val="both"/>
              <w:rPr>
                <w:b/>
                <w:sz w:val="19"/>
                <w:szCs w:val="19"/>
              </w:rPr>
            </w:pPr>
            <w:r w:rsidRPr="00A73805">
              <w:rPr>
                <w:b/>
              </w:rPr>
              <w:t xml:space="preserve">The determining of these Instruments finalises the investigation in relation to </w:t>
            </w:r>
            <w:r w:rsidR="00257785" w:rsidRPr="00257785">
              <w:rPr>
                <w:b/>
                <w:i/>
              </w:rPr>
              <w:t>immersion foot</w:t>
            </w:r>
            <w:r w:rsidRPr="008624E3">
              <w:rPr>
                <w:b/>
                <w:i/>
              </w:rPr>
              <w:t xml:space="preserve"> </w:t>
            </w:r>
            <w:r w:rsidRPr="00A73805">
              <w:rPr>
                <w:b/>
              </w:rPr>
              <w:t xml:space="preserve">as advertised in the Government Notices Gazette of </w:t>
            </w:r>
            <w:r w:rsidR="00257785" w:rsidRPr="00257785">
              <w:rPr>
                <w:b/>
              </w:rPr>
              <w:t>19 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rPr>
                <w:sz w:val="20"/>
              </w:rPr>
            </w:pPr>
            <w:r>
              <w:rPr>
                <w:sz w:val="20"/>
              </w:rPr>
              <w:t>7 &amp; 8</w:t>
            </w:r>
            <w:r w:rsidRPr="00A73805">
              <w:rPr>
                <w:sz w:val="20"/>
              </w:rPr>
              <w:t>/</w:t>
            </w:r>
            <w:r>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852FE0" w:rsidP="00852FE0">
            <w:pPr>
              <w:rPr>
                <w:sz w:val="20"/>
              </w:rPr>
            </w:pPr>
            <w:r w:rsidRPr="00257785">
              <w:rPr>
                <w:sz w:val="19"/>
                <w:szCs w:val="19"/>
              </w:rPr>
              <w:t>m</w:t>
            </w:r>
            <w:r>
              <w:rPr>
                <w:sz w:val="19"/>
                <w:szCs w:val="19"/>
              </w:rPr>
              <w:t>igraine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Pr="00852FE0">
              <w:rPr>
                <w:i/>
              </w:rPr>
              <w:t xml:space="preserve">migraine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7</w:t>
            </w:r>
            <w:r w:rsidRPr="00A73805">
              <w:rPr>
                <w:b/>
                <w:i/>
              </w:rPr>
              <w:t>/</w:t>
            </w:r>
            <w:r>
              <w:rPr>
                <w:b/>
                <w:i/>
              </w:rPr>
              <w:t>2018</w:t>
            </w:r>
            <w:r w:rsidRPr="00A73805">
              <w:rPr>
                <w:b/>
                <w:i/>
              </w:rPr>
              <w:t>)</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adopting the latest revised Instrument format, which commenced in 2015;</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specifying a day of commencement for the Instrument in section 2;</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definition of 'migraine' in subsection 7(2);</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reference to 'ICD-10-AM code' in subsection 7(4);</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 xml:space="preserve">new factors in subsections 9(1) &amp; 9(3)concerning 'undergoing treatment with a nitric oxide donor'; </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factors in subsections 9(2) &amp; 9(4) concerning 'having severe and persistent asthma';</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 xml:space="preserve">new factor in subsection 9(5) concerning 'being obese'; </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deleting the factor concerning 'undergoing treatment with glyceryl trinitrate or isosorbide mononitrate', for clinical worsening, as it is now subsumed by the factor in subsection 9(3) concerning 'undergoing treatment with a nitric oxide donor';</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definitions of 'being obese', 'BMI', 'chronic migraine', 'clinical worsening of migraine', 'MRCA', 'nitric oxide donor', 'severe and persistent asthma' and 'VEA' in Schedule</w:t>
            </w:r>
            <w:r w:rsidR="008A32D5">
              <w:rPr>
                <w:sz w:val="20"/>
              </w:rPr>
              <w:t> </w:t>
            </w:r>
            <w:r w:rsidRPr="00852FE0">
              <w:rPr>
                <w:sz w:val="20"/>
              </w:rPr>
              <w:t>1</w:t>
            </w:r>
            <w:r w:rsidR="008A32D5">
              <w:rPr>
                <w:sz w:val="20"/>
              </w:rPr>
              <w:t> </w:t>
            </w:r>
            <w:r w:rsidRPr="00852FE0">
              <w:rPr>
                <w:sz w:val="20"/>
              </w:rPr>
              <w:t>-</w:t>
            </w:r>
            <w:r w:rsidR="008A32D5">
              <w:rPr>
                <w:sz w:val="20"/>
              </w:rPr>
              <w:t> </w:t>
            </w:r>
            <w:r w:rsidRPr="00852FE0">
              <w:rPr>
                <w:sz w:val="20"/>
              </w:rPr>
              <w:t>Dictionary; and</w:t>
            </w:r>
          </w:p>
          <w:p w:rsidR="00852FE0" w:rsidRPr="00AD3DC3" w:rsidRDefault="00852FE0" w:rsidP="00852FE0">
            <w:pPr>
              <w:numPr>
                <w:ilvl w:val="0"/>
                <w:numId w:val="6"/>
              </w:numPr>
              <w:tabs>
                <w:tab w:val="clear" w:pos="760"/>
                <w:tab w:val="num" w:pos="459"/>
                <w:tab w:val="left" w:pos="6753"/>
              </w:tabs>
              <w:spacing w:after="60"/>
              <w:ind w:left="459" w:right="34" w:hanging="459"/>
              <w:jc w:val="both"/>
              <w:rPr>
                <w:sz w:val="20"/>
              </w:rPr>
            </w:pPr>
            <w:proofErr w:type="gramStart"/>
            <w:r w:rsidRPr="00852FE0">
              <w:rPr>
                <w:sz w:val="20"/>
              </w:rPr>
              <w:lastRenderedPageBreak/>
              <w:t>revising</w:t>
            </w:r>
            <w:proofErr w:type="gramEnd"/>
            <w:r w:rsidRPr="00852FE0">
              <w:rPr>
                <w:sz w:val="20"/>
              </w:rPr>
              <w:t xml:space="preserve"> the definition of 'relevant service' in Schedule 1 – Dictionary.</w:t>
            </w:r>
          </w:p>
          <w:p w:rsidR="00852FE0" w:rsidRDefault="00852FE0" w:rsidP="00852FE0">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8</w:t>
            </w:r>
            <w:r w:rsidRPr="00A73805">
              <w:rPr>
                <w:b/>
                <w:i/>
              </w:rPr>
              <w:t>/</w:t>
            </w:r>
            <w:r>
              <w:rPr>
                <w:b/>
                <w:i/>
              </w:rPr>
              <w:t>2018</w:t>
            </w:r>
            <w:r w:rsidRPr="00A73805">
              <w:rPr>
                <w:b/>
                <w:i/>
              </w:rPr>
              <w:t>)</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adopting the latest revised Instrument format, which commenced in 2015;</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specifying a day of commencement for the Instrument in section 2;</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definition of 'migraine' in subsection 7(2);</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reference to 'ICD-10-AM code' in subsection 7(4);</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 xml:space="preserve">new factors in subsections 9(1) &amp; 9(2)concerning 'undergoing treatment with a nitric oxide donor'; </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 xml:space="preserve">new factor in subsection 9(3) concerning 'being obese'; </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deleting the factor concerning 'undergoing treatment with glyceryl trinitrate or isosorbide mononitrate', for clinical worsening, as it is now subsumed by the factor in subsection 9(2) concerning 'undergoing treatment with a nitric oxide donor';</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new definitions of 'being obese', 'BMI', 'chronic migraine', 'clinical worsening of migraine', 'MRCA', 'nitric oxide donor' and 'VEA' in Schedule</w:t>
            </w:r>
            <w:r w:rsidR="008A32D5">
              <w:rPr>
                <w:sz w:val="20"/>
              </w:rPr>
              <w:t xml:space="preserve"> </w:t>
            </w:r>
            <w:r w:rsidRPr="00852FE0">
              <w:rPr>
                <w:sz w:val="20"/>
              </w:rPr>
              <w:t>1 - Dictionary; and</w:t>
            </w:r>
          </w:p>
          <w:p w:rsidR="00852FE0" w:rsidRPr="006F19D6" w:rsidRDefault="00852FE0" w:rsidP="00852FE0">
            <w:pPr>
              <w:numPr>
                <w:ilvl w:val="0"/>
                <w:numId w:val="2"/>
              </w:numPr>
              <w:tabs>
                <w:tab w:val="clear" w:pos="720"/>
                <w:tab w:val="num" w:pos="459"/>
              </w:tabs>
              <w:spacing w:after="120"/>
              <w:ind w:left="459" w:hanging="425"/>
              <w:jc w:val="both"/>
              <w:rPr>
                <w:sz w:val="20"/>
              </w:rPr>
            </w:pPr>
            <w:proofErr w:type="gramStart"/>
            <w:r w:rsidRPr="00852FE0">
              <w:rPr>
                <w:sz w:val="20"/>
              </w:rPr>
              <w:t>revising</w:t>
            </w:r>
            <w:proofErr w:type="gramEnd"/>
            <w:r w:rsidRPr="00852FE0">
              <w:rPr>
                <w:sz w:val="20"/>
              </w:rPr>
              <w:t xml:space="preserve"> the definition of 'relevant service' in Schedule 1 – Dictionary.</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Pr="00852FE0">
              <w:rPr>
                <w:b/>
                <w:i/>
              </w:rPr>
              <w:t>migraine</w:t>
            </w:r>
            <w:r w:rsidRPr="004A1F8A">
              <w:rPr>
                <w:b/>
                <w:i/>
              </w:rPr>
              <w:t xml:space="preserve">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rPr>
                <w:sz w:val="20"/>
              </w:rPr>
            </w:pPr>
            <w:r>
              <w:rPr>
                <w:sz w:val="20"/>
              </w:rPr>
              <w:lastRenderedPageBreak/>
              <w:t>9 &amp; 10</w:t>
            </w:r>
            <w:r w:rsidRPr="00A73805">
              <w:rPr>
                <w:sz w:val="20"/>
              </w:rPr>
              <w:t>/</w:t>
            </w:r>
            <w:r>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852FE0" w:rsidP="00852FE0">
            <w:pPr>
              <w:rPr>
                <w:sz w:val="20"/>
              </w:rPr>
            </w:pPr>
            <w:r w:rsidRPr="00852FE0">
              <w:rPr>
                <w:sz w:val="20"/>
              </w:rPr>
              <w:t>malignant neoplasm of the ovary</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Pr="00257785">
              <w:rPr>
                <w:i/>
              </w:rPr>
              <w:t xml:space="preserve">malignant neoplasm of the </w:t>
            </w:r>
            <w:r>
              <w:rPr>
                <w:i/>
              </w:rPr>
              <w:t>ovary</w:t>
            </w:r>
            <w:r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9</w:t>
            </w:r>
            <w:r w:rsidRPr="00A73805">
              <w:rPr>
                <w:b/>
                <w:i/>
              </w:rPr>
              <w:t>/</w:t>
            </w:r>
            <w:r>
              <w:rPr>
                <w:b/>
                <w:i/>
              </w:rPr>
              <w:t>2018</w:t>
            </w:r>
            <w:r w:rsidRPr="00A73805">
              <w:rPr>
                <w:b/>
                <w:i/>
              </w:rPr>
              <w:t>)</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adopting the latest revised Instrument format, which commenced in 2015;</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specifying a day of commencement for the Instrument in section 2;</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definition of 'malignant neoplasm of the ovary' in subsection 7(2);</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reference to 'ICD-10-AM code' in subsection 7(4);</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factor in subsection 9(3) concerning 'being obese';</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factor in subsection 9(4) concerning 'inhaling respirable asbestos fibres in an enclosed space';</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factor in subsection 9(5) concerning 'inhaling respirable asbestos fibres in an open environment';</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factor in subsection 9(6) concerning '</w:t>
            </w:r>
            <w:r w:rsidR="007629F4">
              <w:rPr>
                <w:sz w:val="20"/>
              </w:rPr>
              <w:t xml:space="preserve">an inability to </w:t>
            </w:r>
            <w:r w:rsidRPr="00852FE0">
              <w:rPr>
                <w:sz w:val="20"/>
              </w:rPr>
              <w:t>breast feed', for parous women only;</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factor in subsection 9(7) concerning 'an inability to undertake any physical activity';</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factor in subsection 9(8) concerning 'an inability to consume an average of at least 150 grams per day of vegetables';</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factor in subsection 9(10)(a) concerning 'being nulliparous', by inclusion of a Note, for epithelial ovarian cancer only;</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revising the factor in subsection 9(11) concerning 'smoking', for mucinous ovarian tumours only;</w:t>
            </w:r>
          </w:p>
          <w:p w:rsidR="00852FE0" w:rsidRPr="00852FE0" w:rsidRDefault="00852FE0" w:rsidP="00852FE0">
            <w:pPr>
              <w:numPr>
                <w:ilvl w:val="0"/>
                <w:numId w:val="6"/>
              </w:numPr>
              <w:tabs>
                <w:tab w:val="clear" w:pos="760"/>
                <w:tab w:val="num" w:pos="459"/>
                <w:tab w:val="left" w:pos="6753"/>
              </w:tabs>
              <w:ind w:left="459" w:right="34" w:hanging="459"/>
              <w:jc w:val="both"/>
              <w:rPr>
                <w:sz w:val="20"/>
              </w:rPr>
            </w:pPr>
            <w:r w:rsidRPr="00852FE0">
              <w:rPr>
                <w:sz w:val="20"/>
              </w:rPr>
              <w:t>new definitions of 'BMI', 'MRCA' and 'VEA' in Schedule 1 - Dictionary; and</w:t>
            </w:r>
          </w:p>
          <w:p w:rsidR="00852FE0" w:rsidRPr="00AD3DC3" w:rsidRDefault="00852FE0" w:rsidP="00852FE0">
            <w:pPr>
              <w:numPr>
                <w:ilvl w:val="0"/>
                <w:numId w:val="6"/>
              </w:numPr>
              <w:tabs>
                <w:tab w:val="clear" w:pos="760"/>
                <w:tab w:val="num" w:pos="459"/>
                <w:tab w:val="left" w:pos="6753"/>
              </w:tabs>
              <w:spacing w:after="60"/>
              <w:ind w:left="459" w:right="34" w:hanging="459"/>
              <w:jc w:val="both"/>
              <w:rPr>
                <w:sz w:val="20"/>
              </w:rPr>
            </w:pPr>
            <w:proofErr w:type="gramStart"/>
            <w:r w:rsidRPr="00852FE0">
              <w:rPr>
                <w:sz w:val="20"/>
              </w:rPr>
              <w:t>revising</w:t>
            </w:r>
            <w:proofErr w:type="gramEnd"/>
            <w:r w:rsidRPr="00852FE0">
              <w:rPr>
                <w:sz w:val="20"/>
              </w:rPr>
              <w:t xml:space="preserve"> the definitions of 'being obese', 'hormone replacement therapy', 'pack-years of cigarettes, or the equivalent thereof in other tobacco products' and 'relevant service' in Schedule 1 - Dictionary.</w:t>
            </w:r>
          </w:p>
          <w:p w:rsidR="00852FE0" w:rsidRDefault="00852FE0" w:rsidP="00852FE0">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10</w:t>
            </w:r>
            <w:r w:rsidRPr="00A73805">
              <w:rPr>
                <w:b/>
                <w:i/>
              </w:rPr>
              <w:t>/</w:t>
            </w:r>
            <w:r>
              <w:rPr>
                <w:b/>
                <w:i/>
              </w:rPr>
              <w:t>2018</w:t>
            </w:r>
            <w:r w:rsidRPr="00A73805">
              <w:rPr>
                <w:b/>
                <w:i/>
              </w:rPr>
              <w:t>)</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adopting the latest revised Instrument format, which commenced in 2015;</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specifying a day of commencement for the Instrument in section 2;</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definition of 'malignant neoplasm of the ovary' in subsection 7(2);</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reference to 'ICD-10-AM code' in subsection 7(4);</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new factor in subsection 9(3) concerning 'being obese';</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new factor in subsection 9(4) concerning 'inhaling respirable asbestos fibres in an enclosed space';</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new factor in subsection 9(5) concerning 'inhaling respirable asbestos fibres in an open environment';</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lastRenderedPageBreak/>
              <w:t>new factor in subsection 9(6) concerning '</w:t>
            </w:r>
            <w:r w:rsidR="007629F4">
              <w:rPr>
                <w:sz w:val="20"/>
              </w:rPr>
              <w:t xml:space="preserve">an inability to </w:t>
            </w:r>
            <w:r w:rsidRPr="00852FE0">
              <w:rPr>
                <w:sz w:val="20"/>
              </w:rPr>
              <w:t>breast', for parous women only;</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factor in subsection 9(7)(a) concerning 'being nulliparous', by inclusion of a Note, for epithelial ovarian cancer only;</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revising the factor in subsection 9(8) concerning 'smoking', for mucinous ovarian tumours only;</w:t>
            </w:r>
          </w:p>
          <w:p w:rsidR="00852FE0" w:rsidRPr="00852FE0" w:rsidRDefault="00852FE0" w:rsidP="00852FE0">
            <w:pPr>
              <w:numPr>
                <w:ilvl w:val="0"/>
                <w:numId w:val="2"/>
              </w:numPr>
              <w:tabs>
                <w:tab w:val="clear" w:pos="720"/>
                <w:tab w:val="num" w:pos="459"/>
              </w:tabs>
              <w:ind w:left="459" w:hanging="425"/>
              <w:jc w:val="both"/>
              <w:rPr>
                <w:sz w:val="20"/>
              </w:rPr>
            </w:pPr>
            <w:r w:rsidRPr="00852FE0">
              <w:rPr>
                <w:sz w:val="20"/>
              </w:rPr>
              <w:t>new definitions of 'being obese', 'BMI', 'MRCA' and 'VEA' in Schedule 1 - Dictionary; and</w:t>
            </w:r>
          </w:p>
          <w:p w:rsidR="00852FE0" w:rsidRPr="006F19D6" w:rsidRDefault="00852FE0" w:rsidP="00852FE0">
            <w:pPr>
              <w:numPr>
                <w:ilvl w:val="0"/>
                <w:numId w:val="2"/>
              </w:numPr>
              <w:tabs>
                <w:tab w:val="clear" w:pos="720"/>
                <w:tab w:val="num" w:pos="459"/>
              </w:tabs>
              <w:spacing w:after="120"/>
              <w:ind w:left="459" w:hanging="425"/>
              <w:jc w:val="both"/>
              <w:rPr>
                <w:sz w:val="20"/>
              </w:rPr>
            </w:pPr>
            <w:proofErr w:type="gramStart"/>
            <w:r w:rsidRPr="00852FE0">
              <w:rPr>
                <w:sz w:val="20"/>
              </w:rPr>
              <w:t>revising</w:t>
            </w:r>
            <w:proofErr w:type="gramEnd"/>
            <w:r w:rsidRPr="00852FE0">
              <w:rPr>
                <w:sz w:val="20"/>
              </w:rPr>
              <w:t xml:space="preserve"> the definitions of 'hormone replacement therapy', 'pack-years of cigarettes, or the equivalent thereof in other tobacco products' and 'relevant service' in Schedule</w:t>
            </w:r>
            <w:r>
              <w:rPr>
                <w:sz w:val="20"/>
              </w:rPr>
              <w:t> </w:t>
            </w:r>
            <w:r w:rsidRPr="00852FE0">
              <w:rPr>
                <w:sz w:val="20"/>
              </w:rPr>
              <w:t>1</w:t>
            </w:r>
            <w:r>
              <w:rPr>
                <w:sz w:val="20"/>
              </w:rPr>
              <w:t> </w:t>
            </w:r>
            <w:r w:rsidRPr="00852FE0">
              <w:rPr>
                <w:sz w:val="20"/>
              </w:rPr>
              <w:t>-</w:t>
            </w:r>
            <w:r>
              <w:rPr>
                <w:sz w:val="20"/>
              </w:rPr>
              <w:t> </w:t>
            </w:r>
            <w:r w:rsidRPr="00852FE0">
              <w:rPr>
                <w:sz w:val="20"/>
              </w:rPr>
              <w:t>Dictionary.</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Pr="00257785">
              <w:rPr>
                <w:b/>
                <w:i/>
              </w:rPr>
              <w:t xml:space="preserve">malignant neoplasm of the </w:t>
            </w:r>
            <w:r>
              <w:rPr>
                <w:b/>
                <w:i/>
              </w:rPr>
              <w:t>ovary</w:t>
            </w:r>
            <w:r w:rsidRPr="004A1F8A">
              <w:rPr>
                <w:b/>
                <w:i/>
              </w:rPr>
              <w:t xml:space="preserve">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rPr>
                <w:sz w:val="20"/>
              </w:rPr>
            </w:pPr>
            <w:r>
              <w:rPr>
                <w:sz w:val="20"/>
              </w:rPr>
              <w:lastRenderedPageBreak/>
              <w:t>11 &amp; 12</w:t>
            </w:r>
            <w:r w:rsidRPr="00A73805">
              <w:rPr>
                <w:sz w:val="20"/>
              </w:rPr>
              <w:t>/</w:t>
            </w:r>
            <w:r>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852FE0" w:rsidP="00852FE0">
            <w:pPr>
              <w:rPr>
                <w:sz w:val="20"/>
              </w:rPr>
            </w:pPr>
            <w:r w:rsidRPr="00852FE0">
              <w:rPr>
                <w:sz w:val="19"/>
                <w:szCs w:val="19"/>
              </w:rPr>
              <w:t>frostbite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Pr="00852FE0">
              <w:rPr>
                <w:i/>
              </w:rPr>
              <w:t>frostbite</w:t>
            </w:r>
            <w:r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11</w:t>
            </w:r>
            <w:r w:rsidRPr="00A73805">
              <w:rPr>
                <w:b/>
                <w:i/>
              </w:rPr>
              <w:t>/</w:t>
            </w:r>
            <w:r>
              <w:rPr>
                <w:b/>
                <w:i/>
              </w:rPr>
              <w:t>2018</w:t>
            </w:r>
            <w:r w:rsidRPr="00A73805">
              <w:rPr>
                <w:b/>
                <w:i/>
              </w:rPr>
              <w:t>)</w:t>
            </w:r>
          </w:p>
          <w:p w:rsidR="00852FE0" w:rsidRPr="00852FE0" w:rsidRDefault="00852FE0" w:rsidP="00852FE0">
            <w:pPr>
              <w:numPr>
                <w:ilvl w:val="0"/>
                <w:numId w:val="6"/>
              </w:numPr>
              <w:tabs>
                <w:tab w:val="clear" w:pos="760"/>
                <w:tab w:val="num" w:pos="459"/>
                <w:tab w:val="left" w:pos="6753"/>
              </w:tabs>
              <w:ind w:left="459" w:right="34" w:hanging="425"/>
              <w:jc w:val="both"/>
              <w:rPr>
                <w:sz w:val="20"/>
              </w:rPr>
            </w:pPr>
            <w:r w:rsidRPr="00852FE0">
              <w:rPr>
                <w:sz w:val="20"/>
              </w:rPr>
              <w:t>adopting the latest revised Instrument format, which commenced in 2015;</w:t>
            </w:r>
          </w:p>
          <w:p w:rsidR="00852FE0" w:rsidRPr="00852FE0" w:rsidRDefault="00852FE0" w:rsidP="00852FE0">
            <w:pPr>
              <w:numPr>
                <w:ilvl w:val="0"/>
                <w:numId w:val="6"/>
              </w:numPr>
              <w:tabs>
                <w:tab w:val="clear" w:pos="760"/>
                <w:tab w:val="num" w:pos="459"/>
                <w:tab w:val="left" w:pos="6753"/>
              </w:tabs>
              <w:ind w:left="459" w:right="34" w:hanging="425"/>
              <w:jc w:val="both"/>
              <w:rPr>
                <w:sz w:val="20"/>
              </w:rPr>
            </w:pPr>
            <w:r w:rsidRPr="00852FE0">
              <w:rPr>
                <w:sz w:val="20"/>
              </w:rPr>
              <w:t>specifying a day of commencement for the Instrument in section 2;</w:t>
            </w:r>
          </w:p>
          <w:p w:rsidR="00852FE0" w:rsidRPr="00852FE0" w:rsidRDefault="00852FE0" w:rsidP="00852FE0">
            <w:pPr>
              <w:numPr>
                <w:ilvl w:val="0"/>
                <w:numId w:val="6"/>
              </w:numPr>
              <w:tabs>
                <w:tab w:val="clear" w:pos="760"/>
                <w:tab w:val="num" w:pos="459"/>
                <w:tab w:val="left" w:pos="6753"/>
              </w:tabs>
              <w:ind w:left="459" w:right="34" w:hanging="425"/>
              <w:jc w:val="both"/>
              <w:rPr>
                <w:sz w:val="20"/>
              </w:rPr>
            </w:pPr>
            <w:r w:rsidRPr="00852FE0">
              <w:rPr>
                <w:sz w:val="20"/>
              </w:rPr>
              <w:t>revising the definition of 'frostbite' in subsection 7(2);</w:t>
            </w:r>
          </w:p>
          <w:p w:rsidR="00852FE0" w:rsidRPr="00852FE0" w:rsidRDefault="00852FE0" w:rsidP="00852FE0">
            <w:pPr>
              <w:numPr>
                <w:ilvl w:val="0"/>
                <w:numId w:val="6"/>
              </w:numPr>
              <w:tabs>
                <w:tab w:val="clear" w:pos="760"/>
                <w:tab w:val="num" w:pos="459"/>
                <w:tab w:val="left" w:pos="6753"/>
              </w:tabs>
              <w:ind w:left="459" w:right="34" w:hanging="425"/>
              <w:jc w:val="both"/>
              <w:rPr>
                <w:sz w:val="20"/>
              </w:rPr>
            </w:pPr>
            <w:r w:rsidRPr="00852FE0">
              <w:rPr>
                <w:sz w:val="20"/>
              </w:rPr>
              <w:t>revising the reference to 'ICD-10-AM code' in subsection 7(4);</w:t>
            </w:r>
          </w:p>
          <w:p w:rsidR="00852FE0" w:rsidRPr="00852FE0" w:rsidRDefault="00852FE0" w:rsidP="00852FE0">
            <w:pPr>
              <w:numPr>
                <w:ilvl w:val="0"/>
                <w:numId w:val="6"/>
              </w:numPr>
              <w:tabs>
                <w:tab w:val="clear" w:pos="760"/>
                <w:tab w:val="num" w:pos="459"/>
                <w:tab w:val="left" w:pos="6753"/>
              </w:tabs>
              <w:ind w:left="459" w:right="34" w:hanging="425"/>
              <w:jc w:val="both"/>
              <w:rPr>
                <w:sz w:val="20"/>
              </w:rPr>
            </w:pPr>
            <w:r w:rsidRPr="00852FE0">
              <w:rPr>
                <w:sz w:val="20"/>
              </w:rPr>
              <w:t>new definitions of 'MRCA' and 'VEA' in Schedule 1 - Dictionary; and</w:t>
            </w:r>
          </w:p>
          <w:p w:rsidR="00852FE0" w:rsidRPr="00AD3DC3" w:rsidRDefault="00852FE0" w:rsidP="00852FE0">
            <w:pPr>
              <w:numPr>
                <w:ilvl w:val="0"/>
                <w:numId w:val="6"/>
              </w:numPr>
              <w:tabs>
                <w:tab w:val="clear" w:pos="760"/>
                <w:tab w:val="num" w:pos="459"/>
                <w:tab w:val="left" w:pos="6753"/>
              </w:tabs>
              <w:spacing w:after="60"/>
              <w:ind w:left="459" w:right="34" w:hanging="425"/>
              <w:jc w:val="both"/>
              <w:rPr>
                <w:sz w:val="20"/>
              </w:rPr>
            </w:pPr>
            <w:proofErr w:type="gramStart"/>
            <w:r w:rsidRPr="00852FE0">
              <w:rPr>
                <w:sz w:val="20"/>
              </w:rPr>
              <w:t>revising</w:t>
            </w:r>
            <w:proofErr w:type="gramEnd"/>
            <w:r w:rsidRPr="00852FE0">
              <w:rPr>
                <w:sz w:val="20"/>
              </w:rPr>
              <w:t xml:space="preserve"> the definition of 'relevant service' in Schedule 1 - Dictionary.</w:t>
            </w:r>
          </w:p>
          <w:p w:rsidR="00852FE0" w:rsidRDefault="00852FE0" w:rsidP="00852FE0">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12</w:t>
            </w:r>
            <w:r w:rsidRPr="00A73805">
              <w:rPr>
                <w:b/>
                <w:i/>
              </w:rPr>
              <w:t>/</w:t>
            </w:r>
            <w:r>
              <w:rPr>
                <w:b/>
                <w:i/>
              </w:rPr>
              <w:t>2018</w:t>
            </w:r>
            <w:r w:rsidRPr="00A73805">
              <w:rPr>
                <w:b/>
                <w:i/>
              </w:rPr>
              <w:t>)</w:t>
            </w:r>
          </w:p>
          <w:p w:rsidR="0058666E" w:rsidRPr="0058666E" w:rsidRDefault="0058666E" w:rsidP="0058666E">
            <w:pPr>
              <w:numPr>
                <w:ilvl w:val="0"/>
                <w:numId w:val="2"/>
              </w:numPr>
              <w:tabs>
                <w:tab w:val="clear" w:pos="720"/>
              </w:tabs>
              <w:ind w:left="459" w:hanging="459"/>
              <w:jc w:val="both"/>
              <w:rPr>
                <w:sz w:val="20"/>
              </w:rPr>
            </w:pPr>
            <w:r w:rsidRPr="0058666E">
              <w:rPr>
                <w:sz w:val="20"/>
              </w:rPr>
              <w:t>adopting the latest revised Instrument format, which commenced in 2015;</w:t>
            </w:r>
          </w:p>
          <w:p w:rsidR="0058666E" w:rsidRPr="0058666E" w:rsidRDefault="0058666E" w:rsidP="0058666E">
            <w:pPr>
              <w:numPr>
                <w:ilvl w:val="0"/>
                <w:numId w:val="2"/>
              </w:numPr>
              <w:tabs>
                <w:tab w:val="clear" w:pos="720"/>
              </w:tabs>
              <w:ind w:left="459" w:hanging="459"/>
              <w:jc w:val="both"/>
              <w:rPr>
                <w:sz w:val="20"/>
              </w:rPr>
            </w:pPr>
            <w:r w:rsidRPr="0058666E">
              <w:rPr>
                <w:sz w:val="20"/>
              </w:rPr>
              <w:t>specifying a day of commencement for the Instrument in section 2;</w:t>
            </w:r>
          </w:p>
          <w:p w:rsidR="0058666E" w:rsidRPr="0058666E" w:rsidRDefault="0058666E" w:rsidP="0058666E">
            <w:pPr>
              <w:numPr>
                <w:ilvl w:val="0"/>
                <w:numId w:val="2"/>
              </w:numPr>
              <w:tabs>
                <w:tab w:val="clear" w:pos="720"/>
              </w:tabs>
              <w:ind w:left="459" w:hanging="459"/>
              <w:jc w:val="both"/>
              <w:rPr>
                <w:sz w:val="20"/>
              </w:rPr>
            </w:pPr>
            <w:r w:rsidRPr="0058666E">
              <w:rPr>
                <w:sz w:val="20"/>
              </w:rPr>
              <w:t>revising the definition of 'frostbite' in subsection 7(2);</w:t>
            </w:r>
          </w:p>
          <w:p w:rsidR="0058666E" w:rsidRPr="0058666E" w:rsidRDefault="0058666E" w:rsidP="0058666E">
            <w:pPr>
              <w:numPr>
                <w:ilvl w:val="0"/>
                <w:numId w:val="2"/>
              </w:numPr>
              <w:tabs>
                <w:tab w:val="clear" w:pos="720"/>
              </w:tabs>
              <w:ind w:left="459" w:hanging="459"/>
              <w:jc w:val="both"/>
              <w:rPr>
                <w:sz w:val="20"/>
              </w:rPr>
            </w:pPr>
            <w:r w:rsidRPr="0058666E">
              <w:rPr>
                <w:sz w:val="20"/>
              </w:rPr>
              <w:t>revising the reference to 'ICD-10-AM code' in subsection 7(4);</w:t>
            </w:r>
          </w:p>
          <w:p w:rsidR="0058666E" w:rsidRPr="0058666E" w:rsidRDefault="0058666E" w:rsidP="0058666E">
            <w:pPr>
              <w:numPr>
                <w:ilvl w:val="0"/>
                <w:numId w:val="2"/>
              </w:numPr>
              <w:tabs>
                <w:tab w:val="clear" w:pos="720"/>
              </w:tabs>
              <w:ind w:left="459" w:hanging="459"/>
              <w:jc w:val="both"/>
              <w:rPr>
                <w:sz w:val="20"/>
              </w:rPr>
            </w:pPr>
            <w:r w:rsidRPr="0058666E">
              <w:rPr>
                <w:sz w:val="20"/>
              </w:rPr>
              <w:t>revising the factor in subsection 9(1) concerning 'exposing the affected part of the body to freezing temperatures';</w:t>
            </w:r>
          </w:p>
          <w:p w:rsidR="0058666E" w:rsidRPr="0058666E" w:rsidRDefault="0058666E" w:rsidP="0058666E">
            <w:pPr>
              <w:numPr>
                <w:ilvl w:val="0"/>
                <w:numId w:val="2"/>
              </w:numPr>
              <w:tabs>
                <w:tab w:val="clear" w:pos="720"/>
              </w:tabs>
              <w:ind w:left="459" w:hanging="459"/>
              <w:jc w:val="both"/>
              <w:rPr>
                <w:sz w:val="20"/>
              </w:rPr>
            </w:pPr>
            <w:r w:rsidRPr="0058666E">
              <w:rPr>
                <w:sz w:val="20"/>
              </w:rPr>
              <w:t>new definitions of 'MRCA' and 'VEA' in Schedule 1 - Dictionary; and</w:t>
            </w:r>
          </w:p>
          <w:p w:rsidR="00852FE0" w:rsidRPr="006F19D6" w:rsidRDefault="0058666E" w:rsidP="0058666E">
            <w:pPr>
              <w:numPr>
                <w:ilvl w:val="0"/>
                <w:numId w:val="2"/>
              </w:numPr>
              <w:tabs>
                <w:tab w:val="clear" w:pos="720"/>
              </w:tabs>
              <w:spacing w:after="120"/>
              <w:ind w:left="459" w:hanging="459"/>
              <w:jc w:val="both"/>
              <w:rPr>
                <w:sz w:val="20"/>
              </w:rPr>
            </w:pPr>
            <w:proofErr w:type="gramStart"/>
            <w:r w:rsidRPr="0058666E">
              <w:rPr>
                <w:sz w:val="20"/>
              </w:rPr>
              <w:t>revising</w:t>
            </w:r>
            <w:proofErr w:type="gramEnd"/>
            <w:r w:rsidRPr="0058666E">
              <w:rPr>
                <w:sz w:val="20"/>
              </w:rPr>
              <w:t xml:space="preserve"> the definition of 'relevant service' in Schedule 1 - Dictionary.</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58666E" w:rsidRPr="0058666E">
              <w:rPr>
                <w:b/>
                <w:i/>
              </w:rPr>
              <w:t>frostbite</w:t>
            </w:r>
            <w:r w:rsidRPr="004A1F8A">
              <w:rPr>
                <w:b/>
                <w:i/>
              </w:rPr>
              <w:t xml:space="preserve">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58666E" w:rsidRPr="00C513D2" w:rsidTr="004A1F8A">
        <w:tc>
          <w:tcPr>
            <w:tcW w:w="993" w:type="dxa"/>
            <w:tcBorders>
              <w:top w:val="single" w:sz="6" w:space="0" w:color="auto"/>
              <w:left w:val="single" w:sz="6" w:space="0" w:color="auto"/>
              <w:bottom w:val="single" w:sz="6" w:space="0" w:color="auto"/>
              <w:right w:val="single" w:sz="6" w:space="0" w:color="auto"/>
            </w:tcBorders>
          </w:tcPr>
          <w:p w:rsidR="0058666E" w:rsidRPr="00A73805" w:rsidRDefault="0058666E" w:rsidP="0058666E">
            <w:pPr>
              <w:rPr>
                <w:sz w:val="20"/>
              </w:rPr>
            </w:pPr>
            <w:r>
              <w:rPr>
                <w:sz w:val="20"/>
              </w:rPr>
              <w:t>13 &amp; 14</w:t>
            </w:r>
            <w:r w:rsidRPr="00A73805">
              <w:rPr>
                <w:sz w:val="20"/>
              </w:rPr>
              <w:t>/</w:t>
            </w:r>
            <w:r>
              <w:rPr>
                <w:sz w:val="20"/>
              </w:rPr>
              <w:t>2018</w:t>
            </w:r>
          </w:p>
          <w:p w:rsidR="0058666E" w:rsidRPr="00A73805" w:rsidRDefault="0058666E" w:rsidP="0058666E">
            <w:pPr>
              <w:rPr>
                <w:sz w:val="20"/>
              </w:rPr>
            </w:pPr>
          </w:p>
        </w:tc>
        <w:tc>
          <w:tcPr>
            <w:tcW w:w="1842" w:type="dxa"/>
            <w:tcBorders>
              <w:top w:val="single" w:sz="2" w:space="0" w:color="auto"/>
              <w:left w:val="single" w:sz="6" w:space="0" w:color="auto"/>
              <w:bottom w:val="single" w:sz="2" w:space="0" w:color="auto"/>
              <w:right w:val="single" w:sz="6" w:space="0" w:color="auto"/>
            </w:tcBorders>
          </w:tcPr>
          <w:p w:rsidR="0058666E" w:rsidRPr="00A73805" w:rsidRDefault="0058666E" w:rsidP="0058666E">
            <w:pPr>
              <w:rPr>
                <w:sz w:val="20"/>
              </w:rPr>
            </w:pPr>
            <w:r w:rsidRPr="0058666E">
              <w:rPr>
                <w:sz w:val="19"/>
                <w:szCs w:val="19"/>
              </w:rPr>
              <w:t>hepatitis C</w:t>
            </w:r>
          </w:p>
        </w:tc>
        <w:tc>
          <w:tcPr>
            <w:tcW w:w="7912" w:type="dxa"/>
            <w:tcBorders>
              <w:top w:val="single" w:sz="6" w:space="0" w:color="auto"/>
              <w:left w:val="single" w:sz="6" w:space="0" w:color="auto"/>
              <w:bottom w:val="single" w:sz="6" w:space="0" w:color="auto"/>
              <w:right w:val="single" w:sz="6" w:space="0" w:color="auto"/>
            </w:tcBorders>
          </w:tcPr>
          <w:p w:rsidR="0058666E" w:rsidRPr="00A73805" w:rsidRDefault="0058666E" w:rsidP="0058666E">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Pr="0058666E">
              <w:rPr>
                <w:i/>
              </w:rPr>
              <w:t xml:space="preserve">hepatitis C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58666E" w:rsidRPr="00A73805" w:rsidRDefault="0058666E" w:rsidP="0058666E">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58666E" w:rsidRPr="00A73805" w:rsidRDefault="0058666E" w:rsidP="0058666E">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13</w:t>
            </w:r>
            <w:r w:rsidRPr="00A73805">
              <w:rPr>
                <w:b/>
                <w:i/>
              </w:rPr>
              <w:t>/</w:t>
            </w:r>
            <w:r>
              <w:rPr>
                <w:b/>
                <w:i/>
              </w:rPr>
              <w:t>2018</w:t>
            </w:r>
            <w:r w:rsidRPr="00A73805">
              <w:rPr>
                <w:b/>
                <w:i/>
              </w:rPr>
              <w:t>)</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adopting the latest revised Instrument format, which commenced in 2015;</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specifying a day of commencement for the Instrument in section 2;</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definition of 'hepatitis C' in subsection 7(2);</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reference to 'ICD-10-AM code' in subsection 7(4);</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factor in subsection 9(1) concerning 'being exposed to the hepatitis C virus', by the inclusion of a Note;</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new factor in subsection 9(3)(a) concerning 'human immunodeficiency virus',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new factor in subsection 9(3)(b) concerning 'solid organ, stem cell or bone marrow transplantation',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new factor in subsection 9(3)(c) concerning 'being treated with rituximab',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lastRenderedPageBreak/>
              <w:t>revising the factors in subsections 9(3)(d) &amp; 9(3)(e) concerning 'alcohol',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factor in subsection 9(3)(f) concerning 'smoking', by the inclusion of a Note,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 xml:space="preserve">revising the factor in subsection 9(3)(g) concerning 'being obese', by the inclusion of a Note, for chronic hepatitis C only; </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factor in subsection 9(3)(h) concerning 'severe hepatic iron overload',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factor in subsection 9(3)(</w:t>
            </w:r>
            <w:proofErr w:type="spellStart"/>
            <w:r w:rsidRPr="0058666E">
              <w:rPr>
                <w:sz w:val="20"/>
              </w:rPr>
              <w:t>i</w:t>
            </w:r>
            <w:proofErr w:type="spellEnd"/>
            <w:r w:rsidRPr="0058666E">
              <w:rPr>
                <w:sz w:val="20"/>
              </w:rPr>
              <w:t>) concerning 'chronic infection with schistosomiasis involving the liver', for chronic hepatitis C only;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deleting the factor concerning 'immunocompromised state' which is now covered by the new factors 9(3)(a), 9(3)(b) and 9(3)(c) above;</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 xml:space="preserve">new definitions of </w:t>
            </w:r>
            <w:r w:rsidR="004D059B">
              <w:rPr>
                <w:sz w:val="20"/>
              </w:rPr>
              <w:t xml:space="preserve">'BMI', </w:t>
            </w:r>
            <w:bookmarkStart w:id="0" w:name="_GoBack"/>
            <w:bookmarkEnd w:id="0"/>
            <w:r w:rsidRPr="0058666E">
              <w:rPr>
                <w:sz w:val="20"/>
              </w:rPr>
              <w:t>'MRCA' and 'VEA' in Schedule 1 - Dictionary;</w:t>
            </w:r>
          </w:p>
          <w:p w:rsidR="0058666E" w:rsidRPr="0058666E" w:rsidRDefault="0058666E" w:rsidP="0058666E">
            <w:pPr>
              <w:numPr>
                <w:ilvl w:val="0"/>
                <w:numId w:val="6"/>
              </w:numPr>
              <w:tabs>
                <w:tab w:val="clear" w:pos="760"/>
                <w:tab w:val="num" w:pos="459"/>
                <w:tab w:val="left" w:pos="6753"/>
              </w:tabs>
              <w:ind w:left="459" w:right="34" w:hanging="459"/>
              <w:jc w:val="both"/>
              <w:rPr>
                <w:sz w:val="20"/>
              </w:rPr>
            </w:pPr>
            <w:r w:rsidRPr="0058666E">
              <w:rPr>
                <w:sz w:val="20"/>
              </w:rPr>
              <w:t>revising the definitions of 'being exposed to the hepatitis C virus', 'being obese', 'iron overload', 'pack-years of cigarettes, or the equivalent thereof in other tobacco products', 'relevant service' and 'specified body substance' in Schedule 1 - Dictionary; and</w:t>
            </w:r>
          </w:p>
          <w:p w:rsidR="0058666E" w:rsidRPr="00AD3DC3" w:rsidRDefault="0058666E" w:rsidP="0058666E">
            <w:pPr>
              <w:numPr>
                <w:ilvl w:val="0"/>
                <w:numId w:val="6"/>
              </w:numPr>
              <w:tabs>
                <w:tab w:val="clear" w:pos="760"/>
                <w:tab w:val="num" w:pos="459"/>
                <w:tab w:val="left" w:pos="6753"/>
              </w:tabs>
              <w:spacing w:after="60"/>
              <w:ind w:left="459" w:right="34" w:hanging="459"/>
              <w:jc w:val="both"/>
              <w:rPr>
                <w:sz w:val="20"/>
              </w:rPr>
            </w:pPr>
            <w:proofErr w:type="gramStart"/>
            <w:r w:rsidRPr="0058666E">
              <w:rPr>
                <w:sz w:val="20"/>
              </w:rPr>
              <w:t>deleting</w:t>
            </w:r>
            <w:proofErr w:type="gramEnd"/>
            <w:r w:rsidRPr="0058666E">
              <w:rPr>
                <w:sz w:val="20"/>
              </w:rPr>
              <w:t xml:space="preserve"> the definition of 'being in an immunosuppressed state'.</w:t>
            </w:r>
          </w:p>
          <w:p w:rsidR="0058666E" w:rsidRDefault="0058666E" w:rsidP="0058666E">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14</w:t>
            </w:r>
            <w:r w:rsidRPr="00A73805">
              <w:rPr>
                <w:b/>
                <w:i/>
              </w:rPr>
              <w:t>/</w:t>
            </w:r>
            <w:r>
              <w:rPr>
                <w:b/>
                <w:i/>
              </w:rPr>
              <w:t>2018</w:t>
            </w:r>
            <w:r w:rsidRPr="00A73805">
              <w:rPr>
                <w:b/>
                <w:i/>
              </w:rPr>
              <w:t>)</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adopting the latest revised Instrument format, which commenced in 2015;</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specifying a day of commencement for the Instrument in section 2;</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definition of 'hepatitis C' in subsection 7(2);</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reference to 'ICD-10-AM code' in subsection 7(4);</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factor in subsection 9(1) concerning 'being exposed to the hepatitis C virus', by the inclusion of a Note;</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new factor in subsection 9(3)(a) concerning 'human immunodeficiency virus', for chronic hepatitis C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new factor in subsection 9(3)(b) concerning 'solid organ, stem cell or bone marrow transplantation', for chronic hepatitis C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factors in subsections 9(3)(c) &amp; 9(3)(d) concerning 'alcohol', for chronic hepatitis C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factor in subsection 9(3)(e) concerning 'severe hepatic iron overload', for chronic hepatitis C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factor in subsection 9(3)(f) concerning 'chronic infection with schistosomiasis involving the liver', for chronic hepatitis C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deleting the factor concerning 'immunocompromised state' which is now covered by the new factors 9(3)(a) and 9(3)(b) above;</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deleting the factor concerning 'being obese', for clinical worsening only;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new definitions of 'MRCA' and 'VEA' in Schedule 1 - Dictionary;</w:t>
            </w:r>
          </w:p>
          <w:p w:rsidR="0058666E" w:rsidRPr="0058666E" w:rsidRDefault="0058666E" w:rsidP="0058666E">
            <w:pPr>
              <w:numPr>
                <w:ilvl w:val="0"/>
                <w:numId w:val="2"/>
              </w:numPr>
              <w:tabs>
                <w:tab w:val="clear" w:pos="720"/>
                <w:tab w:val="num" w:pos="459"/>
              </w:tabs>
              <w:ind w:left="459" w:hanging="459"/>
              <w:jc w:val="both"/>
              <w:rPr>
                <w:sz w:val="20"/>
              </w:rPr>
            </w:pPr>
            <w:r w:rsidRPr="0058666E">
              <w:rPr>
                <w:sz w:val="20"/>
              </w:rPr>
              <w:t>revising the definitions of 'being exposed to the hepatitis C virus', 'iron overload', 'relevant service' and 'specified body substance' in Schedule 1 - Dictionary; and</w:t>
            </w:r>
          </w:p>
          <w:p w:rsidR="0058666E" w:rsidRPr="006F19D6" w:rsidRDefault="0058666E" w:rsidP="0058666E">
            <w:pPr>
              <w:numPr>
                <w:ilvl w:val="0"/>
                <w:numId w:val="2"/>
              </w:numPr>
              <w:tabs>
                <w:tab w:val="clear" w:pos="720"/>
                <w:tab w:val="num" w:pos="459"/>
              </w:tabs>
              <w:spacing w:after="120"/>
              <w:ind w:left="459" w:hanging="459"/>
              <w:jc w:val="both"/>
              <w:rPr>
                <w:sz w:val="20"/>
              </w:rPr>
            </w:pPr>
            <w:proofErr w:type="gramStart"/>
            <w:r w:rsidRPr="0058666E">
              <w:rPr>
                <w:sz w:val="20"/>
              </w:rPr>
              <w:t>deleting</w:t>
            </w:r>
            <w:proofErr w:type="gramEnd"/>
            <w:r w:rsidRPr="0058666E">
              <w:rPr>
                <w:sz w:val="20"/>
              </w:rPr>
              <w:t xml:space="preserve"> the definitions of 'being in an immunosuppressed state' and 'being obese'.</w:t>
            </w:r>
          </w:p>
          <w:p w:rsidR="00DB6362" w:rsidRPr="00DB6362" w:rsidRDefault="00DB6362" w:rsidP="0058666E">
            <w:pPr>
              <w:pStyle w:val="BodyText"/>
              <w:tabs>
                <w:tab w:val="left" w:pos="6753"/>
              </w:tabs>
              <w:spacing w:after="40"/>
              <w:ind w:left="34" w:right="34"/>
              <w:jc w:val="both"/>
            </w:pPr>
            <w:r w:rsidRPr="00DB6362">
              <w:t xml:space="preserve">On 4 August 2017, the Authority wrote to organisations representing veterans, service personnel and their dependants regarding the proposed Instruments concerning hepatitis C and the medical-scientific material considered by the Authority.  This letter emphasised the deletion of a factor relating to </w:t>
            </w:r>
            <w:r w:rsidRPr="00DB6362">
              <w:rPr>
                <w:i/>
              </w:rPr>
              <w:t>being obese</w:t>
            </w:r>
            <w:r w:rsidRPr="00DB6362">
              <w:t xml:space="preserve"> from the Balance of Probabilities Instrument.  The Authority provided an opportunity to the organisations to make representations in relation to the proposed Instruments prior to their determination.  No submissions were received for consideration by the Authority.  Minor changes were made to the proposed Instruments following this consultation process.</w:t>
            </w:r>
          </w:p>
          <w:p w:rsidR="0058666E" w:rsidRPr="00A73805" w:rsidRDefault="0058666E" w:rsidP="0058666E">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Pr="0058666E">
              <w:rPr>
                <w:b/>
                <w:i/>
              </w:rPr>
              <w:t xml:space="preserve">hepatitis C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407CB8" w:rsidRPr="00C513D2" w:rsidRDefault="0058666E" w:rsidP="007629F4">
            <w:pPr>
              <w:rPr>
                <w:sz w:val="20"/>
              </w:rPr>
            </w:pPr>
            <w:r>
              <w:rPr>
                <w:sz w:val="20"/>
              </w:rPr>
              <w:lastRenderedPageBreak/>
              <w:t>1</w:t>
            </w:r>
            <w:r w:rsidR="00DA4B2D" w:rsidRPr="00C513D2">
              <w:rPr>
                <w:sz w:val="20"/>
              </w:rPr>
              <w:t xml:space="preserve">5 &amp; </w:t>
            </w:r>
            <w:r>
              <w:rPr>
                <w:sz w:val="20"/>
              </w:rPr>
              <w:t>1</w:t>
            </w:r>
            <w:r w:rsidR="00CB7C0C">
              <w:rPr>
                <w:sz w:val="20"/>
              </w:rPr>
              <w:t>6</w:t>
            </w:r>
            <w:r w:rsidR="00407CB8" w:rsidRPr="00C513D2">
              <w:rPr>
                <w:sz w:val="20"/>
              </w:rPr>
              <w:t>/201</w:t>
            </w:r>
            <w:r w:rsidR="007629F4">
              <w:rPr>
                <w:sz w:val="20"/>
              </w:rPr>
              <w:t>8</w:t>
            </w:r>
          </w:p>
        </w:tc>
        <w:tc>
          <w:tcPr>
            <w:tcW w:w="1842" w:type="dxa"/>
            <w:tcBorders>
              <w:top w:val="single" w:sz="2" w:space="0" w:color="auto"/>
              <w:left w:val="single" w:sz="6" w:space="0" w:color="auto"/>
              <w:bottom w:val="single" w:sz="2" w:space="0" w:color="auto"/>
              <w:right w:val="single" w:sz="6" w:space="0" w:color="auto"/>
            </w:tcBorders>
          </w:tcPr>
          <w:p w:rsidR="00407CB8" w:rsidRPr="00C513D2" w:rsidRDefault="0058666E" w:rsidP="00860CEE">
            <w:pPr>
              <w:rPr>
                <w:sz w:val="20"/>
              </w:rPr>
            </w:pPr>
            <w:proofErr w:type="spellStart"/>
            <w:r>
              <w:rPr>
                <w:sz w:val="20"/>
              </w:rPr>
              <w:t>Zika</w:t>
            </w:r>
            <w:proofErr w:type="spellEnd"/>
            <w:r>
              <w:rPr>
                <w:sz w:val="20"/>
              </w:rPr>
              <w:t xml:space="preserve"> virus infection</w:t>
            </w:r>
          </w:p>
        </w:tc>
        <w:tc>
          <w:tcPr>
            <w:tcW w:w="7912" w:type="dxa"/>
            <w:tcBorders>
              <w:top w:val="single" w:sz="6" w:space="0" w:color="auto"/>
              <w:left w:val="single" w:sz="6" w:space="0" w:color="auto"/>
              <w:bottom w:val="single" w:sz="6" w:space="0" w:color="auto"/>
              <w:right w:val="single" w:sz="6" w:space="0" w:color="auto"/>
            </w:tcBorders>
          </w:tcPr>
          <w:p w:rsidR="00407CB8" w:rsidRPr="00694850" w:rsidRDefault="00407CB8" w:rsidP="00323B01">
            <w:pPr>
              <w:pStyle w:val="BodyText"/>
              <w:spacing w:after="60"/>
              <w:ind w:left="34" w:right="272"/>
              <w:rPr>
                <w:b/>
                <w:sz w:val="19"/>
                <w:szCs w:val="19"/>
              </w:rPr>
            </w:pPr>
            <w:r w:rsidRPr="00694850">
              <w:rPr>
                <w:b/>
                <w:sz w:val="19"/>
                <w:szCs w:val="19"/>
              </w:rPr>
              <w:t>New Condition</w:t>
            </w:r>
          </w:p>
          <w:p w:rsidR="00407CB8" w:rsidRPr="00694850" w:rsidRDefault="00407CB8" w:rsidP="0058666E">
            <w:pPr>
              <w:pStyle w:val="BodyText"/>
              <w:tabs>
                <w:tab w:val="left" w:pos="6753"/>
              </w:tabs>
              <w:spacing w:after="40"/>
              <w:ind w:right="272"/>
              <w:jc w:val="both"/>
              <w:rPr>
                <w:sz w:val="19"/>
                <w:szCs w:val="19"/>
              </w:rPr>
            </w:pPr>
            <w:r w:rsidRPr="00694850">
              <w:rPr>
                <w:b/>
                <w:sz w:val="19"/>
                <w:szCs w:val="19"/>
              </w:rPr>
              <w:t xml:space="preserve">The determining of these new Instruments finalises the investigation in relation to </w:t>
            </w:r>
            <w:proofErr w:type="spellStart"/>
            <w:r w:rsidR="0058666E" w:rsidRPr="0058666E">
              <w:rPr>
                <w:b/>
                <w:i/>
                <w:sz w:val="19"/>
                <w:szCs w:val="19"/>
              </w:rPr>
              <w:t>Zika</w:t>
            </w:r>
            <w:proofErr w:type="spellEnd"/>
            <w:r w:rsidR="0058666E" w:rsidRPr="0058666E">
              <w:rPr>
                <w:b/>
                <w:i/>
                <w:sz w:val="19"/>
                <w:szCs w:val="19"/>
              </w:rPr>
              <w:t xml:space="preserve"> virus infection</w:t>
            </w:r>
            <w:r w:rsidR="00CB7C0C" w:rsidRPr="00CB7C0C">
              <w:rPr>
                <w:b/>
                <w:i/>
                <w:sz w:val="19"/>
                <w:szCs w:val="19"/>
              </w:rPr>
              <w:t xml:space="preserve"> </w:t>
            </w:r>
            <w:r w:rsidRPr="00694850">
              <w:rPr>
                <w:b/>
                <w:sz w:val="19"/>
                <w:szCs w:val="19"/>
              </w:rPr>
              <w:t xml:space="preserve">as advertised in the Government Notices Gazette of </w:t>
            </w:r>
            <w:r w:rsidR="0058666E">
              <w:rPr>
                <w:b/>
                <w:sz w:val="19"/>
                <w:szCs w:val="19"/>
                <w:lang w:val="en-GB"/>
              </w:rPr>
              <w:t>10 January 2017</w:t>
            </w:r>
            <w:r w:rsidRPr="00694850">
              <w:rPr>
                <w:b/>
                <w:sz w:val="19"/>
                <w:szCs w:val="19"/>
              </w:rPr>
              <w:t>.</w:t>
            </w:r>
          </w:p>
        </w:tc>
      </w:tr>
    </w:tbl>
    <w:p w:rsidR="00DA4B2D" w:rsidRDefault="00DA4B2D" w:rsidP="00DA4B2D">
      <w:pPr>
        <w:spacing w:after="120"/>
        <w:ind w:left="4320"/>
      </w:pPr>
    </w:p>
    <w:sectPr w:rsidR="00DA4B2D" w:rsidSect="00046BC0">
      <w:headerReference w:type="even" r:id="rId10"/>
      <w:headerReference w:type="default" r:id="rId11"/>
      <w:footerReference w:type="even" r:id="rId12"/>
      <w:footerReference w:type="default" r:id="rId13"/>
      <w:headerReference w:type="first" r:id="rId14"/>
      <w:footerReference w:type="first" r:id="rId15"/>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E3" w:rsidRDefault="008624E3">
      <w:r>
        <w:separator/>
      </w:r>
    </w:p>
  </w:endnote>
  <w:endnote w:type="continuationSeparator" w:id="0">
    <w:p w:rsidR="008624E3" w:rsidRDefault="008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4E3" w:rsidRDefault="00862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p>
  <w:p w:rsidR="008624E3" w:rsidRDefault="008624E3">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D059B">
      <w:rPr>
        <w:rStyle w:val="PageNumber"/>
        <w:noProof/>
        <w:sz w:val="16"/>
        <w:szCs w:val="16"/>
      </w:rPr>
      <w:t>7</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D059B">
      <w:rPr>
        <w:rStyle w:val="PageNumber"/>
        <w:noProof/>
        <w:sz w:val="16"/>
        <w:szCs w:val="16"/>
      </w:rPr>
      <w:t>7</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E3" w:rsidRDefault="008624E3">
      <w:r>
        <w:separator/>
      </w:r>
    </w:p>
  </w:footnote>
  <w:footnote w:type="continuationSeparator" w:id="0">
    <w:p w:rsidR="008624E3" w:rsidRDefault="0086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0"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2"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0"/>
  </w:num>
  <w:num w:numId="2">
    <w:abstractNumId w:val="5"/>
  </w:num>
  <w:num w:numId="3">
    <w:abstractNumId w:val="29"/>
  </w:num>
  <w:num w:numId="4">
    <w:abstractNumId w:val="26"/>
  </w:num>
  <w:num w:numId="5">
    <w:abstractNumId w:val="12"/>
  </w:num>
  <w:num w:numId="6">
    <w:abstractNumId w:val="27"/>
  </w:num>
  <w:num w:numId="7">
    <w:abstractNumId w:val="23"/>
  </w:num>
  <w:num w:numId="8">
    <w:abstractNumId w:val="3"/>
  </w:num>
  <w:num w:numId="9">
    <w:abstractNumId w:val="11"/>
  </w:num>
  <w:num w:numId="10">
    <w:abstractNumId w:val="1"/>
  </w:num>
  <w:num w:numId="11">
    <w:abstractNumId w:val="21"/>
  </w:num>
  <w:num w:numId="12">
    <w:abstractNumId w:val="15"/>
  </w:num>
  <w:num w:numId="13">
    <w:abstractNumId w:val="25"/>
  </w:num>
  <w:num w:numId="14">
    <w:abstractNumId w:val="5"/>
  </w:num>
  <w:num w:numId="15">
    <w:abstractNumId w:val="32"/>
  </w:num>
  <w:num w:numId="16">
    <w:abstractNumId w:val="0"/>
  </w:num>
  <w:num w:numId="17">
    <w:abstractNumId w:val="10"/>
  </w:num>
  <w:num w:numId="18">
    <w:abstractNumId w:val="31"/>
  </w:num>
  <w:num w:numId="19">
    <w:abstractNumId w:val="7"/>
  </w:num>
  <w:num w:numId="20">
    <w:abstractNumId w:val="16"/>
  </w:num>
  <w:num w:numId="21">
    <w:abstractNumId w:val="24"/>
  </w:num>
  <w:num w:numId="22">
    <w:abstractNumId w:val="4"/>
  </w:num>
  <w:num w:numId="23">
    <w:abstractNumId w:val="19"/>
  </w:num>
  <w:num w:numId="24">
    <w:abstractNumId w:val="20"/>
  </w:num>
  <w:num w:numId="25">
    <w:abstractNumId w:val="2"/>
  </w:num>
  <w:num w:numId="26">
    <w:abstractNumId w:val="18"/>
  </w:num>
  <w:num w:numId="27">
    <w:abstractNumId w:val="14"/>
  </w:num>
  <w:num w:numId="28">
    <w:abstractNumId w:val="28"/>
  </w:num>
  <w:num w:numId="29">
    <w:abstractNumId w:val="13"/>
  </w:num>
  <w:num w:numId="30">
    <w:abstractNumId w:val="8"/>
  </w:num>
  <w:num w:numId="31">
    <w:abstractNumId w:val="22"/>
  </w:num>
  <w:num w:numId="32">
    <w:abstractNumId w:val="9"/>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3279D"/>
    <w:rsid w:val="00043EA4"/>
    <w:rsid w:val="00046BC0"/>
    <w:rsid w:val="00056496"/>
    <w:rsid w:val="00056FDE"/>
    <w:rsid w:val="00075AC6"/>
    <w:rsid w:val="000910A4"/>
    <w:rsid w:val="00091719"/>
    <w:rsid w:val="00096A45"/>
    <w:rsid w:val="00097D55"/>
    <w:rsid w:val="000A10D1"/>
    <w:rsid w:val="000A10DE"/>
    <w:rsid w:val="000C68A0"/>
    <w:rsid w:val="000D5DB1"/>
    <w:rsid w:val="000E4DEF"/>
    <w:rsid w:val="000E7744"/>
    <w:rsid w:val="000F589C"/>
    <w:rsid w:val="00103CB4"/>
    <w:rsid w:val="00104879"/>
    <w:rsid w:val="00104B7B"/>
    <w:rsid w:val="00105188"/>
    <w:rsid w:val="001158F6"/>
    <w:rsid w:val="0011752D"/>
    <w:rsid w:val="00120EE4"/>
    <w:rsid w:val="00126B55"/>
    <w:rsid w:val="00127C7C"/>
    <w:rsid w:val="00142130"/>
    <w:rsid w:val="00151F5C"/>
    <w:rsid w:val="00155A84"/>
    <w:rsid w:val="00162CE4"/>
    <w:rsid w:val="00170C4E"/>
    <w:rsid w:val="00182314"/>
    <w:rsid w:val="00191676"/>
    <w:rsid w:val="001A68B8"/>
    <w:rsid w:val="001A78B4"/>
    <w:rsid w:val="001B5219"/>
    <w:rsid w:val="001B5AA0"/>
    <w:rsid w:val="001C027F"/>
    <w:rsid w:val="001C5985"/>
    <w:rsid w:val="001D09BC"/>
    <w:rsid w:val="001D68C9"/>
    <w:rsid w:val="001E0473"/>
    <w:rsid w:val="001E7260"/>
    <w:rsid w:val="001F4762"/>
    <w:rsid w:val="00210125"/>
    <w:rsid w:val="00211DA4"/>
    <w:rsid w:val="00214B51"/>
    <w:rsid w:val="0023135A"/>
    <w:rsid w:val="002375CC"/>
    <w:rsid w:val="00240F71"/>
    <w:rsid w:val="0024289C"/>
    <w:rsid w:val="00244B31"/>
    <w:rsid w:val="002469F2"/>
    <w:rsid w:val="00257785"/>
    <w:rsid w:val="0026679F"/>
    <w:rsid w:val="002814C7"/>
    <w:rsid w:val="00282756"/>
    <w:rsid w:val="0028335B"/>
    <w:rsid w:val="00285993"/>
    <w:rsid w:val="0028740F"/>
    <w:rsid w:val="002924B3"/>
    <w:rsid w:val="002C3145"/>
    <w:rsid w:val="002E0408"/>
    <w:rsid w:val="002E15D1"/>
    <w:rsid w:val="002E1723"/>
    <w:rsid w:val="003000E4"/>
    <w:rsid w:val="003054F9"/>
    <w:rsid w:val="00305A79"/>
    <w:rsid w:val="003101BA"/>
    <w:rsid w:val="003167DA"/>
    <w:rsid w:val="0032302D"/>
    <w:rsid w:val="00323B01"/>
    <w:rsid w:val="00332C3A"/>
    <w:rsid w:val="003363C7"/>
    <w:rsid w:val="00347FA7"/>
    <w:rsid w:val="00351BBE"/>
    <w:rsid w:val="00363EE2"/>
    <w:rsid w:val="0036666D"/>
    <w:rsid w:val="00373492"/>
    <w:rsid w:val="003855E9"/>
    <w:rsid w:val="00392F78"/>
    <w:rsid w:val="003A3ECF"/>
    <w:rsid w:val="003B06D3"/>
    <w:rsid w:val="003D6698"/>
    <w:rsid w:val="003E1E3C"/>
    <w:rsid w:val="003E23EA"/>
    <w:rsid w:val="003F32B2"/>
    <w:rsid w:val="003F7437"/>
    <w:rsid w:val="00405793"/>
    <w:rsid w:val="00405AC5"/>
    <w:rsid w:val="00407CB8"/>
    <w:rsid w:val="00411343"/>
    <w:rsid w:val="0041602D"/>
    <w:rsid w:val="004347E1"/>
    <w:rsid w:val="00442CBB"/>
    <w:rsid w:val="004439A8"/>
    <w:rsid w:val="00447D76"/>
    <w:rsid w:val="004669F2"/>
    <w:rsid w:val="00473F0A"/>
    <w:rsid w:val="004755B9"/>
    <w:rsid w:val="00480004"/>
    <w:rsid w:val="0048027A"/>
    <w:rsid w:val="00493433"/>
    <w:rsid w:val="004A119A"/>
    <w:rsid w:val="004A1F8A"/>
    <w:rsid w:val="004A40D3"/>
    <w:rsid w:val="004A79FF"/>
    <w:rsid w:val="004C1B11"/>
    <w:rsid w:val="004C54D5"/>
    <w:rsid w:val="004C5886"/>
    <w:rsid w:val="004D059B"/>
    <w:rsid w:val="004E00E7"/>
    <w:rsid w:val="004F0E6B"/>
    <w:rsid w:val="004F4428"/>
    <w:rsid w:val="004F68D6"/>
    <w:rsid w:val="00517506"/>
    <w:rsid w:val="005217A7"/>
    <w:rsid w:val="00526290"/>
    <w:rsid w:val="005320D3"/>
    <w:rsid w:val="00533E20"/>
    <w:rsid w:val="00537CDC"/>
    <w:rsid w:val="00542E0C"/>
    <w:rsid w:val="0054535F"/>
    <w:rsid w:val="0054538E"/>
    <w:rsid w:val="005454BF"/>
    <w:rsid w:val="0056555F"/>
    <w:rsid w:val="00574C11"/>
    <w:rsid w:val="0058615C"/>
    <w:rsid w:val="0058666E"/>
    <w:rsid w:val="00586726"/>
    <w:rsid w:val="005875CA"/>
    <w:rsid w:val="005903C2"/>
    <w:rsid w:val="00597D0F"/>
    <w:rsid w:val="005C48F9"/>
    <w:rsid w:val="005C79A9"/>
    <w:rsid w:val="005D0CE6"/>
    <w:rsid w:val="005D2BD9"/>
    <w:rsid w:val="005D4C2A"/>
    <w:rsid w:val="005D5463"/>
    <w:rsid w:val="005E49B2"/>
    <w:rsid w:val="005E6B82"/>
    <w:rsid w:val="005F60B6"/>
    <w:rsid w:val="00605651"/>
    <w:rsid w:val="00632B7A"/>
    <w:rsid w:val="00640A93"/>
    <w:rsid w:val="006426E1"/>
    <w:rsid w:val="00642904"/>
    <w:rsid w:val="00652316"/>
    <w:rsid w:val="006558C5"/>
    <w:rsid w:val="00694850"/>
    <w:rsid w:val="006A3CB2"/>
    <w:rsid w:val="006B2F25"/>
    <w:rsid w:val="006B355C"/>
    <w:rsid w:val="006C221D"/>
    <w:rsid w:val="006C36B8"/>
    <w:rsid w:val="006E1180"/>
    <w:rsid w:val="006F19D6"/>
    <w:rsid w:val="006F3CE4"/>
    <w:rsid w:val="006F4C7C"/>
    <w:rsid w:val="007155A5"/>
    <w:rsid w:val="00723B41"/>
    <w:rsid w:val="0073248F"/>
    <w:rsid w:val="007340A3"/>
    <w:rsid w:val="00744EEC"/>
    <w:rsid w:val="00751BCC"/>
    <w:rsid w:val="00752893"/>
    <w:rsid w:val="00761EDB"/>
    <w:rsid w:val="007629F4"/>
    <w:rsid w:val="00766FED"/>
    <w:rsid w:val="007718C2"/>
    <w:rsid w:val="007800D1"/>
    <w:rsid w:val="007803DD"/>
    <w:rsid w:val="007B1F16"/>
    <w:rsid w:val="007B25EC"/>
    <w:rsid w:val="007B454D"/>
    <w:rsid w:val="007C098B"/>
    <w:rsid w:val="007D69E7"/>
    <w:rsid w:val="007E2F9C"/>
    <w:rsid w:val="007F294A"/>
    <w:rsid w:val="0080326C"/>
    <w:rsid w:val="00804993"/>
    <w:rsid w:val="00812B7B"/>
    <w:rsid w:val="00812EF7"/>
    <w:rsid w:val="00813AE9"/>
    <w:rsid w:val="00815FBB"/>
    <w:rsid w:val="00830FB8"/>
    <w:rsid w:val="00834B76"/>
    <w:rsid w:val="00847749"/>
    <w:rsid w:val="0085113D"/>
    <w:rsid w:val="00852FE0"/>
    <w:rsid w:val="00853BCE"/>
    <w:rsid w:val="00857C1C"/>
    <w:rsid w:val="00860CEE"/>
    <w:rsid w:val="008624E3"/>
    <w:rsid w:val="0086328E"/>
    <w:rsid w:val="00863A4C"/>
    <w:rsid w:val="00870747"/>
    <w:rsid w:val="00872C0D"/>
    <w:rsid w:val="00877886"/>
    <w:rsid w:val="00890D56"/>
    <w:rsid w:val="00892B3B"/>
    <w:rsid w:val="008A32D5"/>
    <w:rsid w:val="008B165A"/>
    <w:rsid w:val="008B4715"/>
    <w:rsid w:val="008C1A2B"/>
    <w:rsid w:val="008E2D20"/>
    <w:rsid w:val="0090304E"/>
    <w:rsid w:val="00904B10"/>
    <w:rsid w:val="00905545"/>
    <w:rsid w:val="0090566D"/>
    <w:rsid w:val="00914C40"/>
    <w:rsid w:val="00943882"/>
    <w:rsid w:val="00974E24"/>
    <w:rsid w:val="009935AA"/>
    <w:rsid w:val="0099374E"/>
    <w:rsid w:val="009B0D88"/>
    <w:rsid w:val="009B53A2"/>
    <w:rsid w:val="009B6352"/>
    <w:rsid w:val="009D1C93"/>
    <w:rsid w:val="009D4D22"/>
    <w:rsid w:val="009E5D11"/>
    <w:rsid w:val="009F61B7"/>
    <w:rsid w:val="009F7CAD"/>
    <w:rsid w:val="00A04271"/>
    <w:rsid w:val="00A06826"/>
    <w:rsid w:val="00A16F94"/>
    <w:rsid w:val="00A2228B"/>
    <w:rsid w:val="00A3569F"/>
    <w:rsid w:val="00A463CB"/>
    <w:rsid w:val="00A57480"/>
    <w:rsid w:val="00A63FDF"/>
    <w:rsid w:val="00A64C8E"/>
    <w:rsid w:val="00A73805"/>
    <w:rsid w:val="00A7423F"/>
    <w:rsid w:val="00A876D4"/>
    <w:rsid w:val="00AB3052"/>
    <w:rsid w:val="00AB68B5"/>
    <w:rsid w:val="00AC36E9"/>
    <w:rsid w:val="00AC5DAB"/>
    <w:rsid w:val="00AC6B3D"/>
    <w:rsid w:val="00AD3DC3"/>
    <w:rsid w:val="00AD5B52"/>
    <w:rsid w:val="00AD7581"/>
    <w:rsid w:val="00AE3563"/>
    <w:rsid w:val="00AE53A9"/>
    <w:rsid w:val="00AF7EA6"/>
    <w:rsid w:val="00B02F16"/>
    <w:rsid w:val="00B13678"/>
    <w:rsid w:val="00B174C2"/>
    <w:rsid w:val="00B23DE0"/>
    <w:rsid w:val="00B2575D"/>
    <w:rsid w:val="00B40633"/>
    <w:rsid w:val="00B408EE"/>
    <w:rsid w:val="00B507A5"/>
    <w:rsid w:val="00B56D13"/>
    <w:rsid w:val="00B803B0"/>
    <w:rsid w:val="00B80718"/>
    <w:rsid w:val="00B861E3"/>
    <w:rsid w:val="00B976B3"/>
    <w:rsid w:val="00BA1274"/>
    <w:rsid w:val="00BB7038"/>
    <w:rsid w:val="00BC6098"/>
    <w:rsid w:val="00BD1EE7"/>
    <w:rsid w:val="00BD6588"/>
    <w:rsid w:val="00BE1FAE"/>
    <w:rsid w:val="00BE4ADD"/>
    <w:rsid w:val="00BF7D54"/>
    <w:rsid w:val="00C06A95"/>
    <w:rsid w:val="00C1282F"/>
    <w:rsid w:val="00C15F3C"/>
    <w:rsid w:val="00C17DA9"/>
    <w:rsid w:val="00C20561"/>
    <w:rsid w:val="00C240D9"/>
    <w:rsid w:val="00C513D2"/>
    <w:rsid w:val="00C560CF"/>
    <w:rsid w:val="00C5734D"/>
    <w:rsid w:val="00C61EF0"/>
    <w:rsid w:val="00C63141"/>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2420"/>
    <w:rsid w:val="00D23541"/>
    <w:rsid w:val="00D243FF"/>
    <w:rsid w:val="00D3020E"/>
    <w:rsid w:val="00D31D9E"/>
    <w:rsid w:val="00D3458F"/>
    <w:rsid w:val="00D43A30"/>
    <w:rsid w:val="00D43B57"/>
    <w:rsid w:val="00D67BDC"/>
    <w:rsid w:val="00D7698B"/>
    <w:rsid w:val="00D771CA"/>
    <w:rsid w:val="00D84F1F"/>
    <w:rsid w:val="00D91073"/>
    <w:rsid w:val="00D915AD"/>
    <w:rsid w:val="00DA3B20"/>
    <w:rsid w:val="00DA4B2D"/>
    <w:rsid w:val="00DA7705"/>
    <w:rsid w:val="00DB6362"/>
    <w:rsid w:val="00DC15AE"/>
    <w:rsid w:val="00DC32DB"/>
    <w:rsid w:val="00DC68E2"/>
    <w:rsid w:val="00DE4362"/>
    <w:rsid w:val="00DF0DF2"/>
    <w:rsid w:val="00DF22AE"/>
    <w:rsid w:val="00E1345D"/>
    <w:rsid w:val="00E136CE"/>
    <w:rsid w:val="00E309B9"/>
    <w:rsid w:val="00E321A8"/>
    <w:rsid w:val="00E34DC5"/>
    <w:rsid w:val="00E46EFD"/>
    <w:rsid w:val="00E47B27"/>
    <w:rsid w:val="00E50D77"/>
    <w:rsid w:val="00E53019"/>
    <w:rsid w:val="00E709BA"/>
    <w:rsid w:val="00E96581"/>
    <w:rsid w:val="00EA33B4"/>
    <w:rsid w:val="00EB2BE5"/>
    <w:rsid w:val="00EB4F2A"/>
    <w:rsid w:val="00EB59A4"/>
    <w:rsid w:val="00EE03AB"/>
    <w:rsid w:val="00EE1894"/>
    <w:rsid w:val="00EE1ED2"/>
    <w:rsid w:val="00EE5AEA"/>
    <w:rsid w:val="00EF3D25"/>
    <w:rsid w:val="00EF6BF3"/>
    <w:rsid w:val="00F03806"/>
    <w:rsid w:val="00F41E35"/>
    <w:rsid w:val="00F44372"/>
    <w:rsid w:val="00F608A8"/>
    <w:rsid w:val="00F634B5"/>
    <w:rsid w:val="00F676DC"/>
    <w:rsid w:val="00F74D34"/>
    <w:rsid w:val="00F750C8"/>
    <w:rsid w:val="00F84748"/>
    <w:rsid w:val="00F92CFF"/>
    <w:rsid w:val="00FA4356"/>
    <w:rsid w:val="00FB0997"/>
    <w:rsid w:val="00FD0D47"/>
    <w:rsid w:val="00FE1455"/>
    <w:rsid w:val="00FE1CEA"/>
    <w:rsid w:val="00FE6FA4"/>
    <w:rsid w:val="00FF0417"/>
    <w:rsid w:val="00FF0656"/>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18827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2017-09-14T22:15:00Z</dcterms:created>
  <dcterms:modified xsi:type="dcterms:W3CDTF">2017-12-13T23:28:00Z</dcterms:modified>
</cp:coreProperties>
</file>