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094AF7C3" w:rsidR="00191676" w:rsidRPr="00FE0453" w:rsidRDefault="00744EEC">
      <w:pPr>
        <w:tabs>
          <w:tab w:val="left" w:pos="2410"/>
          <w:tab w:val="left" w:pos="7655"/>
        </w:tabs>
        <w:jc w:val="center"/>
        <w:rPr>
          <w:b/>
        </w:rPr>
      </w:pPr>
      <w:r w:rsidRPr="00FE0453">
        <w:rPr>
          <w:b/>
        </w:rPr>
        <w:t xml:space="preserve">INSTRUMENT NOS. </w:t>
      </w:r>
      <w:r w:rsidR="009952B1">
        <w:rPr>
          <w:b/>
        </w:rPr>
        <w:t>46</w:t>
      </w:r>
      <w:r w:rsidR="007E3905">
        <w:rPr>
          <w:b/>
        </w:rPr>
        <w:t xml:space="preserve"> to </w:t>
      </w:r>
      <w:r w:rsidR="009952B1">
        <w:rPr>
          <w:b/>
        </w:rPr>
        <w:t>51</w:t>
      </w:r>
      <w:bookmarkStart w:id="0" w:name="_GoBack"/>
      <w:bookmarkEnd w:id="0"/>
      <w:r w:rsidRPr="00FE0453">
        <w:rPr>
          <w:b/>
        </w:rPr>
        <w:t xml:space="preserve"> </w:t>
      </w:r>
      <w:r w:rsidR="00CD65BE">
        <w:rPr>
          <w:b/>
        </w:rPr>
        <w:t>of</w:t>
      </w:r>
      <w:r w:rsidRPr="00FE0453">
        <w:rPr>
          <w:b/>
        </w:rPr>
        <w:t xml:space="preserve"> 20</w:t>
      </w:r>
      <w:r w:rsidR="007E3905">
        <w:rPr>
          <w:b/>
        </w:rPr>
        <w:t>20</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42195B84" w:rsidR="00D63954" w:rsidRDefault="002E0408" w:rsidP="00B803B0">
      <w:pPr>
        <w:tabs>
          <w:tab w:val="left" w:pos="2410"/>
          <w:tab w:val="left" w:pos="7655"/>
        </w:tabs>
        <w:jc w:val="both"/>
      </w:pPr>
      <w:r w:rsidRPr="00FE0453">
        <w:t xml:space="preserve">Statements of Principles Nos. </w:t>
      </w:r>
      <w:r w:rsidR="00B56E94">
        <w:t>46</w:t>
      </w:r>
      <w:r w:rsidR="00F74D34" w:rsidRPr="00FE0453">
        <w:t xml:space="preserve"> </w:t>
      </w:r>
      <w:r w:rsidR="00B56E94">
        <w:t>and 47</w:t>
      </w:r>
      <w:r w:rsidRPr="00FE0453">
        <w:t xml:space="preserve"> of 20</w:t>
      </w:r>
      <w:r w:rsidR="007E3905">
        <w:t xml:space="preserve">20 </w:t>
      </w:r>
      <w:r w:rsidRPr="00FE0453">
        <w:t xml:space="preserve">were signed by the Chairperson of the Repatriation Medical Authority (the Authority) on </w:t>
      </w:r>
      <w:r w:rsidR="00B56E94">
        <w:t>12 June</w:t>
      </w:r>
      <w:r w:rsidR="00B87480">
        <w:t xml:space="preserve"> 2020</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B56E94">
        <w:t>22 June</w:t>
      </w:r>
      <w:r w:rsidR="00B87480">
        <w:t xml:space="preserve"> 2020</w:t>
      </w:r>
      <w:r w:rsidR="00EE0153" w:rsidRPr="004C50BC">
        <w:t>.</w:t>
      </w:r>
      <w:r w:rsidR="00A82D51">
        <w:t xml:space="preserve"> The Authority decided to prioritise the determination and commencement of these Instruments </w:t>
      </w:r>
      <w:r w:rsidR="00BB7495">
        <w:t>to allow claims for coronavirus disease 2019 (COVID-19) to be dealt with rapidly.</w:t>
      </w:r>
    </w:p>
    <w:p w14:paraId="12CE1C5F" w14:textId="4B66624C" w:rsidR="00B56E94" w:rsidRDefault="00B56E94" w:rsidP="00B803B0">
      <w:pPr>
        <w:tabs>
          <w:tab w:val="left" w:pos="2410"/>
          <w:tab w:val="left" w:pos="7655"/>
        </w:tabs>
        <w:jc w:val="both"/>
      </w:pPr>
    </w:p>
    <w:p w14:paraId="31D5CAA3" w14:textId="052B2939" w:rsidR="00B56E94" w:rsidRDefault="00B56E94" w:rsidP="00B803B0">
      <w:pPr>
        <w:tabs>
          <w:tab w:val="left" w:pos="2410"/>
          <w:tab w:val="left" w:pos="7655"/>
        </w:tabs>
        <w:jc w:val="both"/>
      </w:pPr>
      <w:r>
        <w:t xml:space="preserve">Statements of Principles Nos. 48 to 51 were signed by the </w:t>
      </w:r>
      <w:r w:rsidRPr="00FE0453">
        <w:t xml:space="preserve">Chairperson of the </w:t>
      </w:r>
      <w:r w:rsidR="00A82D51">
        <w:t>Authority</w:t>
      </w:r>
      <w:r w:rsidRPr="00FE0453">
        <w:t xml:space="preserve"> on </w:t>
      </w:r>
      <w:r>
        <w:t>26 June 2020</w:t>
      </w:r>
      <w:r w:rsidRPr="00FE0453">
        <w:t xml:space="preserve">. </w:t>
      </w:r>
      <w:r w:rsidRPr="004C50BC">
        <w:t>The day of commencement as specified in each of the</w:t>
      </w:r>
      <w:r>
        <w:t>se</w:t>
      </w:r>
      <w:r w:rsidRPr="004C50BC">
        <w:t xml:space="preserve"> </w:t>
      </w:r>
      <w:r>
        <w:t xml:space="preserve">Instruments </w:t>
      </w:r>
      <w:r w:rsidRPr="004C50BC">
        <w:t xml:space="preserve">is </w:t>
      </w:r>
      <w:r>
        <w:t>27 July 2020</w:t>
      </w:r>
      <w:r w:rsidRPr="004C50BC">
        <w:t>.</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263F9627" w:rsidR="00B803B0" w:rsidRPr="0080326C" w:rsidRDefault="00DF0D56" w:rsidP="00B803B0">
      <w:pPr>
        <w:tabs>
          <w:tab w:val="left" w:pos="2410"/>
          <w:tab w:val="left" w:pos="7655"/>
        </w:tabs>
        <w:jc w:val="both"/>
      </w:pPr>
      <w:r>
        <w:t>A</w:t>
      </w:r>
      <w:r w:rsidR="00B803B0" w:rsidRPr="0080326C">
        <w:t xml:space="preserve"> list of references relating to each </w:t>
      </w:r>
      <w:r w:rsidR="00AA1792">
        <w:t>Statement of Principles</w:t>
      </w:r>
      <w:r w:rsidR="00B803B0" w:rsidRPr="0080326C">
        <w:t xml:space="preserve">, </w:t>
      </w:r>
      <w:r>
        <w:t>is</w:t>
      </w:r>
      <w:r w:rsidR="00B803B0" w:rsidRPr="0080326C">
        <w:t xml:space="preserve"> available </w:t>
      </w:r>
      <w:r>
        <w:t xml:space="preserve">on the Authority's website at </w:t>
      </w:r>
      <w:hyperlink r:id="rId9" w:history="1">
        <w:r w:rsidRPr="00FA5B8B">
          <w:rPr>
            <w:rStyle w:val="Hyperlink"/>
            <w:szCs w:val="24"/>
          </w:rPr>
          <w:t>http://www.rma.gov.au</w:t>
        </w:r>
      </w:hyperlink>
      <w:r>
        <w:rPr>
          <w:szCs w:val="24"/>
        </w:rPr>
        <w: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5776D5A4" w:rsidR="00191676" w:rsidRPr="0080326C" w:rsidRDefault="00B56E94" w:rsidP="004669F2">
      <w:pPr>
        <w:tabs>
          <w:tab w:val="left" w:pos="2410"/>
          <w:tab w:val="left" w:pos="7655"/>
        </w:tabs>
        <w:rPr>
          <w:sz w:val="16"/>
        </w:rPr>
      </w:pPr>
      <w:r>
        <w:t>3 July</w:t>
      </w:r>
      <w:r w:rsidR="00B87480">
        <w:t xml:space="preserve"> 2020</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6B3C1A1" w:rsidR="00191676" w:rsidRPr="00A73805" w:rsidRDefault="00025F5E" w:rsidP="00F731B4">
            <w:pPr>
              <w:rPr>
                <w:b/>
              </w:rPr>
            </w:pPr>
            <w:r>
              <w:rPr>
                <w:b/>
              </w:rPr>
              <w:t>DETERMINATIONS</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2FFD5FDF" w:rsidR="00B87480" w:rsidRPr="00A73805" w:rsidRDefault="00025F5E" w:rsidP="00025F5E">
            <w:pPr>
              <w:rPr>
                <w:szCs w:val="24"/>
              </w:rPr>
            </w:pPr>
            <w:r>
              <w:rPr>
                <w:szCs w:val="24"/>
              </w:rPr>
              <w:t>46</w:t>
            </w:r>
            <w:r w:rsidR="00B87480">
              <w:rPr>
                <w:szCs w:val="24"/>
              </w:rPr>
              <w:t xml:space="preserve"> &amp; </w:t>
            </w:r>
            <w:r>
              <w:rPr>
                <w:szCs w:val="24"/>
              </w:rPr>
              <w:t>47</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6C677406" w14:textId="48EF2CB7" w:rsidR="00B87480" w:rsidRPr="000419B9" w:rsidRDefault="00025F5E" w:rsidP="00B87480">
            <w:r>
              <w:t>coronavirus disease 2019 (COVID-19)</w:t>
            </w:r>
          </w:p>
        </w:tc>
        <w:tc>
          <w:tcPr>
            <w:tcW w:w="1984" w:type="dxa"/>
            <w:tcBorders>
              <w:top w:val="single" w:sz="6" w:space="0" w:color="auto"/>
              <w:left w:val="single" w:sz="6" w:space="0" w:color="auto"/>
              <w:bottom w:val="single" w:sz="6" w:space="0" w:color="auto"/>
              <w:right w:val="single" w:sz="6" w:space="0" w:color="auto"/>
            </w:tcBorders>
          </w:tcPr>
          <w:p w14:paraId="57DB043D" w14:textId="366DB9CA" w:rsidR="00B87480" w:rsidRPr="00A73805" w:rsidRDefault="00025F5E" w:rsidP="00025F5E">
            <w:pPr>
              <w:rPr>
                <w:szCs w:val="24"/>
              </w:rPr>
            </w:pPr>
            <w:r>
              <w:rPr>
                <w:szCs w:val="24"/>
              </w:rPr>
              <w:t>22</w:t>
            </w:r>
            <w:r w:rsidR="004C087A">
              <w:rPr>
                <w:szCs w:val="24"/>
              </w:rPr>
              <w:t>/</w:t>
            </w:r>
            <w:r>
              <w:rPr>
                <w:szCs w:val="24"/>
              </w:rPr>
              <w:t>06</w:t>
            </w:r>
            <w:r w:rsidR="00B87480">
              <w:rPr>
                <w:szCs w:val="24"/>
              </w:rPr>
              <w:t>/2020</w:t>
            </w:r>
          </w:p>
        </w:tc>
        <w:tc>
          <w:tcPr>
            <w:tcW w:w="2250" w:type="dxa"/>
            <w:tcBorders>
              <w:top w:val="single" w:sz="6" w:space="0" w:color="auto"/>
              <w:left w:val="single" w:sz="6" w:space="0" w:color="auto"/>
              <w:bottom w:val="single" w:sz="6" w:space="0" w:color="auto"/>
              <w:right w:val="single" w:sz="6" w:space="0" w:color="auto"/>
            </w:tcBorders>
          </w:tcPr>
          <w:p w14:paraId="083E6DF5" w14:textId="154E3912" w:rsidR="00B87480" w:rsidRPr="00A73805" w:rsidRDefault="00025F5E" w:rsidP="00B87480">
            <w:pPr>
              <w:jc w:val="both"/>
              <w:rPr>
                <w:szCs w:val="24"/>
              </w:rPr>
            </w:pPr>
            <w:r>
              <w:t>Nil</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601FC9" w:rsidRPr="00A73805" w14:paraId="52F10B6F" w14:textId="77777777" w:rsidTr="00905D15">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5B419E" w14:textId="239932A1" w:rsidR="00601FC9" w:rsidRPr="00905D15" w:rsidRDefault="00601FC9" w:rsidP="00B87480">
            <w:pPr>
              <w:rPr>
                <w:b/>
              </w:rPr>
            </w:pPr>
            <w:r w:rsidRPr="00905D15">
              <w:rPr>
                <w:b/>
                <w:szCs w:val="24"/>
              </w:rPr>
              <w:t>REPEALS</w:t>
            </w:r>
          </w:p>
        </w:tc>
      </w:tr>
      <w:tr w:rsidR="00601FC9" w:rsidRPr="00A73805" w14:paraId="24E53922" w14:textId="77777777" w:rsidTr="00905D15">
        <w:trPr>
          <w:cantSplit/>
        </w:trPr>
        <w:tc>
          <w:tcPr>
            <w:tcW w:w="1862" w:type="dxa"/>
            <w:tcBorders>
              <w:top w:val="single" w:sz="6" w:space="0" w:color="auto"/>
              <w:left w:val="single" w:sz="6" w:space="0" w:color="auto"/>
              <w:bottom w:val="single" w:sz="6" w:space="0" w:color="auto"/>
              <w:right w:val="single" w:sz="6" w:space="0" w:color="auto"/>
            </w:tcBorders>
          </w:tcPr>
          <w:p w14:paraId="16C9BB9E" w14:textId="77777777" w:rsidR="00601FC9" w:rsidRDefault="00601FC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542F4948" w14:textId="77777777" w:rsidR="00601FC9" w:rsidRPr="000419B9" w:rsidRDefault="00601FC9" w:rsidP="00B87480"/>
        </w:tc>
        <w:tc>
          <w:tcPr>
            <w:tcW w:w="1984" w:type="dxa"/>
            <w:tcBorders>
              <w:top w:val="single" w:sz="6" w:space="0" w:color="auto"/>
              <w:left w:val="single" w:sz="6" w:space="0" w:color="auto"/>
              <w:bottom w:val="single" w:sz="6" w:space="0" w:color="auto"/>
              <w:right w:val="single" w:sz="6" w:space="0" w:color="auto"/>
            </w:tcBorders>
          </w:tcPr>
          <w:p w14:paraId="351B216E" w14:textId="77777777" w:rsidR="00601FC9" w:rsidRDefault="00601FC9" w:rsidP="00B87480">
            <w:pPr>
              <w:rPr>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tcPr>
          <w:p w14:paraId="6CDE3D5E" w14:textId="77777777" w:rsidR="00601FC9" w:rsidRPr="00BB7B5C" w:rsidRDefault="00601FC9" w:rsidP="00B87480"/>
        </w:tc>
      </w:tr>
      <w:tr w:rsidR="00C333D8" w:rsidRPr="00A73805" w14:paraId="284D2C0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0B28D6" w14:textId="431B4137" w:rsidR="00C333D8" w:rsidRDefault="00B54176" w:rsidP="00B54176">
            <w:pPr>
              <w:rPr>
                <w:szCs w:val="24"/>
              </w:rPr>
            </w:pPr>
            <w:r>
              <w:rPr>
                <w:szCs w:val="24"/>
              </w:rPr>
              <w:t>48</w:t>
            </w:r>
            <w:r w:rsidR="007E3905">
              <w:rPr>
                <w:szCs w:val="24"/>
              </w:rPr>
              <w:t xml:space="preserve"> &amp; </w:t>
            </w:r>
            <w:r>
              <w:rPr>
                <w:szCs w:val="24"/>
              </w:rPr>
              <w:t>49</w:t>
            </w:r>
            <w:r w:rsidR="007E3905">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302A87BD" w14:textId="0BAF1ACD" w:rsidR="00C333D8" w:rsidRPr="000419B9" w:rsidRDefault="00A82D51" w:rsidP="00C333D8">
            <w:r>
              <w:t>diabetes mellitus</w:t>
            </w:r>
          </w:p>
        </w:tc>
        <w:tc>
          <w:tcPr>
            <w:tcW w:w="1984" w:type="dxa"/>
            <w:tcBorders>
              <w:top w:val="single" w:sz="6" w:space="0" w:color="auto"/>
              <w:left w:val="single" w:sz="6" w:space="0" w:color="auto"/>
              <w:bottom w:val="single" w:sz="6" w:space="0" w:color="auto"/>
              <w:right w:val="single" w:sz="6" w:space="0" w:color="auto"/>
            </w:tcBorders>
          </w:tcPr>
          <w:p w14:paraId="6AA62A03" w14:textId="374B1314" w:rsidR="00C333D8" w:rsidRDefault="004C087A" w:rsidP="00A82D51">
            <w:pPr>
              <w:rPr>
                <w:szCs w:val="24"/>
              </w:rPr>
            </w:pPr>
            <w:r>
              <w:rPr>
                <w:szCs w:val="24"/>
              </w:rPr>
              <w:t>2</w:t>
            </w:r>
            <w:r w:rsidR="00A82D51">
              <w:rPr>
                <w:szCs w:val="24"/>
              </w:rPr>
              <w:t>7</w:t>
            </w:r>
            <w:r>
              <w:rPr>
                <w:szCs w:val="24"/>
              </w:rPr>
              <w:t>/0</w:t>
            </w:r>
            <w:r w:rsidR="00A82D51">
              <w:rPr>
                <w:szCs w:val="24"/>
              </w:rPr>
              <w:t>7</w:t>
            </w:r>
            <w:r>
              <w:rPr>
                <w:szCs w:val="24"/>
              </w:rPr>
              <w:t>/2020</w:t>
            </w:r>
          </w:p>
        </w:tc>
        <w:tc>
          <w:tcPr>
            <w:tcW w:w="2250" w:type="dxa"/>
            <w:tcBorders>
              <w:top w:val="single" w:sz="6" w:space="0" w:color="auto"/>
              <w:left w:val="single" w:sz="6" w:space="0" w:color="auto"/>
              <w:bottom w:val="single" w:sz="6" w:space="0" w:color="auto"/>
              <w:right w:val="single" w:sz="6" w:space="0" w:color="auto"/>
            </w:tcBorders>
          </w:tcPr>
          <w:p w14:paraId="03A69274" w14:textId="135F4F97" w:rsidR="00C333D8" w:rsidRPr="00DE56B2" w:rsidRDefault="00A82D51" w:rsidP="00C333D8">
            <w:pPr>
              <w:rPr>
                <w:szCs w:val="24"/>
              </w:rPr>
            </w:pPr>
            <w:r w:rsidRPr="001068CD">
              <w:t>E10, E11, E12, E13 or E14</w:t>
            </w:r>
          </w:p>
        </w:tc>
      </w:tr>
      <w:tr w:rsidR="00B87480" w:rsidRPr="00A73805" w14:paraId="5DADA4D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39FEC9A"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1944AFC8"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7B184B58"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E0F57F1" w14:textId="77777777" w:rsidR="00B87480" w:rsidRDefault="00B87480" w:rsidP="00B87480">
            <w:pPr>
              <w:rPr>
                <w:szCs w:val="24"/>
              </w:rPr>
            </w:pPr>
          </w:p>
        </w:tc>
      </w:tr>
      <w:tr w:rsidR="00B87480" w:rsidRPr="00A73805" w14:paraId="0B6B0DF1"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998F842" w14:textId="6CE28290" w:rsidR="00B87480" w:rsidRDefault="00A82D51" w:rsidP="004C087A">
            <w:pPr>
              <w:rPr>
                <w:szCs w:val="24"/>
              </w:rPr>
            </w:pPr>
            <w:r>
              <w:rPr>
                <w:szCs w:val="24"/>
              </w:rPr>
              <w:t>50 &amp; 51</w:t>
            </w:r>
            <w:r w:rsidR="007E3905">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2C78F25D" w14:textId="6E54B19E" w:rsidR="00B87480" w:rsidRPr="000419B9" w:rsidRDefault="00A82D51" w:rsidP="00B87480">
            <w:r>
              <w:t>retinal vascular occlusion</w:t>
            </w:r>
          </w:p>
        </w:tc>
        <w:tc>
          <w:tcPr>
            <w:tcW w:w="1984" w:type="dxa"/>
            <w:tcBorders>
              <w:top w:val="single" w:sz="6" w:space="0" w:color="auto"/>
              <w:left w:val="single" w:sz="6" w:space="0" w:color="auto"/>
              <w:bottom w:val="single" w:sz="6" w:space="0" w:color="auto"/>
              <w:right w:val="single" w:sz="6" w:space="0" w:color="auto"/>
            </w:tcBorders>
          </w:tcPr>
          <w:p w14:paraId="36F6B353" w14:textId="3D4D13F2" w:rsidR="00B87480" w:rsidRPr="00A73805" w:rsidRDefault="00A82D51" w:rsidP="00A82D51">
            <w:pPr>
              <w:rPr>
                <w:szCs w:val="24"/>
              </w:rPr>
            </w:pPr>
            <w:r>
              <w:rPr>
                <w:szCs w:val="24"/>
              </w:rPr>
              <w:t>27</w:t>
            </w:r>
            <w:r w:rsidR="004C087A">
              <w:rPr>
                <w:szCs w:val="24"/>
              </w:rPr>
              <w:t>/</w:t>
            </w:r>
            <w:r>
              <w:rPr>
                <w:szCs w:val="24"/>
              </w:rPr>
              <w:t>07</w:t>
            </w:r>
            <w:r w:rsidR="004C087A">
              <w:rPr>
                <w:szCs w:val="24"/>
              </w:rPr>
              <w:t>/2020</w:t>
            </w:r>
          </w:p>
        </w:tc>
        <w:tc>
          <w:tcPr>
            <w:tcW w:w="2250" w:type="dxa"/>
            <w:tcBorders>
              <w:top w:val="single" w:sz="6" w:space="0" w:color="auto"/>
              <w:left w:val="single" w:sz="6" w:space="0" w:color="auto"/>
              <w:bottom w:val="single" w:sz="6" w:space="0" w:color="auto"/>
              <w:right w:val="single" w:sz="6" w:space="0" w:color="auto"/>
            </w:tcBorders>
          </w:tcPr>
          <w:p w14:paraId="314A5351" w14:textId="55204C37" w:rsidR="00B87480" w:rsidRPr="00DE56B2" w:rsidRDefault="00A82D51" w:rsidP="00B87480">
            <w:pPr>
              <w:rPr>
                <w:szCs w:val="24"/>
              </w:rPr>
            </w:pPr>
            <w:r w:rsidRPr="0099232D">
              <w:t>H34</w:t>
            </w:r>
          </w:p>
        </w:tc>
      </w:tr>
      <w:tr w:rsidR="00B87480" w:rsidRPr="00A73805" w14:paraId="4162559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5027CEB"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B7EF6D8" w14:textId="77777777" w:rsidR="00B87480" w:rsidRPr="000419B9" w:rsidRDefault="00B87480" w:rsidP="00BC0A31">
            <w:pPr>
              <w:jc w:val="center"/>
            </w:pPr>
          </w:p>
        </w:tc>
        <w:tc>
          <w:tcPr>
            <w:tcW w:w="1984" w:type="dxa"/>
            <w:tcBorders>
              <w:top w:val="single" w:sz="6" w:space="0" w:color="auto"/>
              <w:left w:val="single" w:sz="6" w:space="0" w:color="auto"/>
              <w:bottom w:val="single" w:sz="6" w:space="0" w:color="auto"/>
              <w:right w:val="single" w:sz="6" w:space="0" w:color="auto"/>
            </w:tcBorders>
          </w:tcPr>
          <w:p w14:paraId="00D0B482"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1A99267" w14:textId="77777777" w:rsidR="00B87480" w:rsidRDefault="00B87480" w:rsidP="00B87480"/>
        </w:tc>
      </w:tr>
    </w:tbl>
    <w:p w14:paraId="54953F9A" w14:textId="77777777" w:rsidR="0098194E" w:rsidRDefault="0098194E" w:rsidP="00FF62E2">
      <w:pPr>
        <w:spacing w:after="60"/>
        <w:ind w:left="142"/>
        <w:rPr>
          <w:b/>
        </w:rPr>
      </w:pPr>
    </w:p>
    <w:p w14:paraId="7CB5D307" w14:textId="61301888" w:rsidR="003908EE" w:rsidRPr="009929DD" w:rsidRDefault="003908EE" w:rsidP="003908EE">
      <w:pPr>
        <w:spacing w:after="60"/>
        <w:rPr>
          <w:sz w:val="22"/>
          <w:szCs w:val="22"/>
        </w:rPr>
      </w:pPr>
      <w:r w:rsidRPr="009929DD">
        <w:rPr>
          <w:sz w:val="22"/>
          <w:szCs w:val="22"/>
        </w:rPr>
        <w:t>Note:</w:t>
      </w:r>
    </w:p>
    <w:p w14:paraId="666DBCCF" w14:textId="788C4C9F" w:rsidR="00C333D8" w:rsidRPr="00C333D8" w:rsidRDefault="004C087A" w:rsidP="00A82D51">
      <w:pPr>
        <w:pStyle w:val="ListParagraph"/>
        <w:numPr>
          <w:ilvl w:val="0"/>
          <w:numId w:val="6"/>
        </w:numPr>
        <w:ind w:right="-392"/>
        <w:contextualSpacing w:val="0"/>
        <w:rPr>
          <w:sz w:val="22"/>
          <w:szCs w:val="22"/>
        </w:rPr>
      </w:pPr>
      <w:r w:rsidRPr="004C087A">
        <w:rPr>
          <w:sz w:val="22"/>
          <w:szCs w:val="22"/>
        </w:rPr>
        <w:t>The investigation concerning '</w:t>
      </w:r>
      <w:r w:rsidR="00A82D51">
        <w:rPr>
          <w:sz w:val="22"/>
          <w:szCs w:val="22"/>
        </w:rPr>
        <w:t>retinal vascular occlusive disease</w:t>
      </w:r>
      <w:r w:rsidRPr="004C087A">
        <w:rPr>
          <w:sz w:val="22"/>
          <w:szCs w:val="22"/>
        </w:rPr>
        <w:t xml:space="preserve">' has resulted in the determination of Statements of Principles concerning </w:t>
      </w:r>
      <w:r w:rsidR="00A82D51">
        <w:rPr>
          <w:sz w:val="22"/>
          <w:szCs w:val="22"/>
        </w:rPr>
        <w:t>retinal vascular occlusion</w:t>
      </w:r>
      <w:r w:rsidRPr="004C087A">
        <w:rPr>
          <w:sz w:val="22"/>
          <w:szCs w:val="22"/>
        </w:rPr>
        <w:t>.</w:t>
      </w:r>
    </w:p>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58" w:type="dxa"/>
        <w:tblInd w:w="-559" w:type="dxa"/>
        <w:tblLayout w:type="fixed"/>
        <w:tblLook w:val="0000" w:firstRow="0" w:lastRow="0" w:firstColumn="0" w:lastColumn="0" w:noHBand="0" w:noVBand="0"/>
      </w:tblPr>
      <w:tblGrid>
        <w:gridCol w:w="8"/>
        <w:gridCol w:w="1110"/>
        <w:gridCol w:w="1858"/>
        <w:gridCol w:w="8"/>
        <w:gridCol w:w="7774"/>
      </w:tblGrid>
      <w:tr w:rsidR="00AE6C37" w:rsidRPr="00A73805" w14:paraId="24134083" w14:textId="77777777" w:rsidTr="007033C1">
        <w:trPr>
          <w:tblHeader/>
        </w:trPr>
        <w:tc>
          <w:tcPr>
            <w:tcW w:w="10758" w:type="dxa"/>
            <w:gridSpan w:val="5"/>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14:paraId="2A1F210C" w14:textId="77777777" w:rsidTr="00131865">
        <w:tc>
          <w:tcPr>
            <w:tcW w:w="1118" w:type="dxa"/>
            <w:gridSpan w:val="2"/>
            <w:tcBorders>
              <w:top w:val="single" w:sz="6" w:space="0" w:color="auto"/>
              <w:left w:val="single" w:sz="6" w:space="0" w:color="auto"/>
              <w:bottom w:val="single" w:sz="6" w:space="0" w:color="auto"/>
              <w:right w:val="single" w:sz="6" w:space="0" w:color="auto"/>
            </w:tcBorders>
          </w:tcPr>
          <w:p w14:paraId="119E9897" w14:textId="2F544D48" w:rsidR="00AE6C37" w:rsidRPr="001B31C5" w:rsidRDefault="00A82D51" w:rsidP="0003039A">
            <w:pPr>
              <w:rPr>
                <w:sz w:val="20"/>
              </w:rPr>
            </w:pPr>
            <w:r>
              <w:rPr>
                <w:sz w:val="20"/>
              </w:rPr>
              <w:t>46</w:t>
            </w:r>
            <w:r w:rsidR="00A9200E">
              <w:rPr>
                <w:sz w:val="20"/>
              </w:rPr>
              <w:t xml:space="preserve"> &amp; </w:t>
            </w:r>
            <w:r w:rsidR="0003039A">
              <w:rPr>
                <w:sz w:val="20"/>
              </w:rPr>
              <w:t>47</w:t>
            </w:r>
            <w:r w:rsidR="00C95605" w:rsidRPr="001B31C5">
              <w:rPr>
                <w:sz w:val="20"/>
              </w:rPr>
              <w:t>/20</w:t>
            </w:r>
            <w:r w:rsidR="00B34550">
              <w:rPr>
                <w:sz w:val="20"/>
              </w:rPr>
              <w:t>20</w:t>
            </w:r>
          </w:p>
        </w:tc>
        <w:tc>
          <w:tcPr>
            <w:tcW w:w="1858" w:type="dxa"/>
            <w:tcBorders>
              <w:top w:val="single" w:sz="2" w:space="0" w:color="auto"/>
              <w:left w:val="single" w:sz="6" w:space="0" w:color="auto"/>
              <w:bottom w:val="single" w:sz="6" w:space="0" w:color="auto"/>
              <w:right w:val="single" w:sz="6" w:space="0" w:color="auto"/>
            </w:tcBorders>
          </w:tcPr>
          <w:p w14:paraId="0C5098C6" w14:textId="794D2F45" w:rsidR="00AE6C37" w:rsidRPr="001B31C5" w:rsidRDefault="0003039A" w:rsidP="00B34550">
            <w:pPr>
              <w:rPr>
                <w:sz w:val="20"/>
              </w:rPr>
            </w:pPr>
            <w:r>
              <w:rPr>
                <w:sz w:val="20"/>
              </w:rPr>
              <w:t>coronavirus disease 2019 (COVID-19)</w:t>
            </w:r>
          </w:p>
        </w:tc>
        <w:tc>
          <w:tcPr>
            <w:tcW w:w="7782" w:type="dxa"/>
            <w:gridSpan w:val="2"/>
            <w:tcBorders>
              <w:top w:val="single" w:sz="6" w:space="0" w:color="auto"/>
              <w:left w:val="single" w:sz="6" w:space="0" w:color="auto"/>
              <w:bottom w:val="single" w:sz="6" w:space="0" w:color="auto"/>
              <w:right w:val="single" w:sz="6" w:space="0" w:color="auto"/>
            </w:tcBorders>
          </w:tcPr>
          <w:p w14:paraId="25D732E6" w14:textId="77777777" w:rsidR="0003039A" w:rsidRPr="00965508" w:rsidRDefault="0003039A" w:rsidP="0003039A">
            <w:pPr>
              <w:pStyle w:val="BodyText"/>
              <w:tabs>
                <w:tab w:val="left" w:pos="6753"/>
              </w:tabs>
              <w:spacing w:after="60"/>
              <w:ind w:right="33"/>
              <w:jc w:val="both"/>
              <w:rPr>
                <w:b/>
              </w:rPr>
            </w:pPr>
            <w:r w:rsidRPr="00965508">
              <w:rPr>
                <w:b/>
              </w:rPr>
              <w:t>New Condition</w:t>
            </w:r>
          </w:p>
          <w:p w14:paraId="4BC86CB5" w14:textId="14CF960B" w:rsidR="0003039A" w:rsidRDefault="0003039A" w:rsidP="0003039A">
            <w:pPr>
              <w:pStyle w:val="BodyText"/>
              <w:spacing w:after="120"/>
              <w:ind w:left="34" w:right="272"/>
              <w:rPr>
                <w:b/>
              </w:rPr>
            </w:pPr>
            <w:r w:rsidRPr="001B31C5">
              <w:t xml:space="preserve">These Instruments result from an investigation notified by the Authority in the Government Notices Gazette of </w:t>
            </w:r>
            <w:r>
              <w:t>23 April 2020</w:t>
            </w:r>
            <w:r w:rsidRPr="004D7CA1">
              <w:t xml:space="preserve"> </w:t>
            </w:r>
            <w:r w:rsidRPr="001B31C5">
              <w:t xml:space="preserve">concerning </w:t>
            </w:r>
            <w:r>
              <w:rPr>
                <w:i/>
              </w:rPr>
              <w:t xml:space="preserve">coronavirus disease 2019 (COVID-19) </w:t>
            </w:r>
            <w:r w:rsidRPr="001B31C5">
              <w:t>in accordance with section 196G of the VEA. The investigation involved an examination of the sound medical-scientific evidence available to the Authority.</w:t>
            </w:r>
            <w:r>
              <w:rPr>
                <w:szCs w:val="24"/>
              </w:rPr>
              <w:t xml:space="preserve"> </w:t>
            </w:r>
          </w:p>
          <w:p w14:paraId="44A9333A" w14:textId="167C64DF" w:rsidR="00AE6C37" w:rsidRPr="001B31C5" w:rsidRDefault="0003039A" w:rsidP="0003039A">
            <w:pPr>
              <w:pStyle w:val="BodyText"/>
              <w:spacing w:after="60"/>
              <w:ind w:right="272"/>
              <w:jc w:val="both"/>
              <w:rPr>
                <w:b/>
                <w:sz w:val="19"/>
                <w:szCs w:val="19"/>
              </w:rPr>
            </w:pPr>
            <w:r w:rsidRPr="00965508">
              <w:rPr>
                <w:b/>
              </w:rPr>
              <w:t xml:space="preserve">The determining of these new Instruments finalises the investigation in relation to </w:t>
            </w:r>
            <w:r>
              <w:rPr>
                <w:b/>
                <w:i/>
              </w:rPr>
              <w:t>coronavirus disease 2019 (COVID-19)</w:t>
            </w:r>
            <w:r w:rsidRPr="00965508">
              <w:rPr>
                <w:b/>
                <w:i/>
              </w:rPr>
              <w:t xml:space="preserve">, </w:t>
            </w:r>
            <w:r w:rsidRPr="00965508">
              <w:rPr>
                <w:b/>
              </w:rPr>
              <w:t xml:space="preserve">as advertised in the Government Notices Gazette of </w:t>
            </w:r>
            <w:r>
              <w:rPr>
                <w:b/>
              </w:rPr>
              <w:t>23 April 2020</w:t>
            </w:r>
            <w:r w:rsidRPr="00965508">
              <w:rPr>
                <w:b/>
              </w:rPr>
              <w:t>.</w:t>
            </w:r>
          </w:p>
        </w:tc>
      </w:tr>
      <w:tr w:rsidR="00A92676" w:rsidRPr="00A92676" w14:paraId="4973CF3B"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07438F32" w14:textId="5DE38460" w:rsidR="00D5572B" w:rsidRPr="001B31C5" w:rsidRDefault="0003039A" w:rsidP="0003039A">
            <w:pPr>
              <w:rPr>
                <w:sz w:val="20"/>
              </w:rPr>
            </w:pPr>
            <w:r>
              <w:rPr>
                <w:sz w:val="20"/>
                <w:szCs w:val="24"/>
              </w:rPr>
              <w:t>48</w:t>
            </w:r>
            <w:r w:rsidR="00486590">
              <w:rPr>
                <w:sz w:val="20"/>
                <w:szCs w:val="24"/>
              </w:rPr>
              <w:t xml:space="preserve"> &amp; </w:t>
            </w:r>
            <w:r>
              <w:rPr>
                <w:sz w:val="20"/>
                <w:szCs w:val="24"/>
              </w:rPr>
              <w:t>49</w:t>
            </w:r>
            <w:r w:rsidR="00C95605" w:rsidRPr="001B31C5">
              <w:rPr>
                <w:sz w:val="20"/>
                <w:szCs w:val="24"/>
              </w:rPr>
              <w:t>/20</w:t>
            </w:r>
            <w:r w:rsidR="00F84F5E">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5DCE0A23" w:rsidR="00D5572B" w:rsidRPr="001B31C5" w:rsidRDefault="0003039A" w:rsidP="004D7CA1">
            <w:pPr>
              <w:rPr>
                <w:sz w:val="20"/>
              </w:rPr>
            </w:pPr>
            <w:r>
              <w:rPr>
                <w:sz w:val="20"/>
              </w:rPr>
              <w:t>diabetes mellitus</w:t>
            </w:r>
          </w:p>
        </w:tc>
        <w:tc>
          <w:tcPr>
            <w:tcW w:w="7774" w:type="dxa"/>
            <w:tcBorders>
              <w:top w:val="single" w:sz="6" w:space="0" w:color="auto"/>
              <w:left w:val="single" w:sz="6" w:space="0" w:color="auto"/>
              <w:bottom w:val="single" w:sz="6" w:space="0" w:color="auto"/>
              <w:right w:val="single" w:sz="6" w:space="0" w:color="auto"/>
            </w:tcBorders>
          </w:tcPr>
          <w:p w14:paraId="3808E61C" w14:textId="38797AC0" w:rsidR="00D5572B" w:rsidRPr="001B31C5" w:rsidRDefault="00D5572B" w:rsidP="00D5572B">
            <w:pPr>
              <w:pStyle w:val="BodyText"/>
              <w:tabs>
                <w:tab w:val="left" w:pos="6753"/>
              </w:tabs>
              <w:spacing w:after="60"/>
              <w:ind w:right="33"/>
              <w:jc w:val="both"/>
            </w:pPr>
            <w:r w:rsidRPr="001B31C5">
              <w:t xml:space="preserve">These Instruments result from an investigation notified by the Authority in the Government Notices Gazette of </w:t>
            </w:r>
            <w:r w:rsidR="0003039A">
              <w:t>6 November 2018</w:t>
            </w:r>
            <w:r w:rsidR="004D7CA1" w:rsidRPr="004D7CA1">
              <w:t xml:space="preserve"> </w:t>
            </w:r>
            <w:r w:rsidRPr="001B31C5">
              <w:t xml:space="preserve">concerning </w:t>
            </w:r>
            <w:r w:rsidR="0003039A">
              <w:rPr>
                <w:i/>
              </w:rPr>
              <w:t>diabetes mellitus</w:t>
            </w:r>
            <w:r w:rsidR="004D7CA1" w:rsidRPr="004D7CA1">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7C4A7F98" w:rsidR="00D5572B" w:rsidRPr="001B31C5" w:rsidRDefault="000858B4" w:rsidP="007E6E49">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7223EA">
              <w:rPr>
                <w:b/>
                <w:i/>
              </w:rPr>
              <w:t>48</w:t>
            </w:r>
            <w:r w:rsidRPr="001B31C5">
              <w:rPr>
                <w:b/>
                <w:i/>
              </w:rPr>
              <w:t>/20</w:t>
            </w:r>
            <w:r w:rsidR="00F84F5E">
              <w:rPr>
                <w:b/>
                <w:i/>
              </w:rPr>
              <w:t>20</w:t>
            </w:r>
            <w:r w:rsidRPr="001B31C5">
              <w:rPr>
                <w:b/>
                <w:i/>
              </w:rPr>
              <w:t>)</w:t>
            </w:r>
          </w:p>
          <w:p w14:paraId="1F944233"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adopting the latest revised Instrument format, which commenced in 2015;</w:t>
            </w:r>
          </w:p>
          <w:p w14:paraId="15BC5A2C"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specifying a day of commencement for the Instrument in section 2;</w:t>
            </w:r>
          </w:p>
          <w:p w14:paraId="75DC13F0"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definition of 'diabetes mellitus' in subsection 7(2);</w:t>
            </w:r>
          </w:p>
          <w:p w14:paraId="16F5C2BE"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reference to 'ICD-10-AM code' in subsection 7(4);</w:t>
            </w:r>
          </w:p>
          <w:p w14:paraId="6D3CC3DE"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subsections 9(1) and 9(9) concerning having an endocrine disorder;</w:t>
            </w:r>
          </w:p>
          <w:p w14:paraId="4F331B7A"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subsections 9(2) and 9(10) concerning solid organ transplant or bone marrow transplant;</w:t>
            </w:r>
          </w:p>
          <w:p w14:paraId="76B1ECA9"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subsections 9(3) and 9(11) concerning having glucocorticoid therapy;</w:t>
            </w:r>
          </w:p>
          <w:p w14:paraId="22D10B54"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subsections 9(4) and 9(12) concerning treatment with a drug from the Specified List 1 of drugs;</w:t>
            </w:r>
          </w:p>
          <w:p w14:paraId="48AC59C6"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subsections 9(5) and 9(13) concerning treatment with a drug from the antidepressant or antipsychotic classes of drugs;</w:t>
            </w:r>
          </w:p>
          <w:p w14:paraId="16FCECFB"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 in paragraph 9(6)(a) concerning surgery to the pancreas, for clinical onset and for type 1 diabetes mellitus only;</w:t>
            </w:r>
          </w:p>
          <w:p w14:paraId="001C09D1"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paragraph 9(6)(b) concerning splenectomy for trauma, for clinical onset and for type 1 diabetes mellitus only;</w:t>
            </w:r>
          </w:p>
          <w:p w14:paraId="4EB145FB"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paragraph 9(6)(c) concerning therapeutic radiation for cancer where the pancreas was in the field of radiation, for clinical onset and for type 1 diabetes mellitus only;</w:t>
            </w:r>
          </w:p>
          <w:p w14:paraId="01D68ABA"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 in paragraph 9(6)(d) concerning having a specified pathological condition involving the pancreas, for clinical onset and for type 1 diabetes mellitus only;</w:t>
            </w:r>
          </w:p>
          <w:p w14:paraId="1E94A996"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 xml:space="preserve">revising the factor in paragraph 9(6)(e) concerning haemolytic </w:t>
            </w:r>
            <w:proofErr w:type="spellStart"/>
            <w:r w:rsidRPr="004E27E5">
              <w:rPr>
                <w:sz w:val="20"/>
                <w:lang w:val="en-GB"/>
              </w:rPr>
              <w:t>uraemic</w:t>
            </w:r>
            <w:proofErr w:type="spellEnd"/>
            <w:r w:rsidRPr="004E27E5">
              <w:rPr>
                <w:sz w:val="20"/>
                <w:lang w:val="en-GB"/>
              </w:rPr>
              <w:t xml:space="preserve"> syndrome, for clinical onset and for type 1 diabetes mellitus only;</w:t>
            </w:r>
          </w:p>
          <w:p w14:paraId="483A92D2"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 in paragraph 9(6)(f) concerning ingesting N-3-pyridyl methyl-N'-p-</w:t>
            </w:r>
            <w:proofErr w:type="spellStart"/>
            <w:r w:rsidRPr="004E27E5">
              <w:rPr>
                <w:sz w:val="20"/>
                <w:lang w:val="en-GB"/>
              </w:rPr>
              <w:t>nitrophenyl</w:t>
            </w:r>
            <w:proofErr w:type="spellEnd"/>
            <w:r w:rsidRPr="004E27E5">
              <w:rPr>
                <w:sz w:val="20"/>
                <w:lang w:val="en-GB"/>
              </w:rPr>
              <w:t xml:space="preserve"> urea (</w:t>
            </w:r>
            <w:proofErr w:type="spellStart"/>
            <w:r w:rsidRPr="004E27E5">
              <w:rPr>
                <w:sz w:val="20"/>
                <w:lang w:val="en-GB"/>
              </w:rPr>
              <w:t>Vacor</w:t>
            </w:r>
            <w:proofErr w:type="spellEnd"/>
            <w:r w:rsidRPr="004E27E5">
              <w:rPr>
                <w:sz w:val="20"/>
                <w:lang w:val="en-GB"/>
              </w:rPr>
              <w:t>), for clinical onset and for type 1 diabetes mellitus only;</w:t>
            </w:r>
          </w:p>
          <w:p w14:paraId="0A1F5D08"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 in paragraph 9(6)(h) concerning having infection with a Coxsackie B virus, for clinical onset and for type 1 diabetes mellitus only;</w:t>
            </w:r>
          </w:p>
          <w:p w14:paraId="7040AE1B"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9(7)(a) and 9(23)(a) concerning smoking of tobacco products, for type 2 diabetes mellitus only;</w:t>
            </w:r>
          </w:p>
          <w:p w14:paraId="7C643678"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9(7)(b) and 9(23)(b) concerning exposure to second-hand smoke, for type 2 diabetes mellitus only;</w:t>
            </w:r>
          </w:p>
          <w:p w14:paraId="2B8A92C1"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9(7)(c) and 9(23)(c) concerning being overweight or obese, for type 2 diabetes mellitus only;</w:t>
            </w:r>
          </w:p>
          <w:p w14:paraId="7E2CC502"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9(7)(d) and 9(23)(d) concerning inability to undertake moderate physical activity, for type 2 diabetes mellitus only;</w:t>
            </w:r>
          </w:p>
          <w:p w14:paraId="168EE832"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 xml:space="preserve">new factors in paragraphs 9(7)(f) and 9(23)(f) concerning non-alcoholic </w:t>
            </w:r>
            <w:proofErr w:type="spellStart"/>
            <w:r w:rsidRPr="004E27E5">
              <w:rPr>
                <w:sz w:val="20"/>
                <w:lang w:val="en-GB"/>
              </w:rPr>
              <w:t>steatohepatitis</w:t>
            </w:r>
            <w:proofErr w:type="spellEnd"/>
            <w:r w:rsidRPr="004E27E5">
              <w:rPr>
                <w:sz w:val="20"/>
                <w:lang w:val="en-GB"/>
              </w:rPr>
              <w:t>, for type 2 diabetes mellitus only;</w:t>
            </w:r>
          </w:p>
          <w:p w14:paraId="036E936B"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9(7)(g) and 9(23)(g) concerning infection with human immunodeficiency virus, for type 2 diabetes mellitus only;</w:t>
            </w:r>
          </w:p>
          <w:p w14:paraId="441A2DC3"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9(7)(h) and 9(23)(h) concerning infection with hepatitis C virus, for type 2 diabetes mellitus only;</w:t>
            </w:r>
          </w:p>
          <w:p w14:paraId="3B5A6D07"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lastRenderedPageBreak/>
              <w:t>new factors in paragraphs 9(7)(</w:t>
            </w:r>
            <w:proofErr w:type="spellStart"/>
            <w:r w:rsidRPr="004E27E5">
              <w:rPr>
                <w:sz w:val="20"/>
                <w:lang w:val="en-GB"/>
              </w:rPr>
              <w:t>i</w:t>
            </w:r>
            <w:proofErr w:type="spellEnd"/>
            <w:r w:rsidRPr="004E27E5">
              <w:rPr>
                <w:sz w:val="20"/>
                <w:lang w:val="en-GB"/>
              </w:rPr>
              <w:t>) and 9(23)(</w:t>
            </w:r>
            <w:proofErr w:type="spellStart"/>
            <w:r w:rsidRPr="004E27E5">
              <w:rPr>
                <w:sz w:val="20"/>
                <w:lang w:val="en-GB"/>
              </w:rPr>
              <w:t>i</w:t>
            </w:r>
            <w:proofErr w:type="spellEnd"/>
            <w:r w:rsidRPr="004E27E5">
              <w:rPr>
                <w:sz w:val="20"/>
                <w:lang w:val="en-GB"/>
              </w:rPr>
              <w:t>) concerning hypertension, for type 2 diabetes mellitus only;</w:t>
            </w:r>
          </w:p>
          <w:p w14:paraId="1715818F"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factors in paragraphs 9(7)(j) and 9(23)(j) concerning chronic renal failure, for type 2 diabetes mellitus only;</w:t>
            </w:r>
          </w:p>
          <w:p w14:paraId="2F180086"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 xml:space="preserve">new factors in paragraphs 9(7)(k) and 9(23)(k) concerning gout and </w:t>
            </w:r>
            <w:proofErr w:type="spellStart"/>
            <w:r w:rsidRPr="004E27E5">
              <w:rPr>
                <w:sz w:val="20"/>
                <w:lang w:val="en-GB"/>
              </w:rPr>
              <w:t>hyperuricaemia</w:t>
            </w:r>
            <w:proofErr w:type="spellEnd"/>
            <w:r w:rsidRPr="004E27E5">
              <w:rPr>
                <w:sz w:val="20"/>
                <w:lang w:val="en-GB"/>
              </w:rPr>
              <w:t>, for type 2 diabetes mellitus only;</w:t>
            </w:r>
          </w:p>
          <w:p w14:paraId="46D8E9A6"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factors in paragraphs 9(7)(l) and 9(23)(l) concerning posttraumatic stress disorder, for type 2 diabetes mellitus only;</w:t>
            </w:r>
          </w:p>
          <w:p w14:paraId="0A885E66"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paragraph 9(7)(m) concerning depressive disorder, for clinical onset and for type 2 diabetes mellitus only;</w:t>
            </w:r>
          </w:p>
          <w:p w14:paraId="2C9A2168"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paragraph 9(7)(n) concerning bipolar disorder, for clinical onset and for type 2 diabetes mellitus only;</w:t>
            </w:r>
          </w:p>
          <w:p w14:paraId="30006F05"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 in paragraph 9(7)(o) concerning schizophrenia, for clinical onset and for type 2 diabetes mellitus only;</w:t>
            </w:r>
          </w:p>
          <w:p w14:paraId="1BAFDD4C"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9(7)(q) and 9(23)(n) concerning anti-androgen therapy, for type 2 diabetes mellitus only, by the inclusion of a note;</w:t>
            </w:r>
          </w:p>
          <w:p w14:paraId="44C97537"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9(7)(r) and 9(23)(o) concerning being exposed to arsenic, for type 2 diabetes mellitus only, by the inclusion of a note;</w:t>
            </w:r>
          </w:p>
          <w:p w14:paraId="7FA29931"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paragraphs 9(7)(s) and 9(23)(p) concerning being exposed to a chemical agent contaminated by 2,3,7,8-tetrachlorodibenzo-para-dioxin (TCDD), for type 2 diabetes mellitus only, by the inclusion of a note;</w:t>
            </w:r>
          </w:p>
          <w:p w14:paraId="1BDBE151"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paragraph 9(7)(t) concerning inability to breast feed, for clinical onset and for type 2 diabetes mellitus only;</w:t>
            </w:r>
          </w:p>
          <w:p w14:paraId="5D5FA549"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factors in subsections 9(8) and 9(24) concerning pregnancy, for gestational diabetes mellitus and type 2 diabetes mellitus only;</w:t>
            </w:r>
          </w:p>
          <w:p w14:paraId="3954B896"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subsection 9(15) concerning splenectomy for trauma, for clinical worsening;</w:t>
            </w:r>
          </w:p>
          <w:p w14:paraId="023A2EE2"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subsection 9(16) concerning therapeutic radiation for cancer where the pancreas was in the field of radiation, for clinical worsening;</w:t>
            </w:r>
          </w:p>
          <w:p w14:paraId="0D254628"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factor in subsection 9(19) concerning ingesting N-3-pyridyl methyl-N'-p-</w:t>
            </w:r>
            <w:proofErr w:type="spellStart"/>
            <w:r w:rsidRPr="004E27E5">
              <w:rPr>
                <w:sz w:val="20"/>
                <w:lang w:val="en-GB"/>
              </w:rPr>
              <w:t>nitrophenyl</w:t>
            </w:r>
            <w:proofErr w:type="spellEnd"/>
            <w:r w:rsidRPr="004E27E5">
              <w:rPr>
                <w:sz w:val="20"/>
                <w:lang w:val="en-GB"/>
              </w:rPr>
              <w:t xml:space="preserve"> urea (</w:t>
            </w:r>
            <w:proofErr w:type="spellStart"/>
            <w:r w:rsidRPr="004E27E5">
              <w:rPr>
                <w:sz w:val="20"/>
                <w:lang w:val="en-GB"/>
              </w:rPr>
              <w:t>Vacor</w:t>
            </w:r>
            <w:proofErr w:type="spellEnd"/>
            <w:r w:rsidRPr="004E27E5">
              <w:rPr>
                <w:sz w:val="20"/>
                <w:lang w:val="en-GB"/>
              </w:rPr>
              <w:t>), for clinical worsening;</w:t>
            </w:r>
          </w:p>
          <w:p w14:paraId="6A012CE5"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subsection 9(20) concerning depressive disorder, for clinical worsening;</w:t>
            </w:r>
          </w:p>
          <w:p w14:paraId="4A243F26"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subsection 9(21) concerning bipolar disorder, for clinical worsening;</w:t>
            </w:r>
          </w:p>
          <w:p w14:paraId="6B9769EC"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factor in subsection 9(22) concerning schizophrenia, for clinical worsening;</w:t>
            </w:r>
          </w:p>
          <w:p w14:paraId="2AC769C3" w14:textId="414B6996"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deleting the factors concerning having posttraumatic stress disorder, depressive disorder, bipolar disorder or schizophrenia, as the</w:t>
            </w:r>
            <w:r w:rsidR="007454E0">
              <w:rPr>
                <w:sz w:val="20"/>
                <w:lang w:val="en-GB"/>
              </w:rPr>
              <w:t xml:space="preserve">se disorders </w:t>
            </w:r>
            <w:r w:rsidRPr="004E27E5">
              <w:rPr>
                <w:sz w:val="20"/>
                <w:lang w:val="en-GB"/>
              </w:rPr>
              <w:t xml:space="preserve"> are now covered </w:t>
            </w:r>
            <w:r w:rsidR="007454E0">
              <w:rPr>
                <w:sz w:val="20"/>
                <w:lang w:val="en-GB"/>
              </w:rPr>
              <w:t xml:space="preserve">separately </w:t>
            </w:r>
            <w:r w:rsidRPr="004E27E5">
              <w:rPr>
                <w:sz w:val="20"/>
                <w:lang w:val="en-GB"/>
              </w:rPr>
              <w:t>by the factors in paragraphs 9(7)(l) and 9(23)(l) concerning posttraumatic stress disorder, paragraph 9(7)(m) and subsection 9(20) concerning depressive disorder, paragraph 9(7)(n) and subsection 9(21) concerning bipolar disorder, and paragraph 9(7)(o) and subsection 9(22) concerning schizophrenia;</w:t>
            </w:r>
          </w:p>
          <w:p w14:paraId="3F312E63"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new definitions of 'being overweight or obese', 'BMI', 'chronic renal failure', 'having infection with a Coxsackie B virus', '</w:t>
            </w:r>
            <w:proofErr w:type="spellStart"/>
            <w:r w:rsidRPr="004E27E5">
              <w:rPr>
                <w:sz w:val="20"/>
                <w:lang w:val="en-GB"/>
              </w:rPr>
              <w:t>hyperuricaemia</w:t>
            </w:r>
            <w:proofErr w:type="spellEnd"/>
            <w:r w:rsidRPr="004E27E5">
              <w:rPr>
                <w:sz w:val="20"/>
                <w:lang w:val="en-GB"/>
              </w:rPr>
              <w:t>', 'MRCA', 'pack-year of tobacco products', 'Specified List 1 of drugs', 'Specified List 2 of drugs', 'specified list of endocrine disorders' and 'VEA' in Schedule 1 - Dictionary;</w:t>
            </w:r>
          </w:p>
          <w:p w14:paraId="5CCD6FEB" w14:textId="77777777" w:rsidR="004E27E5" w:rsidRPr="004E27E5" w:rsidRDefault="004E27E5" w:rsidP="00461E4C">
            <w:pPr>
              <w:numPr>
                <w:ilvl w:val="0"/>
                <w:numId w:val="1"/>
              </w:numPr>
              <w:tabs>
                <w:tab w:val="num" w:pos="1276"/>
              </w:tabs>
              <w:ind w:left="714" w:hanging="357"/>
              <w:jc w:val="both"/>
              <w:rPr>
                <w:sz w:val="20"/>
                <w:lang w:val="en-GB"/>
              </w:rPr>
            </w:pPr>
            <w:r w:rsidRPr="004E27E5">
              <w:rPr>
                <w:sz w:val="20"/>
                <w:lang w:val="en-GB"/>
              </w:rPr>
              <w:t>revising the definitions of 'anti-androgen therapy as specified', 'being exposed to second-hand smoke', 'equivalent glucocorticoid therapy', 'glucocorticoid therapy as specified' by the inclusion of a note, 'inhaling, ingesting or having cutaneous contact with a chemical agent contaminated by 2,3,7,8-tetrachlorodibenzo-para-dioxin (TCDD)' and 'relevant service' by the inclusion of a note,  in Schedule 1 - Dictionary; and</w:t>
            </w:r>
          </w:p>
          <w:p w14:paraId="17054D5A" w14:textId="057ACD7A" w:rsidR="000858B4" w:rsidRDefault="004E27E5" w:rsidP="00461E4C">
            <w:pPr>
              <w:numPr>
                <w:ilvl w:val="0"/>
                <w:numId w:val="1"/>
              </w:numPr>
              <w:tabs>
                <w:tab w:val="num" w:pos="1276"/>
              </w:tabs>
              <w:ind w:left="714" w:hanging="357"/>
              <w:jc w:val="both"/>
              <w:rPr>
                <w:sz w:val="20"/>
                <w:lang w:val="en-GB"/>
              </w:rPr>
            </w:pPr>
            <w:r w:rsidRPr="004E27E5">
              <w:rPr>
                <w:sz w:val="20"/>
                <w:lang w:val="en-GB"/>
              </w:rPr>
              <w:t>deleting the definitions of 'a drug from specified list 2', 'a drug or a drug from a class of drugs from specified list 1', 'a drug or a drug from a class of drugs from specified list 3', 'a specified endocrine disorder', 'being infected with a Coxsackie B virus', 'being overweight' and 'pack-years of cigarettes, or the equivalent thereof in other tobacco products'</w:t>
            </w:r>
            <w:r w:rsidR="004D7CA1" w:rsidRPr="004D7CA1">
              <w:rPr>
                <w:sz w:val="20"/>
                <w:lang w:val="en-GB"/>
              </w:rPr>
              <w:t>.</w:t>
            </w:r>
          </w:p>
          <w:p w14:paraId="68E1C2EB" w14:textId="3F3BAA41" w:rsidR="007223EA" w:rsidRPr="001B31C5" w:rsidRDefault="007223EA" w:rsidP="007223EA">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49</w:t>
            </w:r>
            <w:r w:rsidRPr="001B31C5">
              <w:rPr>
                <w:b/>
                <w:i/>
              </w:rPr>
              <w:t>/20</w:t>
            </w:r>
            <w:r>
              <w:rPr>
                <w:b/>
                <w:i/>
              </w:rPr>
              <w:t>20</w:t>
            </w:r>
            <w:r w:rsidRPr="001B31C5">
              <w:rPr>
                <w:b/>
                <w:i/>
              </w:rPr>
              <w:t>)</w:t>
            </w:r>
          </w:p>
          <w:p w14:paraId="4E8BC1C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adopting the latest revised Instrument format, which commenced in 2015;</w:t>
            </w:r>
          </w:p>
          <w:p w14:paraId="6295159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specifying a day of commencement for the Instrument in section 2;</w:t>
            </w:r>
          </w:p>
          <w:p w14:paraId="0C6AA4E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definition of 'diabetes mellitus' in subsection 7(2);</w:t>
            </w:r>
          </w:p>
          <w:p w14:paraId="7244808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reference to 'ICD-10-AM code' in subsection 7(4);</w:t>
            </w:r>
          </w:p>
          <w:p w14:paraId="49041370"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revising the factors in subsections 9(1) and 9(9) concerning having an endocrine disorder; </w:t>
            </w:r>
          </w:p>
          <w:p w14:paraId="3C6A795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lastRenderedPageBreak/>
              <w:t>revising the factors in subsections 9(2) and 9(10) concerning having a solid organ transplant or bone marrow transplant;</w:t>
            </w:r>
          </w:p>
          <w:p w14:paraId="5BBDEDA6"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subsections 9(3) and 9(11) concerning having glucocorticoid therapy;</w:t>
            </w:r>
          </w:p>
          <w:p w14:paraId="2052DA7D"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subsections 9(4) and 9(12) concerning treatment with a drug from the Specified List 1 of drugs;</w:t>
            </w:r>
          </w:p>
          <w:p w14:paraId="2594B77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subsections 9(5) and 9(13) concerning treatment with a drug from the antidepressant or antipsychotic classes of drugs;</w:t>
            </w:r>
          </w:p>
          <w:p w14:paraId="554E2F3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paragraph 9(6)(a) concerning surgery to the pancreas, for clinical onset and for type 1 diabetes mellitus only;</w:t>
            </w:r>
          </w:p>
          <w:p w14:paraId="3375F73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paragraph 9(6)(b) concerning having a specified pathological condition involving the pancreas, for clinical onset and for type 1 diabetes mellitus only;</w:t>
            </w:r>
          </w:p>
          <w:p w14:paraId="4F99051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revising the factor in paragraph 9(6)(c) concerning haemolytic </w:t>
            </w:r>
            <w:proofErr w:type="spellStart"/>
            <w:r w:rsidRPr="00461E4C">
              <w:rPr>
                <w:sz w:val="20"/>
                <w:lang w:val="en-GB"/>
              </w:rPr>
              <w:t>uraemic</w:t>
            </w:r>
            <w:proofErr w:type="spellEnd"/>
            <w:r w:rsidRPr="00461E4C">
              <w:rPr>
                <w:sz w:val="20"/>
                <w:lang w:val="en-GB"/>
              </w:rPr>
              <w:t xml:space="preserve"> syndrome, for clinical onset and for type 1 diabetes mellitus only;</w:t>
            </w:r>
          </w:p>
          <w:p w14:paraId="3C64371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paragraph 9(6)(d) concerning ingesting N-3-pyridyl methyl-N'-p-</w:t>
            </w:r>
            <w:proofErr w:type="spellStart"/>
            <w:r w:rsidRPr="00461E4C">
              <w:rPr>
                <w:sz w:val="20"/>
                <w:lang w:val="en-GB"/>
              </w:rPr>
              <w:t>nitrophenyl</w:t>
            </w:r>
            <w:proofErr w:type="spellEnd"/>
            <w:r w:rsidRPr="00461E4C">
              <w:rPr>
                <w:sz w:val="20"/>
                <w:lang w:val="en-GB"/>
              </w:rPr>
              <w:t xml:space="preserve"> urea (</w:t>
            </w:r>
            <w:proofErr w:type="spellStart"/>
            <w:r w:rsidRPr="00461E4C">
              <w:rPr>
                <w:sz w:val="20"/>
                <w:lang w:val="en-GB"/>
              </w:rPr>
              <w:t>Vacor</w:t>
            </w:r>
            <w:proofErr w:type="spellEnd"/>
            <w:r w:rsidRPr="00461E4C">
              <w:rPr>
                <w:sz w:val="20"/>
                <w:lang w:val="en-GB"/>
              </w:rPr>
              <w:t>), for clinical onset and for type 1 diabetes mellitus only;</w:t>
            </w:r>
          </w:p>
          <w:p w14:paraId="6BA245FE"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paragraphs 9(7)(a) and 9(21)(a) concerning smoking of tobacco products, for type 2 diabetes mellitus only;</w:t>
            </w:r>
          </w:p>
          <w:p w14:paraId="4B641CE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paragraphs 9(7)(b) and 9(21)(b) concerning exposure to second-hand smoke, for type 2 diabetes mellitus only;</w:t>
            </w:r>
          </w:p>
          <w:p w14:paraId="5AB5BF0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paragraphs 9(7)(c) and 9(21)(c) concerning being overweight or obese, for type 2 diabetes mellitus only;</w:t>
            </w:r>
          </w:p>
          <w:p w14:paraId="096E6C1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paragraphs 9(7)(d) and 9(21)(d) concerning inability to undertake moderate physical activity, for type 2 diabetes mellitus only;</w:t>
            </w:r>
          </w:p>
          <w:p w14:paraId="6C34EA6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factors in paragraphs 9(7)(f) and 9(21)(f) concerning non-alcoholic </w:t>
            </w:r>
            <w:proofErr w:type="spellStart"/>
            <w:r w:rsidRPr="00461E4C">
              <w:rPr>
                <w:sz w:val="20"/>
                <w:lang w:val="en-GB"/>
              </w:rPr>
              <w:t>steatohepatitis</w:t>
            </w:r>
            <w:proofErr w:type="spellEnd"/>
            <w:r w:rsidRPr="00461E4C">
              <w:rPr>
                <w:sz w:val="20"/>
                <w:lang w:val="en-GB"/>
              </w:rPr>
              <w:t>, for type 2 diabetes mellitus only;</w:t>
            </w:r>
          </w:p>
          <w:p w14:paraId="4511083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paragraphs 9(7)(g) and 9(21)(g) concerning infection with human immunodeficiency virus, for type 2 diabetes mellitus only;</w:t>
            </w:r>
          </w:p>
          <w:p w14:paraId="3974486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paragraphs 9(7)(h) and 9(21)(h) concerning infection with hepatitis C virus, for type 2 diabetes mellitus only;</w:t>
            </w:r>
          </w:p>
          <w:p w14:paraId="3D0A298D"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paragraph 9(7)(</w:t>
            </w:r>
            <w:proofErr w:type="spellStart"/>
            <w:r w:rsidRPr="00461E4C">
              <w:rPr>
                <w:sz w:val="20"/>
                <w:lang w:val="en-GB"/>
              </w:rPr>
              <w:t>i</w:t>
            </w:r>
            <w:proofErr w:type="spellEnd"/>
            <w:r w:rsidRPr="00461E4C">
              <w:rPr>
                <w:sz w:val="20"/>
                <w:lang w:val="en-GB"/>
              </w:rPr>
              <w:t>) concerning depressive disorder, for clinical onset and for type 2 diabetes mellitus only;</w:t>
            </w:r>
          </w:p>
          <w:p w14:paraId="49E8DE6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paragraph 9(7)(j) concerning bipolar disorder, for clinical onset and for type 2 diabetes mellitus only;</w:t>
            </w:r>
          </w:p>
          <w:p w14:paraId="05A95A5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paragraph 9(7)(k) concerning schizophrenia, for clinical onset and for type 2 diabetes mellitus only;</w:t>
            </w:r>
          </w:p>
          <w:p w14:paraId="4CFB2FD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paragraph 9(7)(n) and 9(21)(k) concerning being exposed to arsenic, for type 2 diabetes mellitus only;</w:t>
            </w:r>
          </w:p>
          <w:p w14:paraId="5B67377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factors in subsections 9(8) and 9(22) concerning pregnancy for gestational diabetes mellitus and type 2 diabetes mellitus only;</w:t>
            </w:r>
          </w:p>
          <w:p w14:paraId="21C729A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9(17) concerning ingesting N-3-pyridyl methyl-N'-p-</w:t>
            </w:r>
            <w:proofErr w:type="spellStart"/>
            <w:r w:rsidRPr="00461E4C">
              <w:rPr>
                <w:sz w:val="20"/>
                <w:lang w:val="en-GB"/>
              </w:rPr>
              <w:t>nitrophenyl</w:t>
            </w:r>
            <w:proofErr w:type="spellEnd"/>
            <w:r w:rsidRPr="00461E4C">
              <w:rPr>
                <w:sz w:val="20"/>
                <w:lang w:val="en-GB"/>
              </w:rPr>
              <w:t xml:space="preserve"> urea (</w:t>
            </w:r>
            <w:proofErr w:type="spellStart"/>
            <w:r w:rsidRPr="00461E4C">
              <w:rPr>
                <w:sz w:val="20"/>
                <w:lang w:val="en-GB"/>
              </w:rPr>
              <w:t>Vacor</w:t>
            </w:r>
            <w:proofErr w:type="spellEnd"/>
            <w:r w:rsidRPr="00461E4C">
              <w:rPr>
                <w:sz w:val="20"/>
                <w:lang w:val="en-GB"/>
              </w:rPr>
              <w:t>), for clinical worsening;</w:t>
            </w:r>
          </w:p>
          <w:p w14:paraId="709563D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9(18) concerning depressive disorder, for clinical worsening;</w:t>
            </w:r>
          </w:p>
          <w:p w14:paraId="2E25666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9(19) concerning bipolar disorder, for clinical worsening;</w:t>
            </w:r>
          </w:p>
          <w:p w14:paraId="6BD6A27C"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9(20) concerning schizophrenia, for clinical worsening;</w:t>
            </w:r>
          </w:p>
          <w:p w14:paraId="24244ECF" w14:textId="0C102830"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factors concerning having depressive disorder, bipolar disorder or schizophrenia, as the</w:t>
            </w:r>
            <w:r w:rsidR="00576A59">
              <w:rPr>
                <w:sz w:val="20"/>
                <w:lang w:val="en-GB"/>
              </w:rPr>
              <w:t>se disorders</w:t>
            </w:r>
            <w:r w:rsidRPr="00461E4C">
              <w:rPr>
                <w:sz w:val="20"/>
                <w:lang w:val="en-GB"/>
              </w:rPr>
              <w:t xml:space="preserve"> are now covered </w:t>
            </w:r>
            <w:r w:rsidR="00576A59">
              <w:rPr>
                <w:sz w:val="20"/>
                <w:lang w:val="en-GB"/>
              </w:rPr>
              <w:t xml:space="preserve">separately </w:t>
            </w:r>
            <w:r w:rsidRPr="00461E4C">
              <w:rPr>
                <w:sz w:val="20"/>
                <w:lang w:val="en-GB"/>
              </w:rPr>
              <w:t>by the factors in paragraph 9(7)(</w:t>
            </w:r>
            <w:proofErr w:type="spellStart"/>
            <w:r w:rsidRPr="00461E4C">
              <w:rPr>
                <w:sz w:val="20"/>
                <w:lang w:val="en-GB"/>
              </w:rPr>
              <w:t>i</w:t>
            </w:r>
            <w:proofErr w:type="spellEnd"/>
            <w:r w:rsidRPr="00461E4C">
              <w:rPr>
                <w:sz w:val="20"/>
                <w:lang w:val="en-GB"/>
              </w:rPr>
              <w:t>) and subsection 9(18) concerning depressive disorder, paragraph 9(7)(j) and subsection 9(19) concerning bipolar disorder, and paragraph 9(7)(k) and subsection 9(20) concerning schizophrenia</w:t>
            </w:r>
            <w:r w:rsidR="00576A59">
              <w:rPr>
                <w:sz w:val="20"/>
                <w:lang w:val="en-GB"/>
              </w:rPr>
              <w:t>;</w:t>
            </w:r>
          </w:p>
          <w:p w14:paraId="1FF0141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factors concerning inhaling, ingesting or having cutaneous contact with a chemical agent contaminated by 2,3,7,8-tetrachlorodibenzo-para-dioxin (TCDD);</w:t>
            </w:r>
          </w:p>
          <w:p w14:paraId="583ECB3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definitions of 'being overweight or obese', 'MRCA', 'pack-year of tobacco products', 'Specified List 1 of drugs', 'Specified List 2 of drugs', 'specified list of endocrine disorders' and 'VEA' in Schedule 1 - Dictionary;</w:t>
            </w:r>
          </w:p>
          <w:p w14:paraId="7C0693D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definitions of 'being exposed to second-hand smoke', 'equivalent glucocorticoid therapy', 'glucocorticoid therapy as specified' by the inclusion of a note and 'relevant service' by the inclusion of a note, in Schedule 1 - Dictionary; and</w:t>
            </w:r>
          </w:p>
          <w:p w14:paraId="37FF951A" w14:textId="3F7EB4E6" w:rsidR="007223EA" w:rsidRDefault="00461E4C" w:rsidP="0064198B">
            <w:pPr>
              <w:numPr>
                <w:ilvl w:val="0"/>
                <w:numId w:val="1"/>
              </w:numPr>
              <w:tabs>
                <w:tab w:val="num" w:pos="1276"/>
              </w:tabs>
              <w:spacing w:after="60"/>
              <w:ind w:left="714" w:hanging="357"/>
              <w:jc w:val="both"/>
              <w:rPr>
                <w:sz w:val="20"/>
                <w:lang w:val="en-GB"/>
              </w:rPr>
            </w:pPr>
            <w:r w:rsidRPr="00461E4C">
              <w:rPr>
                <w:sz w:val="20"/>
                <w:lang w:val="en-GB"/>
              </w:rPr>
              <w:t>deleting the definitions of 'a drug from specified list 2', 'a drug or a drug from a class of drugs from specified list 1', 'a drug or a drug from a class of drugs from specified list 3', 'a specified endocrine disorder', 'being overweight', 'inhaling, ingesting or having cutaneous contact with a chemical agent contaminated by 2,3,7,8-</w:t>
            </w:r>
            <w:r w:rsidRPr="00461E4C">
              <w:rPr>
                <w:sz w:val="20"/>
                <w:lang w:val="en-GB"/>
              </w:rPr>
              <w:lastRenderedPageBreak/>
              <w:t>tetrachlorodibenzo-para-dioxin (TCDD)' and 'pack-years of cigarettes, or the equivalent thereof in other tobacco products'.</w:t>
            </w:r>
          </w:p>
          <w:p w14:paraId="6489FF1C" w14:textId="0C99D76C" w:rsidR="007223EA" w:rsidRPr="007223EA" w:rsidRDefault="007223EA" w:rsidP="007223EA">
            <w:pPr>
              <w:pStyle w:val="BodyText"/>
              <w:tabs>
                <w:tab w:val="left" w:pos="6753"/>
              </w:tabs>
              <w:spacing w:after="60"/>
              <w:ind w:right="33"/>
              <w:jc w:val="both"/>
            </w:pPr>
            <w:r w:rsidRPr="007223EA">
              <w:rPr>
                <w:lang w:val="en-GB"/>
              </w:rPr>
              <w:t>On 24 February 2020, the Authority wrote to organisations representing veterans, service personnel and their dependants regarding the proposed Instrument</w:t>
            </w:r>
            <w:r w:rsidR="00576A59">
              <w:rPr>
                <w:lang w:val="en-GB"/>
              </w:rPr>
              <w:t>s</w:t>
            </w:r>
            <w:r w:rsidRPr="007223EA">
              <w:rPr>
                <w:lang w:val="en-GB"/>
              </w:rPr>
              <w:t xml:space="preserve"> and the medical-scientific material considered by the Authority.  This letter emphasised the deletion of the factors relating to </w:t>
            </w:r>
            <w:r w:rsidRPr="007223EA">
              <w:rPr>
                <w:i/>
                <w:lang w:val="en-GB"/>
              </w:rPr>
              <w:t>inhaling, ingesting or having cutaneous contact with a chemical agent contaminated by 2</w:t>
            </w:r>
            <w:proofErr w:type="gramStart"/>
            <w:r w:rsidRPr="007223EA">
              <w:rPr>
                <w:i/>
                <w:lang w:val="en-GB"/>
              </w:rPr>
              <w:t>,3,7,8</w:t>
            </w:r>
            <w:proofErr w:type="gramEnd"/>
            <w:r w:rsidRPr="007223EA">
              <w:rPr>
                <w:i/>
                <w:lang w:val="en-GB"/>
              </w:rPr>
              <w:t>-tetrachlorodibenzo-para-dioxin (TCDD)</w:t>
            </w:r>
            <w:r w:rsidR="001F0D8A">
              <w:rPr>
                <w:lang w:val="en-GB"/>
              </w:rPr>
              <w:t xml:space="preserve">, </w:t>
            </w:r>
            <w:r w:rsidR="001F0D8A">
              <w:t>from the balance of probabilities Statement of Principles</w:t>
            </w:r>
            <w:r w:rsidRPr="007223EA">
              <w:rPr>
                <w:i/>
                <w:lang w:val="en-GB"/>
              </w:rPr>
              <w:t>.</w:t>
            </w:r>
            <w:r w:rsidRPr="007223EA">
              <w:rPr>
                <w:lang w:val="en-GB"/>
              </w:rPr>
              <w:t xml:space="preserve"> The Authority provided an opportunity to the organisations to make representations in relation to the proposed Instrument</w:t>
            </w:r>
            <w:r w:rsidR="001F0D8A">
              <w:rPr>
                <w:lang w:val="en-GB"/>
              </w:rPr>
              <w:t>s</w:t>
            </w:r>
            <w:r w:rsidRPr="007223EA">
              <w:rPr>
                <w:lang w:val="en-GB"/>
              </w:rPr>
              <w:t xml:space="preserve"> prior to </w:t>
            </w:r>
            <w:r w:rsidR="001F0D8A">
              <w:rPr>
                <w:lang w:val="en-GB"/>
              </w:rPr>
              <w:t>their</w:t>
            </w:r>
            <w:r w:rsidRPr="007223EA">
              <w:rPr>
                <w:lang w:val="en-GB"/>
              </w:rPr>
              <w:t xml:space="preserve"> determination.  No submissions were received for consideration by the Authority.  </w:t>
            </w:r>
            <w:r w:rsidR="001F0D8A">
              <w:t>Non-substantial changes were made to the proposed Instruments following this consultation process.</w:t>
            </w:r>
          </w:p>
          <w:p w14:paraId="41753B61" w14:textId="40FFAFD4" w:rsidR="00D5572B" w:rsidRPr="001B31C5" w:rsidRDefault="00D5572B" w:rsidP="007223EA">
            <w:pPr>
              <w:pStyle w:val="BodyText"/>
              <w:spacing w:after="60"/>
              <w:ind w:left="34" w:right="272"/>
              <w:rPr>
                <w:b/>
                <w:sz w:val="19"/>
                <w:szCs w:val="19"/>
              </w:rPr>
            </w:pPr>
            <w:r w:rsidRPr="001B31C5">
              <w:rPr>
                <w:b/>
              </w:rPr>
              <w:t xml:space="preserve">The determining of these Instruments finalises the investigation in relation to </w:t>
            </w:r>
            <w:r w:rsidR="007223EA">
              <w:rPr>
                <w:b/>
                <w:i/>
              </w:rPr>
              <w:t>diabetes mellitus</w:t>
            </w:r>
            <w:r w:rsidR="004D7CA1" w:rsidRPr="004D7CA1">
              <w:rPr>
                <w:b/>
                <w:i/>
              </w:rPr>
              <w:t xml:space="preserve"> </w:t>
            </w:r>
            <w:r w:rsidRPr="001B31C5">
              <w:rPr>
                <w:b/>
              </w:rPr>
              <w:t xml:space="preserve">as advertised in the Government Notices Gazette of </w:t>
            </w:r>
            <w:r w:rsidR="007223EA">
              <w:rPr>
                <w:b/>
              </w:rPr>
              <w:t>6 November 2018</w:t>
            </w:r>
            <w:r w:rsidRPr="001B31C5">
              <w:rPr>
                <w:b/>
              </w:rPr>
              <w:t>.</w:t>
            </w:r>
          </w:p>
        </w:tc>
      </w:tr>
      <w:tr w:rsidR="00A92676" w:rsidRPr="00A92676" w14:paraId="428A5196"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7AE1DFD9" w14:textId="13F19038" w:rsidR="00C95605" w:rsidRPr="001B31C5" w:rsidRDefault="007223EA" w:rsidP="007223EA">
            <w:pPr>
              <w:rPr>
                <w:sz w:val="20"/>
                <w:szCs w:val="24"/>
              </w:rPr>
            </w:pPr>
            <w:r>
              <w:rPr>
                <w:sz w:val="20"/>
                <w:szCs w:val="24"/>
              </w:rPr>
              <w:lastRenderedPageBreak/>
              <w:t>50</w:t>
            </w:r>
            <w:r w:rsidR="000858B4">
              <w:rPr>
                <w:sz w:val="20"/>
                <w:szCs w:val="24"/>
              </w:rPr>
              <w:t xml:space="preserve"> &amp; </w:t>
            </w:r>
            <w:r>
              <w:rPr>
                <w:sz w:val="20"/>
                <w:szCs w:val="24"/>
              </w:rPr>
              <w:t>51</w:t>
            </w:r>
            <w:r w:rsidR="00C95605" w:rsidRPr="001B31C5">
              <w:rPr>
                <w:sz w:val="20"/>
                <w:szCs w:val="24"/>
              </w:rPr>
              <w:t>/20</w:t>
            </w:r>
            <w:r w:rsidR="00CB3C1D">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1BFBA1DB" w:rsidR="00C95605" w:rsidRPr="001B31C5" w:rsidRDefault="007223EA" w:rsidP="00CB3C1D">
            <w:pPr>
              <w:rPr>
                <w:sz w:val="20"/>
              </w:rPr>
            </w:pPr>
            <w:r>
              <w:rPr>
                <w:sz w:val="20"/>
              </w:rPr>
              <w:t>retinal vascular occlusion</w:t>
            </w:r>
          </w:p>
        </w:tc>
        <w:tc>
          <w:tcPr>
            <w:tcW w:w="7774" w:type="dxa"/>
            <w:tcBorders>
              <w:top w:val="single" w:sz="6" w:space="0" w:color="auto"/>
              <w:left w:val="single" w:sz="6" w:space="0" w:color="auto"/>
              <w:bottom w:val="single" w:sz="6" w:space="0" w:color="auto"/>
              <w:right w:val="single" w:sz="6" w:space="0" w:color="auto"/>
            </w:tcBorders>
          </w:tcPr>
          <w:p w14:paraId="5AB80E5C" w14:textId="363D6E0E" w:rsidR="00C95605" w:rsidRPr="001B31C5" w:rsidRDefault="00815136" w:rsidP="00C95605">
            <w:pPr>
              <w:pStyle w:val="BodyText"/>
              <w:tabs>
                <w:tab w:val="left" w:pos="6753"/>
              </w:tabs>
              <w:spacing w:after="60"/>
              <w:ind w:right="33"/>
              <w:jc w:val="both"/>
            </w:pPr>
            <w:r w:rsidRPr="001B31C5">
              <w:t xml:space="preserve">These Instruments result from an investigation notified by the Authority in the Government Notices Gazette of </w:t>
            </w:r>
            <w:r>
              <w:t>6 November 2018</w:t>
            </w:r>
            <w:r w:rsidRPr="004D7CA1">
              <w:t xml:space="preserve"> </w:t>
            </w:r>
            <w:r w:rsidRPr="001B31C5">
              <w:t xml:space="preserve">concerning </w:t>
            </w:r>
            <w:r>
              <w:rPr>
                <w:i/>
              </w:rPr>
              <w:t>retinal vascular occlusive disease</w:t>
            </w:r>
            <w:r w:rsidRPr="004D7CA1">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14:paraId="620BC4DF" w14:textId="77777777" w:rsidR="00C95605" w:rsidRPr="001B31C5" w:rsidRDefault="00C95605" w:rsidP="00C95605">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4F638430" w14:textId="7347434F" w:rsidR="00815136" w:rsidRPr="001B31C5" w:rsidRDefault="00815136" w:rsidP="00815136">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50</w:t>
            </w:r>
            <w:r w:rsidRPr="001B31C5">
              <w:rPr>
                <w:b/>
                <w:i/>
              </w:rPr>
              <w:t>/20</w:t>
            </w:r>
            <w:r>
              <w:rPr>
                <w:b/>
                <w:i/>
              </w:rPr>
              <w:t>20</w:t>
            </w:r>
            <w:r w:rsidRPr="001B31C5">
              <w:rPr>
                <w:b/>
                <w:i/>
              </w:rPr>
              <w:t>)</w:t>
            </w:r>
          </w:p>
          <w:p w14:paraId="405FD05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adopting the latest revised Instrument format, which commenced in 2015;</w:t>
            </w:r>
          </w:p>
          <w:p w14:paraId="36C7B7D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specifying a day of commencement for the Instrument in section 2;</w:t>
            </w:r>
          </w:p>
          <w:p w14:paraId="26E3F1EB"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name of the condition from 'retinal vascular occlusive disease' to 'retinal vascular occlusion';</w:t>
            </w:r>
          </w:p>
          <w:p w14:paraId="11C49D2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definition of 'retinal vascular occlusion' in subsection 7(2);</w:t>
            </w:r>
          </w:p>
          <w:p w14:paraId="3ECE111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reference to 'ICD-10-AM code' in subsection 7(4);</w:t>
            </w:r>
          </w:p>
          <w:p w14:paraId="0272D8C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 concerning smoking of tobacco products, for clinical onset;</w:t>
            </w:r>
          </w:p>
          <w:p w14:paraId="0AF41FD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9(2) concerning hypertension, for clinical onset;</w:t>
            </w:r>
          </w:p>
          <w:p w14:paraId="52756B9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9(3) concerning diabetes mellitus, for clinical onset;</w:t>
            </w:r>
          </w:p>
          <w:p w14:paraId="7DAE834C"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9(4) concerning being obese, for clinical onset;</w:t>
            </w:r>
          </w:p>
          <w:p w14:paraId="2AEFF5A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9(5) concerning dyslipidaemia, for clinical onset, by the inclusion of a note;</w:t>
            </w:r>
          </w:p>
          <w:p w14:paraId="52AF784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revising the factor in subsection 9(6) concerning </w:t>
            </w:r>
            <w:proofErr w:type="spellStart"/>
            <w:r w:rsidRPr="00461E4C">
              <w:rPr>
                <w:sz w:val="20"/>
                <w:lang w:val="en-GB"/>
              </w:rPr>
              <w:t>hyperhomocysteinaemia</w:t>
            </w:r>
            <w:proofErr w:type="spellEnd"/>
            <w:r w:rsidRPr="00461E4C">
              <w:rPr>
                <w:sz w:val="20"/>
                <w:lang w:val="en-GB"/>
              </w:rPr>
              <w:t>, for clinical onset;</w:t>
            </w:r>
          </w:p>
          <w:p w14:paraId="30A73F7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9(7) concerning arteritis, for clinical onset;</w:t>
            </w:r>
          </w:p>
          <w:p w14:paraId="1B3AD77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9(8) concerning retinal vasculitis, for clinical onset;</w:t>
            </w:r>
          </w:p>
          <w:p w14:paraId="3B68567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factors in subsections 9(9) and 9(31) concerning non-inflammatory </w:t>
            </w:r>
            <w:proofErr w:type="spellStart"/>
            <w:r w:rsidRPr="00461E4C">
              <w:rPr>
                <w:sz w:val="20"/>
                <w:lang w:val="en-GB"/>
              </w:rPr>
              <w:t>vasculopathy</w:t>
            </w:r>
            <w:proofErr w:type="spellEnd"/>
            <w:r w:rsidRPr="00461E4C">
              <w:rPr>
                <w:sz w:val="20"/>
                <w:lang w:val="en-GB"/>
              </w:rPr>
              <w:t xml:space="preserve"> of the cerebral or retinal vessels;</w:t>
            </w:r>
          </w:p>
          <w:p w14:paraId="2CC98DC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factors in subsections 9(10) and 9(32) concerning a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w:t>
            </w:r>
          </w:p>
          <w:p w14:paraId="4B5041B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subsections 9(11) and 9(33) concerning benign or malignant neoplasm or non-neoplastic mass lesion;</w:t>
            </w:r>
          </w:p>
          <w:p w14:paraId="60F5D51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9(12) concerning vascular abnormality of the retinal vessels, for clinical onset;</w:t>
            </w:r>
          </w:p>
          <w:p w14:paraId="51FC6B0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revising the factor in subsection 9(13) concerning migraine, for clinical onset; </w:t>
            </w:r>
          </w:p>
          <w:p w14:paraId="5BA2FB0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9(14) concerning infection with human immunodeficiency virus, for clinical onset;</w:t>
            </w:r>
          </w:p>
          <w:p w14:paraId="168535AE"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9(15) concerning ocular or orbital infection, for clinical onset;</w:t>
            </w:r>
          </w:p>
          <w:p w14:paraId="0F690A8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9(16) concerning direct external pressure to the eyeball, for clinical onset;</w:t>
            </w:r>
          </w:p>
          <w:p w14:paraId="4BC5F7B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9(17) concerning blunt or penetrating injury, for clinical onset;</w:t>
            </w:r>
          </w:p>
          <w:p w14:paraId="04BC3DE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9(18) concerning taking a drug from the specified list of drugs, for clinical onset;</w:t>
            </w:r>
          </w:p>
          <w:p w14:paraId="449FC9BE"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9(19) concerning taking a combined oral contraceptive pill, for clinical onset;</w:t>
            </w:r>
          </w:p>
          <w:p w14:paraId="410B5D6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9(20) concerning an acute hypotensive episode, for clinical onset, by the inclusion of a note;</w:t>
            </w:r>
          </w:p>
          <w:p w14:paraId="6C0B416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lastRenderedPageBreak/>
              <w:t>revising the factor in paragraph 9(21)(a) concerning open-angle glaucoma, angle-closure glaucoma or ocular hypertension, for clinical onset and for retinal venous occlusion only, by the inclusion of a note;</w:t>
            </w:r>
          </w:p>
          <w:p w14:paraId="06D84E4E"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paragraphs 9(21)(b) and 9(43)(b) concerning chronic renal failure, for retinal venous occlusion only;</w:t>
            </w:r>
          </w:p>
          <w:p w14:paraId="3340C9F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revising the factor in paragraph 9(21)(c) concerning being severely dehydrated, for clinical onset and for retinal venous occlusion only; </w:t>
            </w:r>
          </w:p>
          <w:p w14:paraId="5792164D"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paragraphs 9(21)(d) and 9(43)(d) concerning obstructive sleep apnoea, for retinal venous occlusion only;</w:t>
            </w:r>
          </w:p>
          <w:p w14:paraId="1A6E599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paragraph 9(22)(a) concerning carotid artery disease, for clinical onset and for retinal arterial occlusion only;</w:t>
            </w:r>
          </w:p>
          <w:p w14:paraId="166F087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paragraphs 9(22)(b) and 9(44)(b) concerning cardiac disease with the potential to give rise to a retinal embolus, for retinal arterial occlusion only;</w:t>
            </w:r>
          </w:p>
          <w:p w14:paraId="3CA4693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paragraphs 9(22)(c) and 9(44)(c) concerning a non-cardiac potential source of retinal embolus, for retinal arterial occlusion only;</w:t>
            </w:r>
          </w:p>
          <w:p w14:paraId="0A652E5D"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factors in paragraphs 9(22)(d) and 9(44)(d) concerning a procedure to the heart or the carotid artery, or an intravascular procedure involving the vessels of the head or neck, for retinal arterial occlusion only; </w:t>
            </w:r>
          </w:p>
          <w:p w14:paraId="66B04EEB"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9(23) concerning smoking of tobacco products, for clinical worsening;</w:t>
            </w:r>
          </w:p>
          <w:p w14:paraId="14D082DD"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9(24) concerning hypertension, for clinical worsening;</w:t>
            </w:r>
          </w:p>
          <w:p w14:paraId="1E39049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9(25) concerning diabetes mellitus, for clinical worsening;</w:t>
            </w:r>
          </w:p>
          <w:p w14:paraId="0C7115EE"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9(26) concerning being obese, for clinical worsening;</w:t>
            </w:r>
          </w:p>
          <w:p w14:paraId="69630A7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9(27) concerning dyslipidaemia, for clinical worsening;</w:t>
            </w:r>
          </w:p>
          <w:p w14:paraId="1795BAF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 in subsection 9(28) concerning </w:t>
            </w:r>
            <w:proofErr w:type="spellStart"/>
            <w:r w:rsidRPr="00461E4C">
              <w:rPr>
                <w:sz w:val="20"/>
                <w:lang w:val="en-GB"/>
              </w:rPr>
              <w:t>hyperhomocysteinaemia</w:t>
            </w:r>
            <w:proofErr w:type="spellEnd"/>
            <w:r w:rsidRPr="00461E4C">
              <w:rPr>
                <w:sz w:val="20"/>
                <w:lang w:val="en-GB"/>
              </w:rPr>
              <w:t xml:space="preserve">, for clinical worsening; </w:t>
            </w:r>
          </w:p>
          <w:p w14:paraId="66319A7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9(29) concerning arteritis, for clinical worsening;</w:t>
            </w:r>
          </w:p>
          <w:p w14:paraId="17FFF58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9(30) concerning retinal vasculitis, for clinical worsening;</w:t>
            </w:r>
          </w:p>
          <w:p w14:paraId="517A8F76"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9(34) concerning vascular abnormality of the retinal vessels, for clinical worsening;</w:t>
            </w:r>
          </w:p>
          <w:p w14:paraId="65DE78C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9(35) concerning migraine, for clinical worsening;</w:t>
            </w:r>
          </w:p>
          <w:p w14:paraId="22CC857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9(36) concerning infection with human immunodeficiency virus, for clinical worsening;</w:t>
            </w:r>
          </w:p>
          <w:p w14:paraId="1B292D4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9(37) concerning ocular or orbital infection, for clinical worsening;</w:t>
            </w:r>
          </w:p>
          <w:p w14:paraId="15B9D63B"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9(38) concerning direct external pressure to the eyeball, for clinical worsening;</w:t>
            </w:r>
          </w:p>
          <w:p w14:paraId="155C511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9(39) concerning blunt or penetrating injury, for clinical worsening;</w:t>
            </w:r>
          </w:p>
          <w:p w14:paraId="119F363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9(40) concerning taking a drug from the specified list of drugs, for clinical worsening;</w:t>
            </w:r>
          </w:p>
          <w:p w14:paraId="23EFE6E6"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9(41) concerning taking a combined oral contraceptive pill, for clinical worsening;</w:t>
            </w:r>
          </w:p>
          <w:p w14:paraId="4579D64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9(42) concerning an acute hypotensive episode, for clinical worsening;</w:t>
            </w:r>
          </w:p>
          <w:p w14:paraId="6E1D472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paragraph 9(43)(a) concerning open-angle glaucoma, angle-closure glaucoma or ocular hypertension, for retinal venous occlusion only;</w:t>
            </w:r>
          </w:p>
          <w:p w14:paraId="743F0D8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paragraph 9(43)(c) concerning being severely dehydrated, for clinical worsening and for retinal venous occlusion only;</w:t>
            </w:r>
          </w:p>
          <w:p w14:paraId="31F647E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paragraph 9(44)(a) concerning carotid artery disease, for clinical worsening and for retinal arterial occlusion only;</w:t>
            </w:r>
          </w:p>
          <w:p w14:paraId="5031901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9(45) concerning inability to obtain appropriate clinical management for retinal vascular occlusion;</w:t>
            </w:r>
          </w:p>
          <w:p w14:paraId="187158B0"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w:t>
            </w:r>
            <w:proofErr w:type="spellStart"/>
            <w:r w:rsidRPr="00461E4C">
              <w:rPr>
                <w:sz w:val="20"/>
                <w:lang w:val="en-GB"/>
              </w:rPr>
              <w:t>thromboangiitis</w:t>
            </w:r>
            <w:proofErr w:type="spellEnd"/>
            <w:r w:rsidRPr="00461E4C">
              <w:rPr>
                <w:sz w:val="20"/>
                <w:lang w:val="en-GB"/>
              </w:rPr>
              <w:t xml:space="preserve"> obliterans (</w:t>
            </w:r>
            <w:proofErr w:type="spellStart"/>
            <w:r w:rsidRPr="00461E4C">
              <w:rPr>
                <w:sz w:val="20"/>
                <w:lang w:val="en-GB"/>
              </w:rPr>
              <w:t>Buerger's</w:t>
            </w:r>
            <w:proofErr w:type="spellEnd"/>
            <w:r w:rsidRPr="00461E4C">
              <w:rPr>
                <w:sz w:val="20"/>
                <w:lang w:val="en-GB"/>
              </w:rPr>
              <w:t xml:space="preserve"> disease), as this is covered by the factors in subsections 9(7) and 9(29) concerning arteritis;</w:t>
            </w:r>
          </w:p>
          <w:p w14:paraId="4F64105C"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microscopic </w:t>
            </w:r>
            <w:proofErr w:type="spellStart"/>
            <w:r w:rsidRPr="00461E4C">
              <w:rPr>
                <w:sz w:val="20"/>
                <w:lang w:val="en-GB"/>
              </w:rPr>
              <w:t>polyangiitis</w:t>
            </w:r>
            <w:proofErr w:type="spellEnd"/>
            <w:r w:rsidRPr="00461E4C">
              <w:rPr>
                <w:sz w:val="20"/>
                <w:lang w:val="en-GB"/>
              </w:rPr>
              <w:t>, as this is now covered by the factors in subsections 9(8) and 9(30) concerning retinal vasculitis;</w:t>
            </w:r>
          </w:p>
          <w:p w14:paraId="4CD46AA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systemic lupus erythematosus, as this is now covered by the factors in subsections 9(8) and 9(30) concerning retinal vasculitis;</w:t>
            </w:r>
          </w:p>
          <w:p w14:paraId="0C0C11E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antiphospholipid antibody syndrome, as this is now covered by the factors in subsections 9(10) and 9(32) concerning a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w:t>
            </w:r>
          </w:p>
          <w:p w14:paraId="4616F20E"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lastRenderedPageBreak/>
              <w:t xml:space="preserve">deleting the factor concerning paroxysmal nocturnal haemoglobinuria, for clinical onset and for retinal venous occlusion only, as this is now covered by the factors in subsections 9(10) and 9(32) concerning a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w:t>
            </w:r>
          </w:p>
          <w:p w14:paraId="7950CC96"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having a haematological disorder, as this is now covered by the factors in subsections 9(10) and 9(32) concerning a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w:t>
            </w:r>
          </w:p>
          <w:p w14:paraId="2BC59DF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having a disease from the specified list affecting the cerebral or retinal vessels, as the factor is now covered by the factors in subsections 9(9) and 9(31) concerning non-inflammatory </w:t>
            </w:r>
            <w:proofErr w:type="spellStart"/>
            <w:r w:rsidRPr="00461E4C">
              <w:rPr>
                <w:sz w:val="20"/>
                <w:lang w:val="en-GB"/>
              </w:rPr>
              <w:t>vasculopathy</w:t>
            </w:r>
            <w:proofErr w:type="spellEnd"/>
            <w:r w:rsidRPr="00461E4C">
              <w:rPr>
                <w:sz w:val="20"/>
                <w:lang w:val="en-GB"/>
              </w:rPr>
              <w:t xml:space="preserve"> of the cerebral or retinal vessels, and by the factors in subsections 9(11) and 9(33) concerning benign or malignant neoplasm or non-neoplastic mass lesion;</w:t>
            </w:r>
          </w:p>
          <w:p w14:paraId="5749CFC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having a lesion of the tissues within the orbit, a lesion of the optic nerve or a lesion within the eye, as these are now covered by the factors in subsections 9(11) and 9(33) concerning benign or malignant neoplasm or non-neoplastic mass lesion;</w:t>
            </w:r>
          </w:p>
          <w:p w14:paraId="45B5680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ipsilateral neoplasm infiltrating the optic nerve or within the eye, for clinical onset, as this is now covered by the factors in subsections 9(11) and 9(33) concerning benign or malignant neoplasm or non-neoplastic mass lesion;</w:t>
            </w:r>
          </w:p>
          <w:p w14:paraId="5B64A0BE" w14:textId="59C30E7C"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a potential source of embolus to the eye, for retinal arterial occlusion only, as the factor is now covered by the factors in paragraphs 9(22)(b) and 9(44)(b) concerning having a cardiac disease with the potential to give rise to a retinal embolus, for retinal arterial occlusion only</w:t>
            </w:r>
            <w:r w:rsidR="00637876">
              <w:rPr>
                <w:sz w:val="20"/>
                <w:lang w:val="en-GB"/>
              </w:rPr>
              <w:t>;</w:t>
            </w:r>
            <w:r w:rsidRPr="00461E4C">
              <w:rPr>
                <w:sz w:val="20"/>
                <w:lang w:val="en-GB"/>
              </w:rPr>
              <w:t xml:space="preserve"> by the factors in paragraphs 9(22)(c) and 9(44)(c) concerning having a non-cardiac potential source of retinal embolus, for retinal arterial occlusion only</w:t>
            </w:r>
            <w:r w:rsidR="00637876">
              <w:rPr>
                <w:sz w:val="20"/>
                <w:lang w:val="en-GB"/>
              </w:rPr>
              <w:t>;</w:t>
            </w:r>
            <w:r w:rsidRPr="00461E4C">
              <w:rPr>
                <w:sz w:val="20"/>
                <w:lang w:val="en-GB"/>
              </w:rPr>
              <w:t xml:space="preserve"> and by the factors in paragraphs 9(22)(d) and 9(44)(d) concerning undergoing a procedure to the heart or the carotid artery, or an intravascular procedure involving the vessels of the head or neck, for retinal arterial occlusion only;</w:t>
            </w:r>
          </w:p>
          <w:p w14:paraId="3E778ED0"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using a drug belonging to the nonsteroidal anti-inflammatory class of drugs;</w:t>
            </w:r>
          </w:p>
          <w:p w14:paraId="0BAE89B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definitions of 'being severely dehydrated', 'BMI', 'chronic renal failure',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 xml:space="preserve">', 'MRCA', 'pack-year of tobacco products', 'retinal vasculitis', 'specified list of drugs', 'specified list of systemic </w:t>
            </w:r>
            <w:proofErr w:type="spellStart"/>
            <w:r w:rsidRPr="00461E4C">
              <w:rPr>
                <w:sz w:val="20"/>
                <w:lang w:val="en-GB"/>
              </w:rPr>
              <w:t>arteritides</w:t>
            </w:r>
            <w:proofErr w:type="spellEnd"/>
            <w:r w:rsidRPr="00461E4C">
              <w:rPr>
                <w:sz w:val="20"/>
                <w:lang w:val="en-GB"/>
              </w:rPr>
              <w:t xml:space="preserve">' and 'specified list of </w:t>
            </w:r>
            <w:proofErr w:type="spellStart"/>
            <w:r w:rsidRPr="00461E4C">
              <w:rPr>
                <w:sz w:val="20"/>
                <w:lang w:val="en-GB"/>
              </w:rPr>
              <w:t>vasculopathies</w:t>
            </w:r>
            <w:proofErr w:type="spellEnd"/>
            <w:r w:rsidRPr="00461E4C">
              <w:rPr>
                <w:sz w:val="20"/>
                <w:lang w:val="en-GB"/>
              </w:rPr>
              <w:t>' and 'VEA' in Schedule 1 - Dictionary;</w:t>
            </w:r>
          </w:p>
          <w:p w14:paraId="41E62E9C"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definitions of 'being obese', 'dyslipidaemia' and 'relevant service' in Schedule 1 - Dictionary; and</w:t>
            </w:r>
          </w:p>
          <w:p w14:paraId="37D30C2A" w14:textId="3696FD8D" w:rsidR="00815136"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definitions of 'a disease from the specified list', 'a drug from the specified list', 'a haematological disorder from the specified list of haematological disorders that are associated with a </w:t>
            </w:r>
            <w:proofErr w:type="spellStart"/>
            <w:r w:rsidRPr="00461E4C">
              <w:rPr>
                <w:sz w:val="20"/>
                <w:lang w:val="en-GB"/>
              </w:rPr>
              <w:t>hypercoagulable</w:t>
            </w:r>
            <w:proofErr w:type="spellEnd"/>
            <w:r w:rsidRPr="00461E4C">
              <w:rPr>
                <w:sz w:val="20"/>
                <w:lang w:val="en-GB"/>
              </w:rPr>
              <w:t xml:space="preserve"> state', 'a potential source of embolus to the eye', 'antiphospholipid antibody syndrome',  'dehydrated',  '</w:t>
            </w:r>
            <w:proofErr w:type="spellStart"/>
            <w:r w:rsidRPr="00461E4C">
              <w:rPr>
                <w:sz w:val="20"/>
                <w:lang w:val="en-GB"/>
              </w:rPr>
              <w:t>hyperhomocysteinaemia</w:t>
            </w:r>
            <w:proofErr w:type="spellEnd"/>
            <w:r w:rsidRPr="00461E4C">
              <w:rPr>
                <w:sz w:val="20"/>
                <w:lang w:val="en-GB"/>
              </w:rPr>
              <w:t>', 'ocular or orbital infection', 'pack-years of cigarettes, or the equivalent thereof in other tobacco products', 'paroxysmal nocturnal haemoglobinuria', 'prolonged external pressure to the eyeball' and 'trauma, including surgical trauma'</w:t>
            </w:r>
            <w:r w:rsidR="00815136" w:rsidRPr="004D7CA1">
              <w:rPr>
                <w:sz w:val="20"/>
                <w:lang w:val="en-GB"/>
              </w:rPr>
              <w:t>.</w:t>
            </w:r>
          </w:p>
          <w:p w14:paraId="36868239" w14:textId="778A4FE8" w:rsidR="00815136" w:rsidRPr="001B31C5" w:rsidRDefault="00815136" w:rsidP="00815136">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51</w:t>
            </w:r>
            <w:r w:rsidRPr="001B31C5">
              <w:rPr>
                <w:b/>
                <w:i/>
              </w:rPr>
              <w:t>/20</w:t>
            </w:r>
            <w:r>
              <w:rPr>
                <w:b/>
                <w:i/>
              </w:rPr>
              <w:t>20</w:t>
            </w:r>
            <w:r w:rsidRPr="001B31C5">
              <w:rPr>
                <w:b/>
                <w:i/>
              </w:rPr>
              <w:t>)</w:t>
            </w:r>
          </w:p>
          <w:p w14:paraId="2D417CCD"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adopting the latest revised Instrument format, which commenced in 2015;</w:t>
            </w:r>
          </w:p>
          <w:p w14:paraId="445D82D0"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specifying a day of commencement for the Instrument in section 2;</w:t>
            </w:r>
          </w:p>
          <w:p w14:paraId="5270443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name of the condition from 'retinal vascular occlusive disease' to 'retinal vascular occlusion';</w:t>
            </w:r>
          </w:p>
          <w:p w14:paraId="37F51BD0"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definition of 'retinal vascular occlusion' in subsection 7(2);</w:t>
            </w:r>
          </w:p>
          <w:p w14:paraId="5138D8B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reference to 'ICD-10-AM code' in subsection 7(4);</w:t>
            </w:r>
          </w:p>
          <w:p w14:paraId="0CDFFD9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 concerning smoking of tobacco products, for clinical onset;</w:t>
            </w:r>
          </w:p>
          <w:p w14:paraId="08105A6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9(2) concerning hypertension, for clinical onset;</w:t>
            </w:r>
          </w:p>
          <w:p w14:paraId="7669055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9(3) concerning diabetes mellitus, for clinical onset;</w:t>
            </w:r>
          </w:p>
          <w:p w14:paraId="35FFF33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9(4) concerning dyslipidaemia, by the inclusion of a note;</w:t>
            </w:r>
          </w:p>
          <w:p w14:paraId="3721650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revising the factor in subsection 9(5) concerning </w:t>
            </w:r>
            <w:proofErr w:type="spellStart"/>
            <w:r w:rsidRPr="00461E4C">
              <w:rPr>
                <w:sz w:val="20"/>
                <w:lang w:val="en-GB"/>
              </w:rPr>
              <w:t>hyperhomocysteinaemia</w:t>
            </w:r>
            <w:proofErr w:type="spellEnd"/>
            <w:r w:rsidRPr="00461E4C">
              <w:rPr>
                <w:sz w:val="20"/>
                <w:lang w:val="en-GB"/>
              </w:rPr>
              <w:t>, for clinical onset;</w:t>
            </w:r>
          </w:p>
          <w:p w14:paraId="172CDF2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9(6) concerning arteritis, for clinical onset;</w:t>
            </w:r>
          </w:p>
          <w:p w14:paraId="2F78FA49" w14:textId="77777777" w:rsidR="00461E4C" w:rsidRPr="00461E4C" w:rsidRDefault="00461E4C" w:rsidP="00461E4C">
            <w:pPr>
              <w:numPr>
                <w:ilvl w:val="0"/>
                <w:numId w:val="1"/>
              </w:numPr>
              <w:tabs>
                <w:tab w:val="num" w:pos="1276"/>
              </w:tabs>
              <w:jc w:val="both"/>
              <w:rPr>
                <w:sz w:val="20"/>
                <w:lang w:val="en-GB"/>
              </w:rPr>
            </w:pPr>
            <w:r w:rsidRPr="00461E4C">
              <w:rPr>
                <w:sz w:val="20"/>
                <w:lang w:val="en-GB"/>
              </w:rPr>
              <w:t>revising the factor in subsection 9(7) concerning retinal vasculitis, for clinical onset;</w:t>
            </w:r>
          </w:p>
          <w:p w14:paraId="4F26A1AE"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factors in subsections 9(8) and 9(28) concerning non-inflammatory </w:t>
            </w:r>
            <w:proofErr w:type="spellStart"/>
            <w:r w:rsidRPr="00461E4C">
              <w:rPr>
                <w:sz w:val="20"/>
                <w:lang w:val="en-GB"/>
              </w:rPr>
              <w:t>vasculopathy</w:t>
            </w:r>
            <w:proofErr w:type="spellEnd"/>
            <w:r w:rsidRPr="00461E4C">
              <w:rPr>
                <w:sz w:val="20"/>
                <w:lang w:val="en-GB"/>
              </w:rPr>
              <w:t xml:space="preserve"> of the cerebral or retinal vessels;</w:t>
            </w:r>
          </w:p>
          <w:p w14:paraId="18155DE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lastRenderedPageBreak/>
              <w:t xml:space="preserve">new factors in subsections 9(9) and 9(29) concerning a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w:t>
            </w:r>
          </w:p>
          <w:p w14:paraId="06C09B5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subsections 9(10) and 9(30) concerning  benign or malignant neoplasm or non-neoplastic mass lesion;</w:t>
            </w:r>
          </w:p>
          <w:p w14:paraId="261467CC"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9(11) concerning vascular abnormality of the retinal vessels, for clinical onset;</w:t>
            </w:r>
          </w:p>
          <w:p w14:paraId="77DEB50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9(12) concerning migraine, for clinical onset;</w:t>
            </w:r>
          </w:p>
          <w:p w14:paraId="35D2D489"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9(13) concerning infection with human immunodeficiency virus, for clinical onset;</w:t>
            </w:r>
          </w:p>
          <w:p w14:paraId="7430584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9(14) concerning ocular or orbital infection, for clinical onset;</w:t>
            </w:r>
          </w:p>
          <w:p w14:paraId="7DB73A5C"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subsections 9(15) and 9(35) concerning direct external pressure to the eyeball;</w:t>
            </w:r>
          </w:p>
          <w:p w14:paraId="7946DFD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9(16) concerning blunt or penetrating injury, for clinical onset;</w:t>
            </w:r>
          </w:p>
          <w:p w14:paraId="2F0553A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9(17) concerning taking a drug from the specified list of drugs, for clinical onset;</w:t>
            </w:r>
          </w:p>
          <w:p w14:paraId="7A66275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9(18) concerning taking a combined oral contraceptive pill, for clinical onset;</w:t>
            </w:r>
          </w:p>
          <w:p w14:paraId="3BFF5AD8" w14:textId="1FD86905"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revising the factor in </w:t>
            </w:r>
            <w:r w:rsidR="00601FC9">
              <w:rPr>
                <w:sz w:val="20"/>
                <w:lang w:val="en-GB"/>
              </w:rPr>
              <w:t>paragraph</w:t>
            </w:r>
            <w:r w:rsidR="00601FC9" w:rsidRPr="00461E4C">
              <w:rPr>
                <w:sz w:val="20"/>
                <w:lang w:val="en-GB"/>
              </w:rPr>
              <w:t xml:space="preserve"> </w:t>
            </w:r>
            <w:r w:rsidRPr="00461E4C">
              <w:rPr>
                <w:sz w:val="20"/>
                <w:lang w:val="en-GB"/>
              </w:rPr>
              <w:t>9(19)(a) concerning open-angle glaucoma, angle-closure glaucoma or ocular hypertension, for clinical onset and for retinal venous occlusion, by the inclusion of a note;</w:t>
            </w:r>
          </w:p>
          <w:p w14:paraId="4E4CD33B"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paragraphs 9(19)(b) and 9(39)(b) concerning chronic renal failure, for retinal venous occlusion only;</w:t>
            </w:r>
          </w:p>
          <w:p w14:paraId="7450523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paragraph 9(19)(c) concerning being severely dehydrated, for clinical onset and for retinal venous occlusion only;</w:t>
            </w:r>
          </w:p>
          <w:p w14:paraId="486E719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paragraph 9(20)(a) concerning carotid artery disease, for clinical onset and for retinal arterial occlusion only;</w:t>
            </w:r>
          </w:p>
          <w:p w14:paraId="500808C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paragraphs 9(20)(b) and 9(40)(b) concerning cardiac disease with the potential to give rise to a retinal embolus, for retinal arterial occlusion only;</w:t>
            </w:r>
          </w:p>
          <w:p w14:paraId="5F45246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factors in paragraphs 9(20)(c) and 9(40)(c) concerning a non-cardiac potential source of retinal embolus, for retinal arterial occlusion only;</w:t>
            </w:r>
          </w:p>
          <w:p w14:paraId="7A92CED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factors in paragraphs 9(20)(d) and 9(40)(d) concerning a procedure to the heart or the carotid artery, or an intravascular procedure involving the vessels of the head or neck, for retinal arterial occlusion only; </w:t>
            </w:r>
          </w:p>
          <w:p w14:paraId="6D163A9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9(21) concerning smoking of tobacco products, for clinical worsening;</w:t>
            </w:r>
          </w:p>
          <w:p w14:paraId="08D2921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9(22) concerning hypertension, for clinical worsening;</w:t>
            </w:r>
          </w:p>
          <w:p w14:paraId="113B511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9(23) concerning diabetes mellitus, for clinical worsening;</w:t>
            </w:r>
          </w:p>
          <w:p w14:paraId="2BA316A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9(24) concerning dyslipidaemia, for clinical worsening;</w:t>
            </w:r>
          </w:p>
          <w:p w14:paraId="2AA8039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 in subsection 9(25) concerning </w:t>
            </w:r>
            <w:proofErr w:type="spellStart"/>
            <w:r w:rsidRPr="00461E4C">
              <w:rPr>
                <w:sz w:val="20"/>
                <w:lang w:val="en-GB"/>
              </w:rPr>
              <w:t>hyperhomocysteinaemia</w:t>
            </w:r>
            <w:proofErr w:type="spellEnd"/>
            <w:r w:rsidRPr="00461E4C">
              <w:rPr>
                <w:sz w:val="20"/>
                <w:lang w:val="en-GB"/>
              </w:rPr>
              <w:t>, for clinical worsening;</w:t>
            </w:r>
          </w:p>
          <w:p w14:paraId="0A9DACCB"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9(26) concerning arteritis, for clinical worsening;</w:t>
            </w:r>
          </w:p>
          <w:p w14:paraId="5DFA966D"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9(27) concerning retinal vasculitis, for clinical worsening;</w:t>
            </w:r>
          </w:p>
          <w:p w14:paraId="7169B3A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9(31) concerning vascular abnormality of the retinal vessels, for clinical worsening;</w:t>
            </w:r>
          </w:p>
          <w:p w14:paraId="7F1E089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9(32) concerning migraine, for clinical worsening;</w:t>
            </w:r>
          </w:p>
          <w:p w14:paraId="3E3DBED0"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9(33) concerning infection with human immunodeficiency virus, for clinical worsening;</w:t>
            </w:r>
          </w:p>
          <w:p w14:paraId="61CDFF90"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9(34) concerning ocular or orbital infection, for clinical worsening;</w:t>
            </w:r>
          </w:p>
          <w:p w14:paraId="36D21486"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9(36) concerning blunt or penetrating injury, for clinical worsening;</w:t>
            </w:r>
          </w:p>
          <w:p w14:paraId="346A3105"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9(37) concerning taking a drug from the specified list of drugs, for clinical worsening;</w:t>
            </w:r>
          </w:p>
          <w:p w14:paraId="68E76C93"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subsection 9(38) concerning taking a combined oral contraceptive pill, for clinical worsening;</w:t>
            </w:r>
          </w:p>
          <w:p w14:paraId="113D227D" w14:textId="58719CD0"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factor in </w:t>
            </w:r>
            <w:r w:rsidR="00601FC9">
              <w:rPr>
                <w:sz w:val="20"/>
                <w:lang w:val="en-GB"/>
              </w:rPr>
              <w:t>paragraph</w:t>
            </w:r>
            <w:r w:rsidR="00601FC9" w:rsidRPr="00461E4C">
              <w:rPr>
                <w:sz w:val="20"/>
                <w:lang w:val="en-GB"/>
              </w:rPr>
              <w:t xml:space="preserve"> </w:t>
            </w:r>
            <w:r w:rsidRPr="00461E4C">
              <w:rPr>
                <w:sz w:val="20"/>
                <w:lang w:val="en-GB"/>
              </w:rPr>
              <w:t>9(39)(a) concerning open-angle glaucoma, angle-closure glaucoma or ocular hypertension, for clinical worsening and for retinal venous occlusion only;</w:t>
            </w:r>
          </w:p>
          <w:p w14:paraId="7160DC2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new factor in paragraph 9(39)(c) concerning being severely dehydrated, for clinical worsening and for retinal venous occlusion only;</w:t>
            </w:r>
          </w:p>
          <w:p w14:paraId="2BEA3CE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lastRenderedPageBreak/>
              <w:t>new factor in paragraph 9(40)(a) concerning carotid artery disease, for clinical worsening and for retinal arterial occlusion only;</w:t>
            </w:r>
          </w:p>
          <w:p w14:paraId="542F2C1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factor in subsection 9(41) concerning inability to obtain appropriate clinical management for retinal vascular occlusion;</w:t>
            </w:r>
          </w:p>
          <w:p w14:paraId="30BAE404"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microscopic </w:t>
            </w:r>
            <w:proofErr w:type="spellStart"/>
            <w:r w:rsidRPr="00461E4C">
              <w:rPr>
                <w:sz w:val="20"/>
                <w:lang w:val="en-GB"/>
              </w:rPr>
              <w:t>polyangiitis</w:t>
            </w:r>
            <w:proofErr w:type="spellEnd"/>
            <w:r w:rsidRPr="00461E4C">
              <w:rPr>
                <w:sz w:val="20"/>
                <w:lang w:val="en-GB"/>
              </w:rPr>
              <w:t>, as this is covered by the factors in subsections 9(7) and 9(27) concerning retinal vasculitis;</w:t>
            </w:r>
          </w:p>
          <w:p w14:paraId="0CCA44BF"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systemic lupus erythematosus, as this is covered by the factors in subsections 9(7) and 9(27) concerning retinal vasculitis;</w:t>
            </w:r>
          </w:p>
          <w:p w14:paraId="46BC1E51"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having a haematological disorder, as this is covered by the factors in subsections 9(9) and 9(29) concerning a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w:t>
            </w:r>
          </w:p>
          <w:p w14:paraId="39E3D57B"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antiphospholipid antibody syndrome, as this is covered by the factors in subsections 9(9) and 9(29) concerning a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w:t>
            </w:r>
          </w:p>
          <w:p w14:paraId="7481912B"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having a disease from the specified list affecting the cerebral or retinal vessels, as the factor is now covered by the factors in subsections 9(8) and 9(28) concerning non-inflammatory </w:t>
            </w:r>
            <w:proofErr w:type="spellStart"/>
            <w:r w:rsidRPr="00461E4C">
              <w:rPr>
                <w:sz w:val="20"/>
                <w:lang w:val="en-GB"/>
              </w:rPr>
              <w:t>vasculopathy</w:t>
            </w:r>
            <w:proofErr w:type="spellEnd"/>
            <w:r w:rsidRPr="00461E4C">
              <w:rPr>
                <w:sz w:val="20"/>
                <w:lang w:val="en-GB"/>
              </w:rPr>
              <w:t xml:space="preserve"> of the cerebral or retinal vessels, and the by factors in subsections 9(10) and 9(30) concerning benign or malignant neoplasm or non-neoplastic mass lesion; </w:t>
            </w:r>
          </w:p>
          <w:p w14:paraId="29AB156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having a lesion of the tissues within the orbit, a lesion of the optic nerve or a lesion within the eye, as these are now covered by the factors in subsections 9(10) and 9(30) concerning benign or malignant neoplasm or non-neoplastic mass lesion;</w:t>
            </w:r>
          </w:p>
          <w:p w14:paraId="236026B2"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ipsilateral neoplasm infiltrating the optic nerve or within the eye, for clinical onset, as this is covered by the factors in subsections 9(10) and 9(30) concerning benign or malignant neoplasm or non-neoplastic mass lesion;</w:t>
            </w:r>
          </w:p>
          <w:p w14:paraId="3AB94931" w14:textId="57B428AC"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a potential source of embolus to the eye, as the factor is now covered by the factors in paragraphs 9(20)(b) and 9(40)(b) concerning cardiac disease with the potential to give rise to a retinal embolus, for retinal arterial occlusion only</w:t>
            </w:r>
            <w:r w:rsidR="00601FC9">
              <w:rPr>
                <w:sz w:val="20"/>
                <w:lang w:val="en-GB"/>
              </w:rPr>
              <w:t>;</w:t>
            </w:r>
            <w:r w:rsidRPr="00461E4C">
              <w:rPr>
                <w:sz w:val="20"/>
                <w:lang w:val="en-GB"/>
              </w:rPr>
              <w:t xml:space="preserve"> by the factors in paragraphs 9(20)(c) and 9(40)(c) concerning a non-cardiac potential source of retinal embolus, for retinal arterial occlusion only</w:t>
            </w:r>
            <w:r w:rsidR="00601FC9">
              <w:rPr>
                <w:sz w:val="20"/>
                <w:lang w:val="en-GB"/>
              </w:rPr>
              <w:t>;</w:t>
            </w:r>
            <w:r w:rsidRPr="00461E4C">
              <w:rPr>
                <w:sz w:val="20"/>
                <w:lang w:val="en-GB"/>
              </w:rPr>
              <w:t xml:space="preserve"> and by the factors in paragraphs 9(20)(d) and 9(40)(d) concerning a procedure to the heart or the carotid artery, or an intravascular procedure involving the vessels of the head or neck, for retinal arterial occlusion only; </w:t>
            </w:r>
          </w:p>
          <w:p w14:paraId="71399E10"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using a drug belonging to the nonsteroidal anti-inflammatory class of drugs;</w:t>
            </w:r>
          </w:p>
          <w:p w14:paraId="4A71ADAB"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being obese;</w:t>
            </w:r>
          </w:p>
          <w:p w14:paraId="06205BA8"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deleting the factor concerning having paroxysmal nocturnal haemoglobinuria, for retinal venous occlusion only;</w:t>
            </w:r>
          </w:p>
          <w:p w14:paraId="2268EA0A"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deleting the factor concerning having </w:t>
            </w:r>
            <w:proofErr w:type="spellStart"/>
            <w:r w:rsidRPr="00461E4C">
              <w:rPr>
                <w:sz w:val="20"/>
                <w:lang w:val="en-GB"/>
              </w:rPr>
              <w:t>thromboangiitis</w:t>
            </w:r>
            <w:proofErr w:type="spellEnd"/>
            <w:r w:rsidRPr="00461E4C">
              <w:rPr>
                <w:sz w:val="20"/>
                <w:lang w:val="en-GB"/>
              </w:rPr>
              <w:t xml:space="preserve"> obliterans (</w:t>
            </w:r>
            <w:proofErr w:type="spellStart"/>
            <w:r w:rsidRPr="00461E4C">
              <w:rPr>
                <w:sz w:val="20"/>
                <w:lang w:val="en-GB"/>
              </w:rPr>
              <w:t>Buerger's</w:t>
            </w:r>
            <w:proofErr w:type="spellEnd"/>
            <w:r w:rsidRPr="00461E4C">
              <w:rPr>
                <w:sz w:val="20"/>
                <w:lang w:val="en-GB"/>
              </w:rPr>
              <w:t xml:space="preserve"> disease), for retinal venous occlusion only;</w:t>
            </w:r>
          </w:p>
          <w:p w14:paraId="2DE74957" w14:textId="77777777"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 xml:space="preserve">new definitions of 'being severely dehydrated', 'chronic renal failure', 'disorder that is associated with a </w:t>
            </w:r>
            <w:proofErr w:type="spellStart"/>
            <w:r w:rsidRPr="00461E4C">
              <w:rPr>
                <w:sz w:val="20"/>
                <w:lang w:val="en-GB"/>
              </w:rPr>
              <w:t>hypercoagulable</w:t>
            </w:r>
            <w:proofErr w:type="spellEnd"/>
            <w:r w:rsidRPr="00461E4C">
              <w:rPr>
                <w:sz w:val="20"/>
                <w:lang w:val="en-GB"/>
              </w:rPr>
              <w:t xml:space="preserve"> state or </w:t>
            </w:r>
            <w:proofErr w:type="spellStart"/>
            <w:r w:rsidRPr="00461E4C">
              <w:rPr>
                <w:sz w:val="20"/>
                <w:lang w:val="en-GB"/>
              </w:rPr>
              <w:t>hyperviscosity</w:t>
            </w:r>
            <w:proofErr w:type="spellEnd"/>
            <w:r w:rsidRPr="00461E4C">
              <w:rPr>
                <w:sz w:val="20"/>
                <w:lang w:val="en-GB"/>
              </w:rPr>
              <w:t xml:space="preserve">', 'MRCA', 'pack-year of tobacco products', 'retinal vasculitis', 'specified list of drugs', 'specified list of systemic </w:t>
            </w:r>
            <w:proofErr w:type="spellStart"/>
            <w:r w:rsidRPr="00461E4C">
              <w:rPr>
                <w:sz w:val="20"/>
                <w:lang w:val="en-GB"/>
              </w:rPr>
              <w:t>arteritides</w:t>
            </w:r>
            <w:proofErr w:type="spellEnd"/>
            <w:r w:rsidRPr="00461E4C">
              <w:rPr>
                <w:sz w:val="20"/>
                <w:lang w:val="en-GB"/>
              </w:rPr>
              <w:t xml:space="preserve">', 'specified list of </w:t>
            </w:r>
            <w:proofErr w:type="spellStart"/>
            <w:r w:rsidRPr="00461E4C">
              <w:rPr>
                <w:sz w:val="20"/>
                <w:lang w:val="en-GB"/>
              </w:rPr>
              <w:t>vasculopathies</w:t>
            </w:r>
            <w:proofErr w:type="spellEnd"/>
            <w:r w:rsidRPr="00461E4C">
              <w:rPr>
                <w:sz w:val="20"/>
                <w:lang w:val="en-GB"/>
              </w:rPr>
              <w:t>' and 'VEA' in Schedule 1 - Dictionary;</w:t>
            </w:r>
          </w:p>
          <w:p w14:paraId="1CF561EE" w14:textId="58CCFB4A" w:rsidR="00461E4C" w:rsidRPr="00461E4C" w:rsidRDefault="00461E4C" w:rsidP="00461E4C">
            <w:pPr>
              <w:numPr>
                <w:ilvl w:val="0"/>
                <w:numId w:val="1"/>
              </w:numPr>
              <w:tabs>
                <w:tab w:val="num" w:pos="1276"/>
              </w:tabs>
              <w:ind w:left="714" w:hanging="357"/>
              <w:jc w:val="both"/>
              <w:rPr>
                <w:sz w:val="20"/>
                <w:lang w:val="en-GB"/>
              </w:rPr>
            </w:pPr>
            <w:r w:rsidRPr="00461E4C">
              <w:rPr>
                <w:sz w:val="20"/>
                <w:lang w:val="en-GB"/>
              </w:rPr>
              <w:t>revising the definitions of 'dyslipidaemia', and 'relevant service' in Schedule 1 - Dictionary; and</w:t>
            </w:r>
          </w:p>
          <w:p w14:paraId="088401F7" w14:textId="4D3937E3" w:rsidR="000858B4" w:rsidRPr="00815136" w:rsidRDefault="00461E4C" w:rsidP="00993A81">
            <w:pPr>
              <w:numPr>
                <w:ilvl w:val="0"/>
                <w:numId w:val="1"/>
              </w:numPr>
              <w:tabs>
                <w:tab w:val="num" w:pos="1276"/>
              </w:tabs>
              <w:spacing w:after="60"/>
              <w:ind w:left="714" w:hanging="357"/>
              <w:jc w:val="both"/>
              <w:rPr>
                <w:sz w:val="20"/>
                <w:lang w:val="en-GB"/>
              </w:rPr>
            </w:pPr>
            <w:r w:rsidRPr="00461E4C">
              <w:rPr>
                <w:sz w:val="20"/>
                <w:lang w:val="en-GB"/>
              </w:rPr>
              <w:t xml:space="preserve">deleting the definitions of 'a disease from the specified list', 'a drug from the specified list', 'a haematological disorder from the specified list of haematological disorders that are associated with a </w:t>
            </w:r>
            <w:proofErr w:type="spellStart"/>
            <w:r w:rsidRPr="00461E4C">
              <w:rPr>
                <w:sz w:val="20"/>
                <w:lang w:val="en-GB"/>
              </w:rPr>
              <w:t>hypercoagulable</w:t>
            </w:r>
            <w:proofErr w:type="spellEnd"/>
            <w:r w:rsidRPr="00461E4C">
              <w:rPr>
                <w:sz w:val="20"/>
                <w:lang w:val="en-GB"/>
              </w:rPr>
              <w:t xml:space="preserve"> state', 'a potential source of embolus to the eye', 'antiphospholipid antibody syndrome', 'being obese', 'dehydrated', '</w:t>
            </w:r>
            <w:proofErr w:type="spellStart"/>
            <w:r w:rsidRPr="00461E4C">
              <w:rPr>
                <w:sz w:val="20"/>
                <w:lang w:val="en-GB"/>
              </w:rPr>
              <w:t>hyperhomocysteinaemia</w:t>
            </w:r>
            <w:proofErr w:type="spellEnd"/>
            <w:r w:rsidRPr="00461E4C">
              <w:rPr>
                <w:sz w:val="20"/>
                <w:lang w:val="en-GB"/>
              </w:rPr>
              <w:t>', 'ocular or orbital infection', 'pack-years of cigarettes</w:t>
            </w:r>
            <w:r w:rsidR="00601FC9">
              <w:rPr>
                <w:sz w:val="20"/>
                <w:lang w:val="en-GB"/>
              </w:rPr>
              <w:t>,</w:t>
            </w:r>
            <w:r w:rsidRPr="00461E4C">
              <w:rPr>
                <w:sz w:val="20"/>
                <w:lang w:val="en-GB"/>
              </w:rPr>
              <w:t xml:space="preserve"> or the equivalent thereof in other tobacco products', 'paroxysmal nocturnal haemoglobinuria' and 'trauma, including surgical trauma'</w:t>
            </w:r>
            <w:r w:rsidR="00815136" w:rsidRPr="004D7CA1">
              <w:rPr>
                <w:sz w:val="20"/>
                <w:lang w:val="en-GB"/>
              </w:rPr>
              <w:t>.</w:t>
            </w:r>
          </w:p>
          <w:p w14:paraId="3E73C05A" w14:textId="0CD1721C" w:rsidR="00815136" w:rsidRDefault="00815136" w:rsidP="000858B4">
            <w:pPr>
              <w:pStyle w:val="BodyText"/>
              <w:spacing w:after="60"/>
              <w:ind w:left="34" w:right="272"/>
              <w:rPr>
                <w:b/>
              </w:rPr>
            </w:pPr>
            <w:r>
              <w:t>On 24 February 2020, the Authority wrote to organisations representing veterans, service personnel and their dependants regarding the proposed Instrument</w:t>
            </w:r>
            <w:r w:rsidR="00601FC9">
              <w:t>s</w:t>
            </w:r>
            <w:r>
              <w:t xml:space="preserve"> and the medical-scientific material considered by the Authority.  This letter emphasised the deletion of the factor relating to </w:t>
            </w:r>
            <w:r w:rsidRPr="00815136">
              <w:rPr>
                <w:i/>
              </w:rPr>
              <w:t>using a drug belonging to the nonsteroidal anti-inflammatory class of drugs</w:t>
            </w:r>
            <w:r>
              <w:rPr>
                <w:szCs w:val="24"/>
              </w:rPr>
              <w:t xml:space="preserve"> from the reasonable hypothesis Statement of Principles, and the deletion of the factors relating to </w:t>
            </w:r>
            <w:r w:rsidRPr="00815136">
              <w:rPr>
                <w:i/>
              </w:rPr>
              <w:t>using a drug belonging to the nonsteroidal anti-inflammatory class of drugs</w:t>
            </w:r>
            <w:r w:rsidR="00601FC9">
              <w:t>;</w:t>
            </w:r>
            <w:r>
              <w:t xml:space="preserve"> </w:t>
            </w:r>
            <w:r w:rsidRPr="00815136">
              <w:rPr>
                <w:i/>
              </w:rPr>
              <w:t>being obese</w:t>
            </w:r>
            <w:r w:rsidR="00601FC9">
              <w:t>;</w:t>
            </w:r>
            <w:r>
              <w:t xml:space="preserve"> </w:t>
            </w:r>
            <w:r w:rsidRPr="00815136">
              <w:rPr>
                <w:i/>
              </w:rPr>
              <w:t xml:space="preserve">having paroxysmal nocturnal haemoglobinuria, for retinal </w:t>
            </w:r>
            <w:r w:rsidR="00E52EE9">
              <w:rPr>
                <w:i/>
              </w:rPr>
              <w:t>venous</w:t>
            </w:r>
            <w:r w:rsidRPr="00815136">
              <w:rPr>
                <w:i/>
              </w:rPr>
              <w:t xml:space="preserve"> occlusion only</w:t>
            </w:r>
            <w:r w:rsidR="00601FC9">
              <w:t>;</w:t>
            </w:r>
            <w:r>
              <w:t xml:space="preserve"> and </w:t>
            </w:r>
            <w:r w:rsidRPr="00815136">
              <w:rPr>
                <w:i/>
              </w:rPr>
              <w:t xml:space="preserve">having </w:t>
            </w:r>
            <w:proofErr w:type="spellStart"/>
            <w:r w:rsidRPr="00815136">
              <w:rPr>
                <w:i/>
              </w:rPr>
              <w:t>thromboangiitis</w:t>
            </w:r>
            <w:proofErr w:type="spellEnd"/>
            <w:r w:rsidRPr="00815136">
              <w:rPr>
                <w:i/>
              </w:rPr>
              <w:t xml:space="preserve"> obliterans (</w:t>
            </w:r>
            <w:proofErr w:type="spellStart"/>
            <w:r w:rsidRPr="00815136">
              <w:rPr>
                <w:i/>
              </w:rPr>
              <w:t>Buerger's</w:t>
            </w:r>
            <w:proofErr w:type="spellEnd"/>
            <w:r w:rsidRPr="00815136">
              <w:rPr>
                <w:i/>
              </w:rPr>
              <w:t xml:space="preserve"> disease), for retinal </w:t>
            </w:r>
            <w:r w:rsidR="00E52EE9">
              <w:rPr>
                <w:i/>
              </w:rPr>
              <w:t>venous</w:t>
            </w:r>
            <w:r w:rsidRPr="00815136">
              <w:rPr>
                <w:i/>
              </w:rPr>
              <w:t xml:space="preserve"> occlusion only</w:t>
            </w:r>
            <w:r>
              <w:rPr>
                <w:i/>
                <w:szCs w:val="24"/>
              </w:rPr>
              <w:t>.</w:t>
            </w:r>
            <w:r>
              <w:t xml:space="preserve">  </w:t>
            </w:r>
            <w:r w:rsidR="001F0D8A" w:rsidRPr="007223EA">
              <w:rPr>
                <w:lang w:val="en-GB"/>
              </w:rPr>
              <w:t>The Authority provided an opportunity to the organisations to make representations in relation to the proposed Instrument</w:t>
            </w:r>
            <w:r w:rsidR="001F0D8A">
              <w:rPr>
                <w:lang w:val="en-GB"/>
              </w:rPr>
              <w:t>s</w:t>
            </w:r>
            <w:r w:rsidR="001F0D8A" w:rsidRPr="007223EA">
              <w:rPr>
                <w:lang w:val="en-GB"/>
              </w:rPr>
              <w:t xml:space="preserve"> prior to </w:t>
            </w:r>
            <w:r w:rsidR="001F0D8A">
              <w:rPr>
                <w:lang w:val="en-GB"/>
              </w:rPr>
              <w:t>their</w:t>
            </w:r>
            <w:r w:rsidR="001F0D8A" w:rsidRPr="007223EA">
              <w:rPr>
                <w:lang w:val="en-GB"/>
              </w:rPr>
              <w:t xml:space="preserve"> determination.  </w:t>
            </w:r>
            <w:r w:rsidR="001F0D8A" w:rsidRPr="007223EA">
              <w:rPr>
                <w:lang w:val="en-GB"/>
              </w:rPr>
              <w:lastRenderedPageBreak/>
              <w:t xml:space="preserve">No submissions were received for consideration by the Authority.  </w:t>
            </w:r>
            <w:r w:rsidR="001F0D8A">
              <w:t>Non-substantial changes were made to the proposed Instruments following this consultation process.</w:t>
            </w:r>
          </w:p>
          <w:p w14:paraId="4B4C2092" w14:textId="550DE296" w:rsidR="00C95605" w:rsidRPr="001B31C5" w:rsidRDefault="00C95605" w:rsidP="00601FC9">
            <w:pPr>
              <w:pStyle w:val="BodyText"/>
              <w:spacing w:after="60"/>
              <w:ind w:left="34" w:right="272"/>
              <w:rPr>
                <w:b/>
                <w:sz w:val="19"/>
                <w:szCs w:val="19"/>
              </w:rPr>
            </w:pPr>
            <w:r w:rsidRPr="001B31C5">
              <w:rPr>
                <w:b/>
              </w:rPr>
              <w:t>The determining of these Instruments finalises the investigation in relation</w:t>
            </w:r>
            <w:r w:rsidR="00E52EE9">
              <w:rPr>
                <w:b/>
              </w:rPr>
              <w:t xml:space="preserve"> to</w:t>
            </w:r>
            <w:r w:rsidRPr="001B31C5">
              <w:rPr>
                <w:b/>
              </w:rPr>
              <w:t xml:space="preserve"> </w:t>
            </w:r>
            <w:r w:rsidR="00E52EE9">
              <w:rPr>
                <w:b/>
                <w:i/>
              </w:rPr>
              <w:t>retinal vascular occlusive disease</w:t>
            </w:r>
            <w:r w:rsidR="00106EE5" w:rsidRPr="00106EE5">
              <w:rPr>
                <w:b/>
                <w:i/>
              </w:rPr>
              <w:t xml:space="preserve"> </w:t>
            </w:r>
            <w:r w:rsidRPr="001B31C5">
              <w:rPr>
                <w:b/>
              </w:rPr>
              <w:t xml:space="preserve">as advertised in the Government Notices Gazette of </w:t>
            </w:r>
            <w:r w:rsidR="00E52EE9">
              <w:rPr>
                <w:b/>
              </w:rPr>
              <w:t>6</w:t>
            </w:r>
            <w:r w:rsidR="00601FC9">
              <w:rPr>
                <w:b/>
              </w:rPr>
              <w:t> </w:t>
            </w:r>
            <w:r w:rsidR="00E52EE9">
              <w:rPr>
                <w:b/>
              </w:rPr>
              <w:t>November 2018</w:t>
            </w:r>
            <w:r w:rsidRPr="001B31C5">
              <w:rPr>
                <w:b/>
              </w:rPr>
              <w:t xml:space="preserve">. </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3DB11" w14:textId="77777777" w:rsidR="00985155" w:rsidRDefault="00985155">
      <w:r>
        <w:separator/>
      </w:r>
    </w:p>
  </w:endnote>
  <w:endnote w:type="continuationSeparator" w:id="0">
    <w:p w14:paraId="6B5C2AD4" w14:textId="77777777"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85155" w:rsidRDefault="0098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85155" w:rsidRDefault="00985155">
    <w:pPr>
      <w:pStyle w:val="Footer"/>
      <w:framePr w:wrap="around" w:vAnchor="text" w:hAnchor="margin" w:xAlign="right" w:y="1"/>
      <w:rPr>
        <w:rStyle w:val="PageNumber"/>
      </w:rPr>
    </w:pPr>
  </w:p>
  <w:p w14:paraId="6FE11B55" w14:textId="46164D51"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9952B1">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9952B1">
      <w:rPr>
        <w:rStyle w:val="PageNumber"/>
        <w:noProof/>
        <w:sz w:val="16"/>
        <w:szCs w:val="16"/>
      </w:rPr>
      <w:t>11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447E" w14:textId="77777777" w:rsidR="00985155" w:rsidRDefault="00985155">
      <w:r>
        <w:separator/>
      </w:r>
    </w:p>
  </w:footnote>
  <w:footnote w:type="continuationSeparator" w:id="0">
    <w:p w14:paraId="52554E5E" w14:textId="77777777" w:rsidR="00985155" w:rsidRDefault="0098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3AA410F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78746F8"/>
    <w:multiLevelType w:val="hybridMultilevel"/>
    <w:tmpl w:val="C9C88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AF0475"/>
    <w:multiLevelType w:val="hybridMultilevel"/>
    <w:tmpl w:val="71AC3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25F5E"/>
    <w:rsid w:val="0003039A"/>
    <w:rsid w:val="0003279D"/>
    <w:rsid w:val="00041106"/>
    <w:rsid w:val="00043EA4"/>
    <w:rsid w:val="00046BC0"/>
    <w:rsid w:val="000476EA"/>
    <w:rsid w:val="00056496"/>
    <w:rsid w:val="00056AD5"/>
    <w:rsid w:val="00056FDE"/>
    <w:rsid w:val="00061463"/>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4174"/>
    <w:rsid w:val="000E4DEF"/>
    <w:rsid w:val="000E7744"/>
    <w:rsid w:val="000F589C"/>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74E0F"/>
    <w:rsid w:val="00182314"/>
    <w:rsid w:val="00191676"/>
    <w:rsid w:val="00196A4A"/>
    <w:rsid w:val="001A1546"/>
    <w:rsid w:val="001A30F3"/>
    <w:rsid w:val="001A68B8"/>
    <w:rsid w:val="001A78B4"/>
    <w:rsid w:val="001B235D"/>
    <w:rsid w:val="001B31C5"/>
    <w:rsid w:val="001B5219"/>
    <w:rsid w:val="001B5AA0"/>
    <w:rsid w:val="001B7E10"/>
    <w:rsid w:val="001C027F"/>
    <w:rsid w:val="001C4639"/>
    <w:rsid w:val="001C491B"/>
    <w:rsid w:val="001C5985"/>
    <w:rsid w:val="001D09BC"/>
    <w:rsid w:val="001D1846"/>
    <w:rsid w:val="001D5766"/>
    <w:rsid w:val="001D620B"/>
    <w:rsid w:val="001D68C9"/>
    <w:rsid w:val="001D774E"/>
    <w:rsid w:val="001D7F9A"/>
    <w:rsid w:val="001E0473"/>
    <w:rsid w:val="001E5BC7"/>
    <w:rsid w:val="001E7260"/>
    <w:rsid w:val="001F0234"/>
    <w:rsid w:val="001F0D8A"/>
    <w:rsid w:val="001F3F0B"/>
    <w:rsid w:val="001F4762"/>
    <w:rsid w:val="001F783E"/>
    <w:rsid w:val="001F7961"/>
    <w:rsid w:val="00201057"/>
    <w:rsid w:val="00204C27"/>
    <w:rsid w:val="00210125"/>
    <w:rsid w:val="0021180B"/>
    <w:rsid w:val="00211DA4"/>
    <w:rsid w:val="0021422C"/>
    <w:rsid w:val="002148F7"/>
    <w:rsid w:val="00214B51"/>
    <w:rsid w:val="0021686D"/>
    <w:rsid w:val="002273F1"/>
    <w:rsid w:val="0023135A"/>
    <w:rsid w:val="002375CC"/>
    <w:rsid w:val="00240F71"/>
    <w:rsid w:val="0024289C"/>
    <w:rsid w:val="00243AA1"/>
    <w:rsid w:val="00244B31"/>
    <w:rsid w:val="002469F2"/>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A5455"/>
    <w:rsid w:val="002B2E1F"/>
    <w:rsid w:val="002B3FDD"/>
    <w:rsid w:val="002C03BC"/>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175F7"/>
    <w:rsid w:val="003213E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3ECF"/>
    <w:rsid w:val="003A578C"/>
    <w:rsid w:val="003B06D3"/>
    <w:rsid w:val="003B1BB8"/>
    <w:rsid w:val="003B495C"/>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CB8"/>
    <w:rsid w:val="004108EE"/>
    <w:rsid w:val="004111B9"/>
    <w:rsid w:val="00411343"/>
    <w:rsid w:val="004133C2"/>
    <w:rsid w:val="0041348F"/>
    <w:rsid w:val="0041602D"/>
    <w:rsid w:val="00424AD7"/>
    <w:rsid w:val="004347E1"/>
    <w:rsid w:val="00434A2A"/>
    <w:rsid w:val="00435E37"/>
    <w:rsid w:val="00440DA9"/>
    <w:rsid w:val="00442CBB"/>
    <w:rsid w:val="004439A8"/>
    <w:rsid w:val="00447D76"/>
    <w:rsid w:val="00453419"/>
    <w:rsid w:val="00453710"/>
    <w:rsid w:val="00454821"/>
    <w:rsid w:val="00461E4C"/>
    <w:rsid w:val="004669F2"/>
    <w:rsid w:val="00473F0A"/>
    <w:rsid w:val="004747C1"/>
    <w:rsid w:val="004755B9"/>
    <w:rsid w:val="004762AD"/>
    <w:rsid w:val="00480004"/>
    <w:rsid w:val="0048027A"/>
    <w:rsid w:val="0048426D"/>
    <w:rsid w:val="00484C2B"/>
    <w:rsid w:val="00485E1E"/>
    <w:rsid w:val="00486590"/>
    <w:rsid w:val="00493433"/>
    <w:rsid w:val="004A08C2"/>
    <w:rsid w:val="004A119A"/>
    <w:rsid w:val="004A1F8A"/>
    <w:rsid w:val="004A2969"/>
    <w:rsid w:val="004A4025"/>
    <w:rsid w:val="004A40D3"/>
    <w:rsid w:val="004A64B2"/>
    <w:rsid w:val="004A79FF"/>
    <w:rsid w:val="004B407D"/>
    <w:rsid w:val="004C087A"/>
    <w:rsid w:val="004C0E5F"/>
    <w:rsid w:val="004C1B11"/>
    <w:rsid w:val="004C54D5"/>
    <w:rsid w:val="004C5886"/>
    <w:rsid w:val="004D059B"/>
    <w:rsid w:val="004D632C"/>
    <w:rsid w:val="004D7CA1"/>
    <w:rsid w:val="004E00E7"/>
    <w:rsid w:val="004E27E5"/>
    <w:rsid w:val="004F0E6B"/>
    <w:rsid w:val="004F109C"/>
    <w:rsid w:val="004F4428"/>
    <w:rsid w:val="004F4BA0"/>
    <w:rsid w:val="004F68D6"/>
    <w:rsid w:val="00515703"/>
    <w:rsid w:val="00517506"/>
    <w:rsid w:val="005217A7"/>
    <w:rsid w:val="00526290"/>
    <w:rsid w:val="005272F5"/>
    <w:rsid w:val="005320D3"/>
    <w:rsid w:val="00533E20"/>
    <w:rsid w:val="00536FD2"/>
    <w:rsid w:val="00537CDC"/>
    <w:rsid w:val="00542E0C"/>
    <w:rsid w:val="0054535F"/>
    <w:rsid w:val="0054538E"/>
    <w:rsid w:val="005454BF"/>
    <w:rsid w:val="00553A9B"/>
    <w:rsid w:val="0056555F"/>
    <w:rsid w:val="005711D1"/>
    <w:rsid w:val="00573043"/>
    <w:rsid w:val="00574C11"/>
    <w:rsid w:val="00576A59"/>
    <w:rsid w:val="00584CC8"/>
    <w:rsid w:val="0058568D"/>
    <w:rsid w:val="0058615C"/>
    <w:rsid w:val="0058666E"/>
    <w:rsid w:val="00586726"/>
    <w:rsid w:val="005875CA"/>
    <w:rsid w:val="005903C2"/>
    <w:rsid w:val="00591828"/>
    <w:rsid w:val="00594393"/>
    <w:rsid w:val="00597273"/>
    <w:rsid w:val="00597C72"/>
    <w:rsid w:val="00597D0F"/>
    <w:rsid w:val="005B71A0"/>
    <w:rsid w:val="005C29F9"/>
    <w:rsid w:val="005C48F9"/>
    <w:rsid w:val="005C51B6"/>
    <w:rsid w:val="005C6B3F"/>
    <w:rsid w:val="005C79A9"/>
    <w:rsid w:val="005D0CE6"/>
    <w:rsid w:val="005D2BD9"/>
    <w:rsid w:val="005D4C2A"/>
    <w:rsid w:val="005D5463"/>
    <w:rsid w:val="005D67D4"/>
    <w:rsid w:val="005E49B2"/>
    <w:rsid w:val="005E6B82"/>
    <w:rsid w:val="005F2EAD"/>
    <w:rsid w:val="005F3937"/>
    <w:rsid w:val="005F60B6"/>
    <w:rsid w:val="00601FC9"/>
    <w:rsid w:val="00605651"/>
    <w:rsid w:val="006076A6"/>
    <w:rsid w:val="0062480A"/>
    <w:rsid w:val="00625847"/>
    <w:rsid w:val="00632B7A"/>
    <w:rsid w:val="00637876"/>
    <w:rsid w:val="00640A93"/>
    <w:rsid w:val="0064194F"/>
    <w:rsid w:val="0064198B"/>
    <w:rsid w:val="006426E1"/>
    <w:rsid w:val="00642904"/>
    <w:rsid w:val="00647664"/>
    <w:rsid w:val="00652316"/>
    <w:rsid w:val="006558C5"/>
    <w:rsid w:val="00687EA7"/>
    <w:rsid w:val="00694850"/>
    <w:rsid w:val="006952B9"/>
    <w:rsid w:val="00695A0D"/>
    <w:rsid w:val="006A3CB2"/>
    <w:rsid w:val="006A58DD"/>
    <w:rsid w:val="006B2F25"/>
    <w:rsid w:val="006B355C"/>
    <w:rsid w:val="006B573A"/>
    <w:rsid w:val="006C180B"/>
    <w:rsid w:val="006C221D"/>
    <w:rsid w:val="006C36B8"/>
    <w:rsid w:val="006D3625"/>
    <w:rsid w:val="006E1180"/>
    <w:rsid w:val="006E1F2D"/>
    <w:rsid w:val="006E3D68"/>
    <w:rsid w:val="006F19D6"/>
    <w:rsid w:val="006F3CE4"/>
    <w:rsid w:val="006F4C7C"/>
    <w:rsid w:val="006F7672"/>
    <w:rsid w:val="0070306F"/>
    <w:rsid w:val="007033C1"/>
    <w:rsid w:val="00705897"/>
    <w:rsid w:val="00705CCB"/>
    <w:rsid w:val="007122E3"/>
    <w:rsid w:val="007155A5"/>
    <w:rsid w:val="007204A7"/>
    <w:rsid w:val="00720C74"/>
    <w:rsid w:val="007223EA"/>
    <w:rsid w:val="00723B41"/>
    <w:rsid w:val="00726C5A"/>
    <w:rsid w:val="0073248F"/>
    <w:rsid w:val="007340A3"/>
    <w:rsid w:val="007414C8"/>
    <w:rsid w:val="00744EEC"/>
    <w:rsid w:val="007454E0"/>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2F9C"/>
    <w:rsid w:val="007E3905"/>
    <w:rsid w:val="007E6E49"/>
    <w:rsid w:val="007F294A"/>
    <w:rsid w:val="0080326C"/>
    <w:rsid w:val="00804993"/>
    <w:rsid w:val="008069F5"/>
    <w:rsid w:val="00807DB4"/>
    <w:rsid w:val="00812B7B"/>
    <w:rsid w:val="00812EF7"/>
    <w:rsid w:val="00813AE9"/>
    <w:rsid w:val="00815136"/>
    <w:rsid w:val="00815FBB"/>
    <w:rsid w:val="0082062E"/>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0C2"/>
    <w:rsid w:val="00870747"/>
    <w:rsid w:val="00872C0D"/>
    <w:rsid w:val="00876FB6"/>
    <w:rsid w:val="00877886"/>
    <w:rsid w:val="00881B88"/>
    <w:rsid w:val="00882ABA"/>
    <w:rsid w:val="00887B1C"/>
    <w:rsid w:val="00887C9E"/>
    <w:rsid w:val="00890D56"/>
    <w:rsid w:val="00891C9B"/>
    <w:rsid w:val="00892B3B"/>
    <w:rsid w:val="008A32D5"/>
    <w:rsid w:val="008B165A"/>
    <w:rsid w:val="008B4715"/>
    <w:rsid w:val="008C1A2B"/>
    <w:rsid w:val="008C3EF9"/>
    <w:rsid w:val="008C4BA6"/>
    <w:rsid w:val="008E2D20"/>
    <w:rsid w:val="008F36E2"/>
    <w:rsid w:val="008F555D"/>
    <w:rsid w:val="009010EE"/>
    <w:rsid w:val="00901104"/>
    <w:rsid w:val="009027A0"/>
    <w:rsid w:val="0090304E"/>
    <w:rsid w:val="00904B10"/>
    <w:rsid w:val="00905545"/>
    <w:rsid w:val="0090566D"/>
    <w:rsid w:val="00905D15"/>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E24"/>
    <w:rsid w:val="00975CF9"/>
    <w:rsid w:val="0098194E"/>
    <w:rsid w:val="00984799"/>
    <w:rsid w:val="00985155"/>
    <w:rsid w:val="009929DD"/>
    <w:rsid w:val="009935AA"/>
    <w:rsid w:val="0099374E"/>
    <w:rsid w:val="00993A81"/>
    <w:rsid w:val="009952B1"/>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4C3C"/>
    <w:rsid w:val="00A3569F"/>
    <w:rsid w:val="00A41AE1"/>
    <w:rsid w:val="00A463CB"/>
    <w:rsid w:val="00A57480"/>
    <w:rsid w:val="00A63FDF"/>
    <w:rsid w:val="00A64C8E"/>
    <w:rsid w:val="00A73805"/>
    <w:rsid w:val="00A7423F"/>
    <w:rsid w:val="00A812AC"/>
    <w:rsid w:val="00A82D51"/>
    <w:rsid w:val="00A876D4"/>
    <w:rsid w:val="00A9200E"/>
    <w:rsid w:val="00A92676"/>
    <w:rsid w:val="00A94532"/>
    <w:rsid w:val="00A95B5D"/>
    <w:rsid w:val="00A95F00"/>
    <w:rsid w:val="00AA1792"/>
    <w:rsid w:val="00AA315B"/>
    <w:rsid w:val="00AB3052"/>
    <w:rsid w:val="00AB4B98"/>
    <w:rsid w:val="00AB68B5"/>
    <w:rsid w:val="00AC0E6C"/>
    <w:rsid w:val="00AC2205"/>
    <w:rsid w:val="00AC36E9"/>
    <w:rsid w:val="00AC5DAB"/>
    <w:rsid w:val="00AC6B3D"/>
    <w:rsid w:val="00AD054C"/>
    <w:rsid w:val="00AD18E1"/>
    <w:rsid w:val="00AD3DC3"/>
    <w:rsid w:val="00AD5B52"/>
    <w:rsid w:val="00AD6E67"/>
    <w:rsid w:val="00AD7581"/>
    <w:rsid w:val="00AE3563"/>
    <w:rsid w:val="00AE53A9"/>
    <w:rsid w:val="00AE6C37"/>
    <w:rsid w:val="00AF7EA6"/>
    <w:rsid w:val="00B02F16"/>
    <w:rsid w:val="00B03B3C"/>
    <w:rsid w:val="00B12BC4"/>
    <w:rsid w:val="00B13678"/>
    <w:rsid w:val="00B15F81"/>
    <w:rsid w:val="00B16CA3"/>
    <w:rsid w:val="00B174C2"/>
    <w:rsid w:val="00B17F12"/>
    <w:rsid w:val="00B23DE0"/>
    <w:rsid w:val="00B2575D"/>
    <w:rsid w:val="00B329B5"/>
    <w:rsid w:val="00B34550"/>
    <w:rsid w:val="00B40633"/>
    <w:rsid w:val="00B408EE"/>
    <w:rsid w:val="00B452A2"/>
    <w:rsid w:val="00B507A5"/>
    <w:rsid w:val="00B53D19"/>
    <w:rsid w:val="00B54176"/>
    <w:rsid w:val="00B56D13"/>
    <w:rsid w:val="00B56E94"/>
    <w:rsid w:val="00B60D70"/>
    <w:rsid w:val="00B62B3E"/>
    <w:rsid w:val="00B76236"/>
    <w:rsid w:val="00B803B0"/>
    <w:rsid w:val="00B80718"/>
    <w:rsid w:val="00B8384B"/>
    <w:rsid w:val="00B861E3"/>
    <w:rsid w:val="00B87480"/>
    <w:rsid w:val="00B976B3"/>
    <w:rsid w:val="00BA1274"/>
    <w:rsid w:val="00BA4E2D"/>
    <w:rsid w:val="00BB0A84"/>
    <w:rsid w:val="00BB690D"/>
    <w:rsid w:val="00BB7038"/>
    <w:rsid w:val="00BB7495"/>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4969"/>
    <w:rsid w:val="00C80225"/>
    <w:rsid w:val="00C82602"/>
    <w:rsid w:val="00C83B61"/>
    <w:rsid w:val="00C84BC7"/>
    <w:rsid w:val="00C925E4"/>
    <w:rsid w:val="00C95605"/>
    <w:rsid w:val="00CA50C8"/>
    <w:rsid w:val="00CB0A5A"/>
    <w:rsid w:val="00CB3C1D"/>
    <w:rsid w:val="00CB7C0C"/>
    <w:rsid w:val="00CC27FB"/>
    <w:rsid w:val="00CC61F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0212"/>
    <w:rsid w:val="00D43A30"/>
    <w:rsid w:val="00D43B57"/>
    <w:rsid w:val="00D43FB9"/>
    <w:rsid w:val="00D45A5C"/>
    <w:rsid w:val="00D51401"/>
    <w:rsid w:val="00D5572B"/>
    <w:rsid w:val="00D62ED9"/>
    <w:rsid w:val="00D63954"/>
    <w:rsid w:val="00D67BDC"/>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56"/>
    <w:rsid w:val="00DF0DF2"/>
    <w:rsid w:val="00DF22AE"/>
    <w:rsid w:val="00E04147"/>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2EE9"/>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1FC7"/>
    <w:rsid w:val="00EF3D25"/>
    <w:rsid w:val="00EF6BF3"/>
    <w:rsid w:val="00F03806"/>
    <w:rsid w:val="00F0393C"/>
    <w:rsid w:val="00F30F87"/>
    <w:rsid w:val="00F32AC2"/>
    <w:rsid w:val="00F41AE4"/>
    <w:rsid w:val="00F41E35"/>
    <w:rsid w:val="00F44372"/>
    <w:rsid w:val="00F47240"/>
    <w:rsid w:val="00F47F7C"/>
    <w:rsid w:val="00F51977"/>
    <w:rsid w:val="00F53340"/>
    <w:rsid w:val="00F608A8"/>
    <w:rsid w:val="00F62FD1"/>
    <w:rsid w:val="00F634B5"/>
    <w:rsid w:val="00F676DC"/>
    <w:rsid w:val="00F7201C"/>
    <w:rsid w:val="00F731B4"/>
    <w:rsid w:val="00F74D34"/>
    <w:rsid w:val="00F750C8"/>
    <w:rsid w:val="00F802B5"/>
    <w:rsid w:val="00F84748"/>
    <w:rsid w:val="00F84F5E"/>
    <w:rsid w:val="00F8500C"/>
    <w:rsid w:val="00F92CFF"/>
    <w:rsid w:val="00FA4356"/>
    <w:rsid w:val="00FB0997"/>
    <w:rsid w:val="00FB3AFE"/>
    <w:rsid w:val="00FC553B"/>
    <w:rsid w:val="00FC667A"/>
    <w:rsid w:val="00FD0D47"/>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 w:type="paragraph" w:styleId="Revision">
    <w:name w:val="Revision"/>
    <w:hidden/>
    <w:uiPriority w:val="99"/>
    <w:semiHidden/>
    <w:rsid w:val="00905D1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ma.gov.au" TargetMode="Externa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5189</Words>
  <Characters>31814</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2020-06-24T08:50:00Z</dcterms:created>
  <dcterms:modified xsi:type="dcterms:W3CDTF">2020-07-09T00:36:00Z</dcterms:modified>
</cp:coreProperties>
</file>