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0631FCFF" w:rsidR="00191676" w:rsidRPr="00FE0453" w:rsidRDefault="00744EEC">
      <w:pPr>
        <w:tabs>
          <w:tab w:val="left" w:pos="2410"/>
          <w:tab w:val="left" w:pos="7655"/>
        </w:tabs>
        <w:jc w:val="center"/>
        <w:rPr>
          <w:b/>
        </w:rPr>
      </w:pPr>
      <w:r w:rsidRPr="00FE0453">
        <w:rPr>
          <w:b/>
        </w:rPr>
        <w:t xml:space="preserve">INSTRUMENT NOS. </w:t>
      </w:r>
      <w:r w:rsidR="00F050C0">
        <w:rPr>
          <w:b/>
        </w:rPr>
        <w:t>77</w:t>
      </w:r>
      <w:r w:rsidR="007E3905">
        <w:rPr>
          <w:b/>
        </w:rPr>
        <w:t xml:space="preserve"> to </w:t>
      </w:r>
      <w:r w:rsidR="00F050C0">
        <w:rPr>
          <w:b/>
        </w:rPr>
        <w:t>84</w:t>
      </w:r>
      <w:r w:rsidRPr="00FE0453">
        <w:rPr>
          <w:b/>
        </w:rPr>
        <w:t xml:space="preserve"> </w:t>
      </w:r>
      <w:r w:rsidR="00CD65BE">
        <w:rPr>
          <w:b/>
        </w:rPr>
        <w:t>of</w:t>
      </w:r>
      <w:r w:rsidRPr="00FE0453">
        <w:rPr>
          <w:b/>
        </w:rPr>
        <w:t xml:space="preserve"> 20</w:t>
      </w:r>
      <w:r w:rsidR="000F6397">
        <w:rPr>
          <w:b/>
        </w:rPr>
        <w:t>21</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3FD599E0" w:rsidR="00D63954" w:rsidRDefault="002E0408" w:rsidP="00B803B0">
      <w:pPr>
        <w:tabs>
          <w:tab w:val="left" w:pos="2410"/>
          <w:tab w:val="left" w:pos="7655"/>
        </w:tabs>
        <w:jc w:val="both"/>
      </w:pPr>
      <w:r w:rsidRPr="00FE0453">
        <w:t xml:space="preserve">Statements of Principles Nos. </w:t>
      </w:r>
      <w:r w:rsidR="00F050C0">
        <w:t>77</w:t>
      </w:r>
      <w:r w:rsidR="00F74D34" w:rsidRPr="00FE0453">
        <w:t xml:space="preserve"> </w:t>
      </w:r>
      <w:r w:rsidR="00F050C0">
        <w:t>to 84</w:t>
      </w:r>
      <w:r w:rsidRPr="00FE0453">
        <w:t xml:space="preserve"> of 20</w:t>
      </w:r>
      <w:r w:rsidR="007E3905">
        <w:t>2</w:t>
      </w:r>
      <w:r w:rsidR="000F6397">
        <w:t>1</w:t>
      </w:r>
      <w:r w:rsidR="007E3905">
        <w:t xml:space="preserve"> </w:t>
      </w:r>
      <w:r w:rsidRPr="00FE0453">
        <w:t xml:space="preserve">were signed by the Chairperson of the Repatriation Medical Authority (the Authority) on </w:t>
      </w:r>
      <w:r w:rsidR="00F050C0">
        <w:t>25 June</w:t>
      </w:r>
      <w:r w:rsidR="00910007">
        <w:t xml:space="preserve"> 2021</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F050C0">
        <w:t>26 July</w:t>
      </w:r>
      <w:r w:rsidR="000F6397">
        <w:t xml:space="preserve"> 2021</w:t>
      </w:r>
      <w:r w:rsidR="00EE0153" w:rsidRPr="004C50BC">
        <w:t>.</w:t>
      </w:r>
      <w:r w:rsidR="00D63954">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9"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77777777"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14:paraId="7B7B6F3A" w14:textId="77777777" w:rsidR="002E0408" w:rsidRDefault="002E0408" w:rsidP="00B803B0">
      <w:pPr>
        <w:tabs>
          <w:tab w:val="left" w:pos="2410"/>
          <w:tab w:val="left" w:pos="7655"/>
        </w:tabs>
        <w:jc w:val="both"/>
        <w:rPr>
          <w:szCs w:val="24"/>
        </w:rPr>
      </w:pPr>
    </w:p>
    <w:p w14:paraId="49670E9D" w14:textId="77777777"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10"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7A95D8B8" w:rsidR="00191676" w:rsidRPr="0080326C" w:rsidRDefault="005C48E6" w:rsidP="004669F2">
      <w:pPr>
        <w:tabs>
          <w:tab w:val="left" w:pos="2410"/>
          <w:tab w:val="left" w:pos="7655"/>
        </w:tabs>
        <w:rPr>
          <w:sz w:val="16"/>
        </w:rPr>
      </w:pPr>
      <w:r>
        <w:t>7 July</w:t>
      </w:r>
      <w:r w:rsidR="000F6397">
        <w:t xml:space="preserve"> 2021</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14:paraId="1C73637F" w14:textId="77777777"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D731BF" w:rsidRPr="00A73805" w14:paraId="379FCF6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669B2B3" w14:textId="77777777" w:rsidR="00D731BF" w:rsidRDefault="00D731BF"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2FF96926" w14:textId="77777777" w:rsidR="00D731BF" w:rsidRPr="005D728B" w:rsidRDefault="00D731BF" w:rsidP="00870747"/>
        </w:tc>
        <w:tc>
          <w:tcPr>
            <w:tcW w:w="1984" w:type="dxa"/>
            <w:tcBorders>
              <w:top w:val="single" w:sz="6" w:space="0" w:color="auto"/>
              <w:left w:val="single" w:sz="6" w:space="0" w:color="auto"/>
              <w:bottom w:val="single" w:sz="6" w:space="0" w:color="auto"/>
              <w:right w:val="single" w:sz="6" w:space="0" w:color="auto"/>
            </w:tcBorders>
          </w:tcPr>
          <w:p w14:paraId="0E43B4C5" w14:textId="77777777" w:rsidR="00D731BF" w:rsidRDefault="00D731BF"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567A9480" w14:textId="77777777" w:rsidR="00D731BF" w:rsidRDefault="00D731BF" w:rsidP="00BB7B5C">
            <w:pPr>
              <w:rPr>
                <w:szCs w:val="24"/>
              </w:rPr>
            </w:pPr>
          </w:p>
        </w:tc>
      </w:tr>
      <w:tr w:rsidR="00D731BF" w:rsidRPr="00A73805" w14:paraId="7A96A280"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D294B63" w14:textId="77BD3BEB" w:rsidR="00D731BF" w:rsidRDefault="005B6C06" w:rsidP="00252D35">
            <w:pPr>
              <w:rPr>
                <w:szCs w:val="24"/>
              </w:rPr>
            </w:pPr>
            <w:r>
              <w:rPr>
                <w:szCs w:val="24"/>
              </w:rPr>
              <w:t>77</w:t>
            </w:r>
            <w:r w:rsidR="00D731BF">
              <w:rPr>
                <w:szCs w:val="24"/>
              </w:rPr>
              <w:t xml:space="preserve"> &amp; </w:t>
            </w:r>
            <w:r>
              <w:rPr>
                <w:szCs w:val="24"/>
              </w:rPr>
              <w:t>78</w:t>
            </w:r>
            <w:r w:rsidR="00D731BF">
              <w:rPr>
                <w:szCs w:val="24"/>
              </w:rPr>
              <w:t>/2021</w:t>
            </w:r>
          </w:p>
        </w:tc>
        <w:tc>
          <w:tcPr>
            <w:tcW w:w="2835" w:type="dxa"/>
            <w:tcBorders>
              <w:top w:val="single" w:sz="6" w:space="0" w:color="auto"/>
              <w:left w:val="single" w:sz="6" w:space="0" w:color="auto"/>
              <w:bottom w:val="single" w:sz="6" w:space="0" w:color="auto"/>
              <w:right w:val="single" w:sz="6" w:space="0" w:color="auto"/>
            </w:tcBorders>
          </w:tcPr>
          <w:p w14:paraId="343E1F35" w14:textId="5226C2CB" w:rsidR="00D731BF" w:rsidRPr="005D728B" w:rsidRDefault="005B6C06" w:rsidP="00870747">
            <w:r>
              <w:t>familial adenomatous polyposis</w:t>
            </w:r>
          </w:p>
        </w:tc>
        <w:tc>
          <w:tcPr>
            <w:tcW w:w="1984" w:type="dxa"/>
            <w:tcBorders>
              <w:top w:val="single" w:sz="6" w:space="0" w:color="auto"/>
              <w:left w:val="single" w:sz="6" w:space="0" w:color="auto"/>
              <w:bottom w:val="single" w:sz="6" w:space="0" w:color="auto"/>
              <w:right w:val="single" w:sz="6" w:space="0" w:color="auto"/>
            </w:tcBorders>
          </w:tcPr>
          <w:p w14:paraId="4E40130A" w14:textId="40E53B98" w:rsidR="00D731BF" w:rsidRDefault="005B6C06" w:rsidP="005B6C06">
            <w:pPr>
              <w:rPr>
                <w:szCs w:val="24"/>
              </w:rPr>
            </w:pPr>
            <w:r>
              <w:rPr>
                <w:szCs w:val="24"/>
              </w:rPr>
              <w:t>26</w:t>
            </w:r>
            <w:r w:rsidR="00D731BF">
              <w:rPr>
                <w:szCs w:val="24"/>
              </w:rPr>
              <w:t>/0</w:t>
            </w:r>
            <w:r>
              <w:rPr>
                <w:szCs w:val="24"/>
              </w:rPr>
              <w:t>7</w:t>
            </w:r>
            <w:r w:rsidR="00D731BF">
              <w:rPr>
                <w:szCs w:val="24"/>
              </w:rPr>
              <w:t>/2021</w:t>
            </w:r>
          </w:p>
        </w:tc>
        <w:tc>
          <w:tcPr>
            <w:tcW w:w="2250" w:type="dxa"/>
            <w:tcBorders>
              <w:top w:val="single" w:sz="6" w:space="0" w:color="auto"/>
              <w:left w:val="single" w:sz="6" w:space="0" w:color="auto"/>
              <w:bottom w:val="single" w:sz="6" w:space="0" w:color="auto"/>
              <w:right w:val="single" w:sz="6" w:space="0" w:color="auto"/>
            </w:tcBorders>
          </w:tcPr>
          <w:p w14:paraId="0B2737DC" w14:textId="6194538B" w:rsidR="00D731BF" w:rsidRDefault="005B6C06" w:rsidP="00BB7B5C">
            <w:pPr>
              <w:rPr>
                <w:szCs w:val="24"/>
              </w:rPr>
            </w:pPr>
            <w:r>
              <w:rPr>
                <w:szCs w:val="24"/>
              </w:rPr>
              <w:t>Nil</w:t>
            </w:r>
          </w:p>
        </w:tc>
      </w:tr>
      <w:tr w:rsidR="00882ABA" w:rsidRPr="00A73805" w14:paraId="57E08C2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F89FA06" w14:textId="77777777"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3B49680F" w14:textId="77777777"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Default="00882ABA" w:rsidP="00BB7B5C">
            <w:pPr>
              <w:rPr>
                <w:szCs w:val="24"/>
              </w:rPr>
            </w:pPr>
          </w:p>
        </w:tc>
      </w:tr>
      <w:tr w:rsidR="00B87480" w:rsidRPr="00A73805" w14:paraId="5E0D02A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C6D6924" w14:textId="072E4241" w:rsidR="00B87480" w:rsidRPr="00A73805" w:rsidRDefault="005B6C06" w:rsidP="00252D35">
            <w:pPr>
              <w:rPr>
                <w:szCs w:val="24"/>
              </w:rPr>
            </w:pPr>
            <w:r>
              <w:rPr>
                <w:szCs w:val="24"/>
              </w:rPr>
              <w:t>79</w:t>
            </w:r>
            <w:r w:rsidR="00B87480">
              <w:rPr>
                <w:szCs w:val="24"/>
              </w:rPr>
              <w:t xml:space="preserve"> &amp; </w:t>
            </w:r>
            <w:r>
              <w:rPr>
                <w:szCs w:val="24"/>
              </w:rPr>
              <w:t>80</w:t>
            </w:r>
            <w:r w:rsidR="00B87480">
              <w:rPr>
                <w:szCs w:val="24"/>
              </w:rPr>
              <w:t>/202</w:t>
            </w:r>
            <w:r w:rsidR="000F6397">
              <w:rPr>
                <w:szCs w:val="24"/>
              </w:rPr>
              <w:t>1</w:t>
            </w:r>
          </w:p>
        </w:tc>
        <w:tc>
          <w:tcPr>
            <w:tcW w:w="2835" w:type="dxa"/>
            <w:tcBorders>
              <w:top w:val="single" w:sz="6" w:space="0" w:color="auto"/>
              <w:left w:val="single" w:sz="6" w:space="0" w:color="auto"/>
              <w:bottom w:val="single" w:sz="6" w:space="0" w:color="auto"/>
              <w:right w:val="single" w:sz="6" w:space="0" w:color="auto"/>
            </w:tcBorders>
          </w:tcPr>
          <w:p w14:paraId="6C677406" w14:textId="2E65155D" w:rsidR="00B87480" w:rsidRPr="000419B9" w:rsidRDefault="005B6C06" w:rsidP="00B87480">
            <w:r>
              <w:t>solar keratosis</w:t>
            </w:r>
          </w:p>
        </w:tc>
        <w:tc>
          <w:tcPr>
            <w:tcW w:w="1984" w:type="dxa"/>
            <w:tcBorders>
              <w:top w:val="single" w:sz="6" w:space="0" w:color="auto"/>
              <w:left w:val="single" w:sz="6" w:space="0" w:color="auto"/>
              <w:bottom w:val="single" w:sz="6" w:space="0" w:color="auto"/>
              <w:right w:val="single" w:sz="6" w:space="0" w:color="auto"/>
            </w:tcBorders>
          </w:tcPr>
          <w:p w14:paraId="57DB043D" w14:textId="2F559358" w:rsidR="00B87480" w:rsidRPr="00A73805" w:rsidRDefault="00A376D2" w:rsidP="005B6C06">
            <w:pPr>
              <w:rPr>
                <w:szCs w:val="24"/>
              </w:rPr>
            </w:pPr>
            <w:r>
              <w:rPr>
                <w:szCs w:val="24"/>
              </w:rPr>
              <w:t>2</w:t>
            </w:r>
            <w:r w:rsidR="005B6C06">
              <w:rPr>
                <w:szCs w:val="24"/>
              </w:rPr>
              <w:t>6</w:t>
            </w:r>
            <w:r>
              <w:rPr>
                <w:szCs w:val="24"/>
              </w:rPr>
              <w:t>/0</w:t>
            </w:r>
            <w:r w:rsidR="005B6C06">
              <w:rPr>
                <w:szCs w:val="24"/>
              </w:rPr>
              <w:t>7</w:t>
            </w:r>
            <w:r>
              <w:rPr>
                <w:szCs w:val="24"/>
              </w:rPr>
              <w:t>/2021</w:t>
            </w:r>
          </w:p>
        </w:tc>
        <w:tc>
          <w:tcPr>
            <w:tcW w:w="2250" w:type="dxa"/>
            <w:tcBorders>
              <w:top w:val="single" w:sz="6" w:space="0" w:color="auto"/>
              <w:left w:val="single" w:sz="6" w:space="0" w:color="auto"/>
              <w:bottom w:val="single" w:sz="6" w:space="0" w:color="auto"/>
              <w:right w:val="single" w:sz="6" w:space="0" w:color="auto"/>
            </w:tcBorders>
          </w:tcPr>
          <w:p w14:paraId="083E6DF5" w14:textId="21E266CE" w:rsidR="00B87480" w:rsidRPr="00A73805" w:rsidRDefault="005B6C06" w:rsidP="00B87480">
            <w:pPr>
              <w:jc w:val="both"/>
              <w:rPr>
                <w:szCs w:val="24"/>
              </w:rPr>
            </w:pPr>
            <w:r>
              <w:rPr>
                <w:szCs w:val="24"/>
              </w:rPr>
              <w:t>L57.0</w:t>
            </w:r>
          </w:p>
        </w:tc>
      </w:tr>
      <w:tr w:rsidR="00B87480" w:rsidRPr="00A73805" w14:paraId="7A2BA1E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42BB8C7"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C5C8AA7"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553FF2C5"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151620F" w14:textId="77777777" w:rsidR="00B87480" w:rsidRPr="00BB7B5C" w:rsidRDefault="00B87480" w:rsidP="00B87480"/>
        </w:tc>
      </w:tr>
      <w:tr w:rsidR="00A376D2" w:rsidRPr="00A73805" w14:paraId="67EC6502" w14:textId="77777777" w:rsidTr="00A0606E">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1C977C" w14:textId="328C1D00" w:rsidR="00A376D2" w:rsidRPr="00A73805" w:rsidRDefault="00A376D2" w:rsidP="00A0606E">
            <w:pPr>
              <w:rPr>
                <w:b/>
              </w:rPr>
            </w:pPr>
            <w:r>
              <w:rPr>
                <w:b/>
              </w:rPr>
              <w:t>AMENDMENTS</w:t>
            </w:r>
          </w:p>
        </w:tc>
      </w:tr>
      <w:tr w:rsidR="00A376D2" w:rsidRPr="00A73805" w14:paraId="438A162E"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72EBEC51" w14:textId="77777777" w:rsidR="00A376D2" w:rsidRDefault="00A376D2" w:rsidP="00A0606E">
            <w:pPr>
              <w:rPr>
                <w:szCs w:val="24"/>
              </w:rPr>
            </w:pPr>
          </w:p>
        </w:tc>
        <w:tc>
          <w:tcPr>
            <w:tcW w:w="2835" w:type="dxa"/>
            <w:tcBorders>
              <w:top w:val="single" w:sz="6" w:space="0" w:color="auto"/>
              <w:left w:val="single" w:sz="6" w:space="0" w:color="auto"/>
              <w:bottom w:val="single" w:sz="6" w:space="0" w:color="auto"/>
              <w:right w:val="single" w:sz="6" w:space="0" w:color="auto"/>
            </w:tcBorders>
          </w:tcPr>
          <w:p w14:paraId="5FD5E386" w14:textId="77777777" w:rsidR="00A376D2" w:rsidRPr="005D728B" w:rsidRDefault="00A376D2" w:rsidP="00A0606E"/>
        </w:tc>
        <w:tc>
          <w:tcPr>
            <w:tcW w:w="1984" w:type="dxa"/>
            <w:tcBorders>
              <w:top w:val="single" w:sz="6" w:space="0" w:color="auto"/>
              <w:left w:val="single" w:sz="6" w:space="0" w:color="auto"/>
              <w:bottom w:val="single" w:sz="6" w:space="0" w:color="auto"/>
              <w:right w:val="single" w:sz="6" w:space="0" w:color="auto"/>
            </w:tcBorders>
          </w:tcPr>
          <w:p w14:paraId="2B866E83" w14:textId="77777777" w:rsidR="00A376D2" w:rsidRDefault="00A376D2" w:rsidP="00A0606E">
            <w:pPr>
              <w:rPr>
                <w:szCs w:val="24"/>
              </w:rPr>
            </w:pPr>
          </w:p>
        </w:tc>
        <w:tc>
          <w:tcPr>
            <w:tcW w:w="2250" w:type="dxa"/>
            <w:tcBorders>
              <w:top w:val="single" w:sz="6" w:space="0" w:color="auto"/>
              <w:left w:val="single" w:sz="6" w:space="0" w:color="auto"/>
              <w:bottom w:val="single" w:sz="6" w:space="0" w:color="auto"/>
              <w:right w:val="single" w:sz="6" w:space="0" w:color="auto"/>
            </w:tcBorders>
          </w:tcPr>
          <w:p w14:paraId="5F4A6178" w14:textId="77777777" w:rsidR="00A376D2" w:rsidRDefault="00A376D2" w:rsidP="00A0606E">
            <w:pPr>
              <w:rPr>
                <w:szCs w:val="24"/>
              </w:rPr>
            </w:pPr>
          </w:p>
        </w:tc>
      </w:tr>
      <w:tr w:rsidR="00A376D2" w:rsidRPr="00A73805" w14:paraId="24239B17"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2381B788" w14:textId="532E92B2" w:rsidR="00A376D2" w:rsidRPr="00A73805" w:rsidRDefault="005B6C06" w:rsidP="007443AC">
            <w:pPr>
              <w:rPr>
                <w:szCs w:val="24"/>
              </w:rPr>
            </w:pPr>
            <w:r>
              <w:rPr>
                <w:szCs w:val="24"/>
              </w:rPr>
              <w:t>81</w:t>
            </w:r>
            <w:r w:rsidR="00A376D2">
              <w:rPr>
                <w:szCs w:val="24"/>
              </w:rPr>
              <w:t xml:space="preserve"> &amp; </w:t>
            </w:r>
            <w:r>
              <w:rPr>
                <w:szCs w:val="24"/>
              </w:rPr>
              <w:t>82</w:t>
            </w:r>
            <w:r w:rsidR="00A376D2">
              <w:rPr>
                <w:szCs w:val="24"/>
              </w:rPr>
              <w:t>/2021</w:t>
            </w:r>
          </w:p>
        </w:tc>
        <w:tc>
          <w:tcPr>
            <w:tcW w:w="2835" w:type="dxa"/>
            <w:tcBorders>
              <w:top w:val="single" w:sz="6" w:space="0" w:color="auto"/>
              <w:left w:val="single" w:sz="6" w:space="0" w:color="auto"/>
              <w:bottom w:val="single" w:sz="6" w:space="0" w:color="auto"/>
              <w:right w:val="single" w:sz="6" w:space="0" w:color="auto"/>
            </w:tcBorders>
          </w:tcPr>
          <w:p w14:paraId="426AA78F" w14:textId="3A5E9509" w:rsidR="00A376D2" w:rsidRPr="000419B9" w:rsidRDefault="005B6C06" w:rsidP="00A0606E">
            <w:r>
              <w:t>hypopituitarism</w:t>
            </w:r>
          </w:p>
        </w:tc>
        <w:tc>
          <w:tcPr>
            <w:tcW w:w="1984" w:type="dxa"/>
            <w:tcBorders>
              <w:top w:val="single" w:sz="6" w:space="0" w:color="auto"/>
              <w:left w:val="single" w:sz="6" w:space="0" w:color="auto"/>
              <w:bottom w:val="single" w:sz="6" w:space="0" w:color="auto"/>
              <w:right w:val="single" w:sz="6" w:space="0" w:color="auto"/>
            </w:tcBorders>
          </w:tcPr>
          <w:p w14:paraId="10AAF9E9" w14:textId="083EEBFF" w:rsidR="00A376D2" w:rsidRPr="00A73805" w:rsidRDefault="005B6C06" w:rsidP="00A0606E">
            <w:pPr>
              <w:rPr>
                <w:szCs w:val="24"/>
              </w:rPr>
            </w:pPr>
            <w:r>
              <w:rPr>
                <w:szCs w:val="24"/>
              </w:rPr>
              <w:t>26/07/2021</w:t>
            </w:r>
          </w:p>
        </w:tc>
        <w:tc>
          <w:tcPr>
            <w:tcW w:w="2250" w:type="dxa"/>
            <w:tcBorders>
              <w:top w:val="single" w:sz="6" w:space="0" w:color="auto"/>
              <w:left w:val="single" w:sz="6" w:space="0" w:color="auto"/>
              <w:bottom w:val="single" w:sz="6" w:space="0" w:color="auto"/>
              <w:right w:val="single" w:sz="6" w:space="0" w:color="auto"/>
            </w:tcBorders>
          </w:tcPr>
          <w:p w14:paraId="0A4214C6" w14:textId="37A6BF25" w:rsidR="00A376D2" w:rsidRPr="00A73805" w:rsidRDefault="00B66441" w:rsidP="00154EC4">
            <w:pPr>
              <w:rPr>
                <w:szCs w:val="24"/>
              </w:rPr>
            </w:pPr>
            <w:r>
              <w:rPr>
                <w:szCs w:val="24"/>
              </w:rPr>
              <w:t>E23.0</w:t>
            </w:r>
          </w:p>
        </w:tc>
      </w:tr>
      <w:tr w:rsidR="004C38CB" w:rsidRPr="00A73805" w14:paraId="799E461C"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698E9EC2" w14:textId="77777777" w:rsidR="004C38CB" w:rsidRDefault="004C38CB" w:rsidP="007443AC">
            <w:pPr>
              <w:rPr>
                <w:szCs w:val="24"/>
              </w:rPr>
            </w:pPr>
          </w:p>
        </w:tc>
        <w:tc>
          <w:tcPr>
            <w:tcW w:w="2835" w:type="dxa"/>
            <w:tcBorders>
              <w:top w:val="single" w:sz="6" w:space="0" w:color="auto"/>
              <w:left w:val="single" w:sz="6" w:space="0" w:color="auto"/>
              <w:bottom w:val="single" w:sz="6" w:space="0" w:color="auto"/>
              <w:right w:val="single" w:sz="6" w:space="0" w:color="auto"/>
            </w:tcBorders>
          </w:tcPr>
          <w:p w14:paraId="1F6D60B4" w14:textId="77777777" w:rsidR="004C38CB" w:rsidRDefault="004C38CB" w:rsidP="00A0606E"/>
        </w:tc>
        <w:tc>
          <w:tcPr>
            <w:tcW w:w="1984" w:type="dxa"/>
            <w:tcBorders>
              <w:top w:val="single" w:sz="6" w:space="0" w:color="auto"/>
              <w:left w:val="single" w:sz="6" w:space="0" w:color="auto"/>
              <w:bottom w:val="single" w:sz="6" w:space="0" w:color="auto"/>
              <w:right w:val="single" w:sz="6" w:space="0" w:color="auto"/>
            </w:tcBorders>
          </w:tcPr>
          <w:p w14:paraId="4223A644" w14:textId="77777777" w:rsidR="004C38CB" w:rsidRDefault="004C38CB" w:rsidP="00A0606E">
            <w:pPr>
              <w:rPr>
                <w:szCs w:val="24"/>
              </w:rPr>
            </w:pPr>
          </w:p>
        </w:tc>
        <w:tc>
          <w:tcPr>
            <w:tcW w:w="2250" w:type="dxa"/>
            <w:tcBorders>
              <w:top w:val="single" w:sz="6" w:space="0" w:color="auto"/>
              <w:left w:val="single" w:sz="6" w:space="0" w:color="auto"/>
              <w:bottom w:val="single" w:sz="6" w:space="0" w:color="auto"/>
              <w:right w:val="single" w:sz="6" w:space="0" w:color="auto"/>
            </w:tcBorders>
          </w:tcPr>
          <w:p w14:paraId="6CAE667A" w14:textId="77777777" w:rsidR="004C38CB" w:rsidRDefault="004C38CB" w:rsidP="00154EC4">
            <w:pPr>
              <w:rPr>
                <w:szCs w:val="24"/>
              </w:rPr>
            </w:pPr>
          </w:p>
        </w:tc>
      </w:tr>
      <w:tr w:rsidR="004C38CB" w:rsidRPr="00A73805" w14:paraId="253F64D9"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6B85FA91" w14:textId="101BA9BC" w:rsidR="004C38CB" w:rsidRDefault="0095580C" w:rsidP="007443AC">
            <w:pPr>
              <w:rPr>
                <w:szCs w:val="24"/>
              </w:rPr>
            </w:pPr>
            <w:r>
              <w:rPr>
                <w:szCs w:val="24"/>
              </w:rPr>
              <w:t>83 &amp; 84/2021</w:t>
            </w:r>
          </w:p>
        </w:tc>
        <w:tc>
          <w:tcPr>
            <w:tcW w:w="2835" w:type="dxa"/>
            <w:tcBorders>
              <w:top w:val="single" w:sz="6" w:space="0" w:color="auto"/>
              <w:left w:val="single" w:sz="6" w:space="0" w:color="auto"/>
              <w:bottom w:val="single" w:sz="6" w:space="0" w:color="auto"/>
              <w:right w:val="single" w:sz="6" w:space="0" w:color="auto"/>
            </w:tcBorders>
          </w:tcPr>
          <w:p w14:paraId="0DEA7FEB" w14:textId="619A427F" w:rsidR="004C38CB" w:rsidRDefault="0095580C" w:rsidP="00A0606E">
            <w:r>
              <w:t>diabetes mellitus</w:t>
            </w:r>
          </w:p>
        </w:tc>
        <w:tc>
          <w:tcPr>
            <w:tcW w:w="1984" w:type="dxa"/>
            <w:tcBorders>
              <w:top w:val="single" w:sz="6" w:space="0" w:color="auto"/>
              <w:left w:val="single" w:sz="6" w:space="0" w:color="auto"/>
              <w:bottom w:val="single" w:sz="6" w:space="0" w:color="auto"/>
              <w:right w:val="single" w:sz="6" w:space="0" w:color="auto"/>
            </w:tcBorders>
          </w:tcPr>
          <w:p w14:paraId="783A1BEE" w14:textId="2BD02F45" w:rsidR="004C38CB" w:rsidRDefault="0095580C" w:rsidP="00A0606E">
            <w:pPr>
              <w:rPr>
                <w:szCs w:val="24"/>
              </w:rPr>
            </w:pPr>
            <w:r>
              <w:rPr>
                <w:szCs w:val="24"/>
              </w:rPr>
              <w:t>26/07/2021</w:t>
            </w:r>
          </w:p>
        </w:tc>
        <w:tc>
          <w:tcPr>
            <w:tcW w:w="2250" w:type="dxa"/>
            <w:tcBorders>
              <w:top w:val="single" w:sz="6" w:space="0" w:color="auto"/>
              <w:left w:val="single" w:sz="6" w:space="0" w:color="auto"/>
              <w:bottom w:val="single" w:sz="6" w:space="0" w:color="auto"/>
              <w:right w:val="single" w:sz="6" w:space="0" w:color="auto"/>
            </w:tcBorders>
          </w:tcPr>
          <w:p w14:paraId="684E7730" w14:textId="20E1BA1D" w:rsidR="004C38CB" w:rsidRDefault="0095580C" w:rsidP="00154EC4">
            <w:pPr>
              <w:rPr>
                <w:szCs w:val="24"/>
              </w:rPr>
            </w:pPr>
            <w:r>
              <w:t>E10, E11, E12, E13 or E14</w:t>
            </w:r>
          </w:p>
        </w:tc>
      </w:tr>
      <w:tr w:rsidR="00A376D2" w:rsidRPr="00A73805" w14:paraId="37FF1F5D"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62E0EC95" w14:textId="77777777" w:rsidR="00A376D2" w:rsidRDefault="00A376D2" w:rsidP="00A0606E">
            <w:pPr>
              <w:rPr>
                <w:szCs w:val="24"/>
              </w:rPr>
            </w:pPr>
          </w:p>
        </w:tc>
        <w:tc>
          <w:tcPr>
            <w:tcW w:w="2835" w:type="dxa"/>
            <w:tcBorders>
              <w:top w:val="single" w:sz="6" w:space="0" w:color="auto"/>
              <w:left w:val="single" w:sz="6" w:space="0" w:color="auto"/>
              <w:bottom w:val="single" w:sz="6" w:space="0" w:color="auto"/>
              <w:right w:val="single" w:sz="6" w:space="0" w:color="auto"/>
            </w:tcBorders>
          </w:tcPr>
          <w:p w14:paraId="69E0F08F" w14:textId="77777777" w:rsidR="00A376D2" w:rsidRDefault="00A376D2" w:rsidP="00A0606E"/>
        </w:tc>
        <w:tc>
          <w:tcPr>
            <w:tcW w:w="1984" w:type="dxa"/>
            <w:tcBorders>
              <w:top w:val="single" w:sz="6" w:space="0" w:color="auto"/>
              <w:left w:val="single" w:sz="6" w:space="0" w:color="auto"/>
              <w:bottom w:val="single" w:sz="6" w:space="0" w:color="auto"/>
              <w:right w:val="single" w:sz="6" w:space="0" w:color="auto"/>
            </w:tcBorders>
          </w:tcPr>
          <w:p w14:paraId="75799562" w14:textId="77777777" w:rsidR="00A376D2" w:rsidRDefault="00A376D2" w:rsidP="00A0606E">
            <w:pPr>
              <w:rPr>
                <w:szCs w:val="24"/>
              </w:rPr>
            </w:pPr>
          </w:p>
        </w:tc>
        <w:tc>
          <w:tcPr>
            <w:tcW w:w="2250" w:type="dxa"/>
            <w:tcBorders>
              <w:top w:val="single" w:sz="6" w:space="0" w:color="auto"/>
              <w:left w:val="single" w:sz="6" w:space="0" w:color="auto"/>
              <w:bottom w:val="single" w:sz="6" w:space="0" w:color="auto"/>
              <w:right w:val="single" w:sz="6" w:space="0" w:color="auto"/>
            </w:tcBorders>
          </w:tcPr>
          <w:p w14:paraId="5464BEF8" w14:textId="77777777" w:rsidR="00A376D2" w:rsidRDefault="00A376D2" w:rsidP="00A0606E">
            <w:pPr>
              <w:jc w:val="both"/>
              <w:rPr>
                <w:szCs w:val="24"/>
              </w:rPr>
            </w:pPr>
          </w:p>
        </w:tc>
      </w:tr>
    </w:tbl>
    <w:p w14:paraId="1AF1486A" w14:textId="77777777" w:rsidR="00243AA1" w:rsidRPr="004C087A" w:rsidRDefault="00243AA1" w:rsidP="004C087A">
      <w:pPr>
        <w:jc w:val="both"/>
        <w:rPr>
          <w:sz w:val="22"/>
          <w:szCs w:val="22"/>
        </w:rPr>
      </w:pPr>
    </w:p>
    <w:p w14:paraId="3573BD9C" w14:textId="77777777" w:rsidR="00AE6C37" w:rsidRDefault="00AE6C37">
      <w:pPr>
        <w:rPr>
          <w:szCs w:val="24"/>
        </w:rPr>
      </w:pPr>
      <w:r>
        <w:rPr>
          <w:szCs w:val="24"/>
        </w:rPr>
        <w:br w:type="page"/>
      </w:r>
    </w:p>
    <w:p w14:paraId="343DDEDE" w14:textId="77777777" w:rsidR="0092223C" w:rsidRDefault="0092223C" w:rsidP="0092223C">
      <w:pPr>
        <w:ind w:left="142"/>
        <w:jc w:val="both"/>
        <w:rPr>
          <w:szCs w:val="24"/>
        </w:rPr>
      </w:pPr>
    </w:p>
    <w:tbl>
      <w:tblPr>
        <w:tblW w:w="10774" w:type="dxa"/>
        <w:tblInd w:w="-575" w:type="dxa"/>
        <w:tblLayout w:type="fixed"/>
        <w:tblLook w:val="0000" w:firstRow="0" w:lastRow="0" w:firstColumn="0" w:lastColumn="0" w:noHBand="0" w:noVBand="0"/>
      </w:tblPr>
      <w:tblGrid>
        <w:gridCol w:w="1134"/>
        <w:gridCol w:w="1858"/>
        <w:gridCol w:w="8"/>
        <w:gridCol w:w="7774"/>
      </w:tblGrid>
      <w:tr w:rsidR="00AE6C37" w:rsidRPr="00A73805" w14:paraId="24134083" w14:textId="77777777" w:rsidTr="002925E7">
        <w:trPr>
          <w:tblHeader/>
        </w:trPr>
        <w:tc>
          <w:tcPr>
            <w:tcW w:w="10774" w:type="dxa"/>
            <w:gridSpan w:val="4"/>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B1B5D">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C2888" w:rsidRPr="00A92676" w14:paraId="02E6324A" w14:textId="77777777" w:rsidTr="002925E7">
        <w:tc>
          <w:tcPr>
            <w:tcW w:w="1134" w:type="dxa"/>
            <w:tcBorders>
              <w:top w:val="single" w:sz="6" w:space="0" w:color="auto"/>
              <w:left w:val="single" w:sz="6" w:space="0" w:color="auto"/>
              <w:bottom w:val="single" w:sz="6" w:space="0" w:color="auto"/>
              <w:right w:val="single" w:sz="6" w:space="0" w:color="auto"/>
            </w:tcBorders>
          </w:tcPr>
          <w:p w14:paraId="4E7CDF39" w14:textId="276EA242" w:rsidR="00AC2888" w:rsidRDefault="00B8651E" w:rsidP="00B8651E">
            <w:pPr>
              <w:rPr>
                <w:sz w:val="20"/>
              </w:rPr>
            </w:pPr>
            <w:r>
              <w:rPr>
                <w:sz w:val="20"/>
              </w:rPr>
              <w:t>77</w:t>
            </w:r>
            <w:r w:rsidR="00AC2888">
              <w:rPr>
                <w:sz w:val="20"/>
              </w:rPr>
              <w:t xml:space="preserve"> &amp; </w:t>
            </w:r>
            <w:r>
              <w:rPr>
                <w:sz w:val="20"/>
              </w:rPr>
              <w:t>78</w:t>
            </w:r>
            <w:r w:rsidR="00AC2888">
              <w:rPr>
                <w:sz w:val="20"/>
              </w:rPr>
              <w:t>/2021</w:t>
            </w:r>
          </w:p>
        </w:tc>
        <w:tc>
          <w:tcPr>
            <w:tcW w:w="1858" w:type="dxa"/>
            <w:tcBorders>
              <w:top w:val="single" w:sz="2" w:space="0" w:color="auto"/>
              <w:left w:val="single" w:sz="6" w:space="0" w:color="auto"/>
              <w:bottom w:val="single" w:sz="6" w:space="0" w:color="auto"/>
              <w:right w:val="single" w:sz="6" w:space="0" w:color="auto"/>
            </w:tcBorders>
          </w:tcPr>
          <w:p w14:paraId="278C6E11" w14:textId="493D8353" w:rsidR="00AC2888" w:rsidRDefault="00B8651E" w:rsidP="00B34550">
            <w:pPr>
              <w:rPr>
                <w:sz w:val="20"/>
              </w:rPr>
            </w:pPr>
            <w:r>
              <w:rPr>
                <w:sz w:val="20"/>
              </w:rPr>
              <w:t xml:space="preserve">familial </w:t>
            </w:r>
            <w:r w:rsidR="003C1413">
              <w:rPr>
                <w:sz w:val="20"/>
              </w:rPr>
              <w:t>adenomatous polyposis</w:t>
            </w:r>
          </w:p>
        </w:tc>
        <w:tc>
          <w:tcPr>
            <w:tcW w:w="7782" w:type="dxa"/>
            <w:gridSpan w:val="2"/>
            <w:tcBorders>
              <w:top w:val="single" w:sz="6" w:space="0" w:color="auto"/>
              <w:left w:val="single" w:sz="6" w:space="0" w:color="auto"/>
              <w:bottom w:val="single" w:sz="6" w:space="0" w:color="auto"/>
              <w:right w:val="single" w:sz="6" w:space="0" w:color="auto"/>
            </w:tcBorders>
          </w:tcPr>
          <w:p w14:paraId="5D901DBD" w14:textId="5AE1D63F" w:rsidR="00AC2888" w:rsidRDefault="00AC2888" w:rsidP="001B1B5D">
            <w:pPr>
              <w:pStyle w:val="BodyText"/>
              <w:tabs>
                <w:tab w:val="left" w:pos="6753"/>
              </w:tabs>
              <w:spacing w:after="60"/>
              <w:ind w:right="33"/>
              <w:jc w:val="both"/>
            </w:pPr>
            <w:r>
              <w:t xml:space="preserve">These Instruments result </w:t>
            </w:r>
            <w:r w:rsidR="00CD5505" w:rsidRPr="00CD5505">
              <w:t xml:space="preserve">from an investigation notified by the Authority in the Government Notices Gazette of 5 January 2021 concerning </w:t>
            </w:r>
            <w:r w:rsidR="00CD5505" w:rsidRPr="00CD5505">
              <w:rPr>
                <w:i/>
              </w:rPr>
              <w:t>familial adenomatous polyposis</w:t>
            </w:r>
            <w:r w:rsidR="00CD5505" w:rsidRPr="00CD5505">
              <w:t xml:space="preserve"> in accordance with section 196G of the VEA.  The investigation involved an examination of the sound medical-scientific evidence now available to the Authority, including the sound medical-scientific evidence it has previously considered.</w:t>
            </w:r>
          </w:p>
          <w:p w14:paraId="30F85FBE" w14:textId="77777777" w:rsidR="00AC2888" w:rsidRPr="001B31C5" w:rsidRDefault="00AC2888" w:rsidP="00AC2888">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5321704E" w14:textId="2615DC2C" w:rsidR="00AC2888" w:rsidRDefault="00AC2888" w:rsidP="00611829">
            <w:pPr>
              <w:pStyle w:val="BodyText"/>
              <w:tabs>
                <w:tab w:val="left" w:pos="6753"/>
              </w:tabs>
              <w:spacing w:after="60"/>
              <w:ind w:right="33"/>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CD5505">
              <w:rPr>
                <w:b/>
                <w:i/>
              </w:rPr>
              <w:t>77</w:t>
            </w:r>
            <w:r w:rsidRPr="001B31C5">
              <w:rPr>
                <w:b/>
                <w:i/>
              </w:rPr>
              <w:t>/20</w:t>
            </w:r>
            <w:r>
              <w:rPr>
                <w:b/>
                <w:i/>
              </w:rPr>
              <w:t>21</w:t>
            </w:r>
            <w:r w:rsidRPr="001B31C5">
              <w:rPr>
                <w:b/>
                <w:i/>
              </w:rPr>
              <w:t>)</w:t>
            </w:r>
          </w:p>
          <w:p w14:paraId="2944C134" w14:textId="77777777" w:rsidR="00CD5505" w:rsidRPr="00CD5505" w:rsidRDefault="00CD5505" w:rsidP="00CD5505">
            <w:pPr>
              <w:numPr>
                <w:ilvl w:val="0"/>
                <w:numId w:val="1"/>
              </w:numPr>
              <w:tabs>
                <w:tab w:val="clear" w:pos="720"/>
                <w:tab w:val="num" w:pos="308"/>
              </w:tabs>
              <w:ind w:left="308" w:hanging="308"/>
              <w:jc w:val="both"/>
              <w:rPr>
                <w:sz w:val="20"/>
                <w:lang w:val="en-GB"/>
              </w:rPr>
            </w:pPr>
            <w:r w:rsidRPr="00CD5505">
              <w:rPr>
                <w:sz w:val="20"/>
                <w:lang w:val="en-GB"/>
              </w:rPr>
              <w:t>adopting the latest revised Instrument format, which commenced in 2015;</w:t>
            </w:r>
          </w:p>
          <w:p w14:paraId="4DB4C33A" w14:textId="77777777" w:rsidR="00CD5505" w:rsidRPr="00CD5505" w:rsidRDefault="00CD5505" w:rsidP="00CD5505">
            <w:pPr>
              <w:numPr>
                <w:ilvl w:val="0"/>
                <w:numId w:val="1"/>
              </w:numPr>
              <w:tabs>
                <w:tab w:val="clear" w:pos="720"/>
                <w:tab w:val="num" w:pos="308"/>
              </w:tabs>
              <w:ind w:left="308" w:hanging="308"/>
              <w:jc w:val="both"/>
              <w:rPr>
                <w:sz w:val="20"/>
                <w:lang w:val="en-GB"/>
              </w:rPr>
            </w:pPr>
            <w:r w:rsidRPr="00CD5505">
              <w:rPr>
                <w:sz w:val="20"/>
                <w:lang w:val="en-GB"/>
              </w:rPr>
              <w:t>specifying a day of commencement for the Instrument in section 2;</w:t>
            </w:r>
          </w:p>
          <w:p w14:paraId="2AB27205" w14:textId="77777777" w:rsidR="00CD5505" w:rsidRPr="00CD5505" w:rsidRDefault="00CD5505" w:rsidP="00CD5505">
            <w:pPr>
              <w:numPr>
                <w:ilvl w:val="0"/>
                <w:numId w:val="1"/>
              </w:numPr>
              <w:tabs>
                <w:tab w:val="clear" w:pos="720"/>
                <w:tab w:val="num" w:pos="308"/>
              </w:tabs>
              <w:ind w:left="308" w:hanging="308"/>
              <w:jc w:val="both"/>
              <w:rPr>
                <w:sz w:val="20"/>
                <w:lang w:val="en-GB"/>
              </w:rPr>
            </w:pPr>
            <w:r w:rsidRPr="00CD5505">
              <w:rPr>
                <w:sz w:val="20"/>
                <w:lang w:val="en-GB"/>
              </w:rPr>
              <w:t>new definitions of 'MRCA' and 'VEA' in Schedule 1 - Dictionary; and</w:t>
            </w:r>
          </w:p>
          <w:p w14:paraId="349FB56E" w14:textId="1ACCFD84" w:rsidR="00611829" w:rsidRDefault="00CD5505" w:rsidP="00CD5505">
            <w:pPr>
              <w:numPr>
                <w:ilvl w:val="0"/>
                <w:numId w:val="1"/>
              </w:numPr>
              <w:tabs>
                <w:tab w:val="clear" w:pos="720"/>
                <w:tab w:val="num" w:pos="308"/>
              </w:tabs>
              <w:ind w:left="308" w:hanging="308"/>
              <w:jc w:val="both"/>
            </w:pPr>
            <w:proofErr w:type="gramStart"/>
            <w:r w:rsidRPr="00CD5505">
              <w:rPr>
                <w:sz w:val="20"/>
                <w:lang w:val="en-GB"/>
              </w:rPr>
              <w:t>revising</w:t>
            </w:r>
            <w:proofErr w:type="gramEnd"/>
            <w:r w:rsidRPr="00CD5505">
              <w:rPr>
                <w:sz w:val="20"/>
                <w:lang w:val="en-GB"/>
              </w:rPr>
              <w:t xml:space="preserve"> the definition of 'relevant service' in Schedule 1 - Dictionary.</w:t>
            </w:r>
          </w:p>
          <w:p w14:paraId="7DE8D515" w14:textId="625697A4" w:rsidR="00611829" w:rsidRDefault="00611829" w:rsidP="00611829">
            <w:pPr>
              <w:pStyle w:val="BodyText"/>
              <w:spacing w:before="60" w:after="60"/>
              <w:ind w:right="272"/>
              <w:jc w:val="both"/>
              <w:rPr>
                <w:b/>
                <w:i/>
              </w:rPr>
            </w:pPr>
            <w:r w:rsidRPr="00611829">
              <w:rPr>
                <w:b/>
                <w:i/>
              </w:rPr>
              <w:t xml:space="preserve">For </w:t>
            </w:r>
            <w:proofErr w:type="spellStart"/>
            <w:r w:rsidRPr="00611829">
              <w:rPr>
                <w:b/>
                <w:i/>
              </w:rPr>
              <w:t>BoP</w:t>
            </w:r>
            <w:proofErr w:type="spellEnd"/>
            <w:r w:rsidRPr="00611829">
              <w:rPr>
                <w:b/>
                <w:i/>
              </w:rPr>
              <w:t xml:space="preserve"> </w:t>
            </w:r>
            <w:proofErr w:type="spellStart"/>
            <w:r w:rsidRPr="00611829">
              <w:rPr>
                <w:b/>
                <w:i/>
              </w:rPr>
              <w:t>SoP</w:t>
            </w:r>
            <w:proofErr w:type="spellEnd"/>
            <w:r w:rsidRPr="00611829">
              <w:rPr>
                <w:b/>
                <w:i/>
              </w:rPr>
              <w:t xml:space="preserve"> (Instrument No. </w:t>
            </w:r>
            <w:r w:rsidR="00CD5505">
              <w:rPr>
                <w:b/>
                <w:i/>
              </w:rPr>
              <w:t>78</w:t>
            </w:r>
            <w:r w:rsidRPr="00611829">
              <w:rPr>
                <w:b/>
                <w:i/>
              </w:rPr>
              <w:t>/2021)</w:t>
            </w:r>
          </w:p>
          <w:p w14:paraId="6959552F" w14:textId="77777777" w:rsidR="00CD5505" w:rsidRPr="00CD5505" w:rsidRDefault="00CD5505" w:rsidP="00CD5505">
            <w:pPr>
              <w:numPr>
                <w:ilvl w:val="0"/>
                <w:numId w:val="1"/>
              </w:numPr>
              <w:tabs>
                <w:tab w:val="clear" w:pos="720"/>
                <w:tab w:val="num" w:pos="308"/>
              </w:tabs>
              <w:ind w:left="308" w:hanging="308"/>
              <w:jc w:val="both"/>
              <w:rPr>
                <w:sz w:val="20"/>
                <w:lang w:val="en-GB"/>
              </w:rPr>
            </w:pPr>
            <w:r w:rsidRPr="00CD5505">
              <w:rPr>
                <w:sz w:val="20"/>
                <w:lang w:val="en-GB"/>
              </w:rPr>
              <w:t>adopting the latest revised Instrument format, which commenced in 2015;</w:t>
            </w:r>
          </w:p>
          <w:p w14:paraId="2325DA85" w14:textId="77777777" w:rsidR="00CD5505" w:rsidRPr="00CD5505" w:rsidRDefault="00CD5505" w:rsidP="00CD5505">
            <w:pPr>
              <w:numPr>
                <w:ilvl w:val="0"/>
                <w:numId w:val="1"/>
              </w:numPr>
              <w:tabs>
                <w:tab w:val="clear" w:pos="720"/>
                <w:tab w:val="num" w:pos="308"/>
              </w:tabs>
              <w:ind w:left="308" w:hanging="308"/>
              <w:jc w:val="both"/>
              <w:rPr>
                <w:sz w:val="20"/>
                <w:lang w:val="en-GB"/>
              </w:rPr>
            </w:pPr>
            <w:r w:rsidRPr="00CD5505">
              <w:rPr>
                <w:sz w:val="20"/>
                <w:lang w:val="en-GB"/>
              </w:rPr>
              <w:t>specifying a day of commencement for the Instrument in section 2;</w:t>
            </w:r>
          </w:p>
          <w:p w14:paraId="7E3CF01D" w14:textId="77777777" w:rsidR="00CD5505" w:rsidRPr="00CD5505" w:rsidRDefault="00CD5505" w:rsidP="00CD5505">
            <w:pPr>
              <w:numPr>
                <w:ilvl w:val="0"/>
                <w:numId w:val="1"/>
              </w:numPr>
              <w:tabs>
                <w:tab w:val="clear" w:pos="720"/>
                <w:tab w:val="num" w:pos="308"/>
              </w:tabs>
              <w:ind w:left="308" w:hanging="308"/>
              <w:jc w:val="both"/>
              <w:rPr>
                <w:sz w:val="20"/>
                <w:lang w:val="en-GB"/>
              </w:rPr>
            </w:pPr>
            <w:r w:rsidRPr="00CD5505">
              <w:rPr>
                <w:sz w:val="20"/>
                <w:lang w:val="en-GB"/>
              </w:rPr>
              <w:t>new definitions of 'MRCA' and 'VEA' in Schedule 1 - Dictionary; and</w:t>
            </w:r>
          </w:p>
          <w:p w14:paraId="6F9BC8CA" w14:textId="02D47389" w:rsidR="00611829" w:rsidRPr="00611829" w:rsidRDefault="00CD5505" w:rsidP="00271AD1">
            <w:pPr>
              <w:numPr>
                <w:ilvl w:val="0"/>
                <w:numId w:val="1"/>
              </w:numPr>
              <w:tabs>
                <w:tab w:val="clear" w:pos="720"/>
                <w:tab w:val="num" w:pos="308"/>
              </w:tabs>
              <w:spacing w:after="60"/>
              <w:ind w:left="306" w:hanging="306"/>
              <w:jc w:val="both"/>
            </w:pPr>
            <w:proofErr w:type="gramStart"/>
            <w:r w:rsidRPr="00CD5505">
              <w:rPr>
                <w:sz w:val="20"/>
                <w:lang w:val="en-GB"/>
              </w:rPr>
              <w:t>revising</w:t>
            </w:r>
            <w:proofErr w:type="gramEnd"/>
            <w:r w:rsidRPr="00CD5505">
              <w:rPr>
                <w:sz w:val="20"/>
                <w:lang w:val="en-GB"/>
              </w:rPr>
              <w:t xml:space="preserve"> the definition of 'relevant service' in Schedule 1 - Dictionary.</w:t>
            </w:r>
          </w:p>
          <w:p w14:paraId="51674C47" w14:textId="53E1A1DE" w:rsidR="00611829" w:rsidRPr="00611829" w:rsidRDefault="00611829" w:rsidP="00CD5505">
            <w:pPr>
              <w:pStyle w:val="BodyText"/>
              <w:spacing w:after="60"/>
              <w:ind w:right="272"/>
              <w:jc w:val="both"/>
            </w:pPr>
            <w:r w:rsidRPr="001B31C5">
              <w:rPr>
                <w:b/>
              </w:rPr>
              <w:t>The determining of these Instruments finalises the investigation in relation to</w:t>
            </w:r>
            <w:r>
              <w:rPr>
                <w:b/>
              </w:rPr>
              <w:t xml:space="preserve"> </w:t>
            </w:r>
            <w:r w:rsidR="00CD5505">
              <w:rPr>
                <w:b/>
                <w:i/>
              </w:rPr>
              <w:t>familial adenomatous polyposis</w:t>
            </w:r>
            <w:r w:rsidRPr="00611829">
              <w:rPr>
                <w:b/>
              </w:rPr>
              <w:t xml:space="preserve"> </w:t>
            </w:r>
            <w:r w:rsidRPr="001B31C5">
              <w:rPr>
                <w:b/>
              </w:rPr>
              <w:t xml:space="preserve">as advertised in the Government Notices Gazette of </w:t>
            </w:r>
            <w:r w:rsidR="00B330AA">
              <w:rPr>
                <w:b/>
              </w:rPr>
              <w:t>5 January 2021</w:t>
            </w:r>
            <w:r w:rsidRPr="001B31C5">
              <w:rPr>
                <w:b/>
              </w:rPr>
              <w:t>.</w:t>
            </w:r>
          </w:p>
        </w:tc>
      </w:tr>
      <w:tr w:rsidR="00A92676" w:rsidRPr="00A92676" w14:paraId="2A1F210C" w14:textId="77777777" w:rsidTr="002925E7">
        <w:tc>
          <w:tcPr>
            <w:tcW w:w="1134" w:type="dxa"/>
            <w:tcBorders>
              <w:top w:val="single" w:sz="6" w:space="0" w:color="auto"/>
              <w:left w:val="single" w:sz="6" w:space="0" w:color="auto"/>
              <w:bottom w:val="single" w:sz="6" w:space="0" w:color="auto"/>
              <w:right w:val="single" w:sz="6" w:space="0" w:color="auto"/>
            </w:tcBorders>
          </w:tcPr>
          <w:p w14:paraId="119E9897" w14:textId="69CFE908" w:rsidR="00AE6C37" w:rsidRPr="001B31C5" w:rsidRDefault="00271AD1" w:rsidP="00271AD1">
            <w:pPr>
              <w:rPr>
                <w:sz w:val="20"/>
              </w:rPr>
            </w:pPr>
            <w:r>
              <w:rPr>
                <w:sz w:val="20"/>
              </w:rPr>
              <w:t>79</w:t>
            </w:r>
            <w:r w:rsidR="00A9200E">
              <w:rPr>
                <w:sz w:val="20"/>
              </w:rPr>
              <w:t xml:space="preserve"> &amp; </w:t>
            </w:r>
            <w:r>
              <w:rPr>
                <w:sz w:val="20"/>
              </w:rPr>
              <w:t>80</w:t>
            </w:r>
            <w:r w:rsidR="00C95605" w:rsidRPr="001B31C5">
              <w:rPr>
                <w:sz w:val="20"/>
              </w:rPr>
              <w:t>/20</w:t>
            </w:r>
            <w:r w:rsidR="00B34550">
              <w:rPr>
                <w:sz w:val="20"/>
              </w:rPr>
              <w:t>2</w:t>
            </w:r>
            <w:r w:rsidR="008C2396">
              <w:rPr>
                <w:sz w:val="20"/>
              </w:rPr>
              <w:t>1</w:t>
            </w:r>
          </w:p>
        </w:tc>
        <w:tc>
          <w:tcPr>
            <w:tcW w:w="1858" w:type="dxa"/>
            <w:tcBorders>
              <w:top w:val="single" w:sz="2" w:space="0" w:color="auto"/>
              <w:left w:val="single" w:sz="6" w:space="0" w:color="auto"/>
              <w:bottom w:val="single" w:sz="6" w:space="0" w:color="auto"/>
              <w:right w:val="single" w:sz="6" w:space="0" w:color="auto"/>
            </w:tcBorders>
          </w:tcPr>
          <w:p w14:paraId="0C5098C6" w14:textId="2F642C49" w:rsidR="00AE6C37" w:rsidRPr="001B31C5" w:rsidRDefault="00271AD1" w:rsidP="00B34550">
            <w:pPr>
              <w:rPr>
                <w:sz w:val="20"/>
              </w:rPr>
            </w:pPr>
            <w:r>
              <w:rPr>
                <w:sz w:val="20"/>
              </w:rPr>
              <w:t>solar keratosis</w:t>
            </w:r>
          </w:p>
        </w:tc>
        <w:tc>
          <w:tcPr>
            <w:tcW w:w="7782" w:type="dxa"/>
            <w:gridSpan w:val="2"/>
            <w:tcBorders>
              <w:top w:val="single" w:sz="6" w:space="0" w:color="auto"/>
              <w:left w:val="single" w:sz="6" w:space="0" w:color="auto"/>
              <w:bottom w:val="single" w:sz="6" w:space="0" w:color="auto"/>
              <w:right w:val="single" w:sz="6" w:space="0" w:color="auto"/>
            </w:tcBorders>
          </w:tcPr>
          <w:p w14:paraId="0B019516" w14:textId="624D2818" w:rsidR="00AE6C37" w:rsidRPr="001B31C5" w:rsidRDefault="005D2C90" w:rsidP="001B1B5D">
            <w:pPr>
              <w:pStyle w:val="BodyText"/>
              <w:tabs>
                <w:tab w:val="left" w:pos="6753"/>
              </w:tabs>
              <w:spacing w:after="60"/>
              <w:ind w:right="33"/>
              <w:jc w:val="both"/>
            </w:pPr>
            <w:r>
              <w:t xml:space="preserve">These </w:t>
            </w:r>
            <w:r w:rsidRPr="005D2C90">
              <w:t>Instrument</w:t>
            </w:r>
            <w:r>
              <w:t>s result</w:t>
            </w:r>
            <w:r w:rsidRPr="005D2C90">
              <w:t xml:space="preserve"> </w:t>
            </w:r>
            <w:r w:rsidR="00271AD1" w:rsidRPr="00271AD1">
              <w:t xml:space="preserve">from an investigation notified by the Authority in the Government Notices Gazette of 23 April 2020 concerning </w:t>
            </w:r>
            <w:r w:rsidR="00271AD1" w:rsidRPr="00271AD1">
              <w:rPr>
                <w:i/>
              </w:rPr>
              <w:t>solar keratosis</w:t>
            </w:r>
            <w:r w:rsidR="00271AD1" w:rsidRPr="00271AD1">
              <w:t xml:space="preserve"> in accordance with section 196G of the VEA.  The investigation involved an examination of the sound medical-scientific evidence now available to the Authority, including the sound medical-scientific evidence it has previously considered.</w:t>
            </w:r>
          </w:p>
          <w:p w14:paraId="56C12676" w14:textId="77777777" w:rsidR="00AE6C37" w:rsidRPr="001B31C5" w:rsidRDefault="00AE6C37" w:rsidP="001B1B5D">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4AED62EB" w14:textId="7D9E1A72" w:rsidR="00DD7F78" w:rsidRPr="001B31C5" w:rsidRDefault="00DD7F78" w:rsidP="008C2396">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271AD1">
              <w:rPr>
                <w:b/>
                <w:i/>
              </w:rPr>
              <w:t>79</w:t>
            </w:r>
            <w:r w:rsidRPr="001B31C5">
              <w:rPr>
                <w:b/>
                <w:i/>
              </w:rPr>
              <w:t>/20</w:t>
            </w:r>
            <w:r w:rsidR="00B34550">
              <w:rPr>
                <w:b/>
                <w:i/>
              </w:rPr>
              <w:t>2</w:t>
            </w:r>
            <w:r w:rsidR="008C2396">
              <w:rPr>
                <w:b/>
                <w:i/>
              </w:rPr>
              <w:t>1</w:t>
            </w:r>
            <w:r w:rsidRPr="001B31C5">
              <w:rPr>
                <w:b/>
                <w:i/>
              </w:rPr>
              <w:t>)</w:t>
            </w:r>
          </w:p>
          <w:p w14:paraId="740E8C8D"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adopting the latest revised Instrument format, which commenced in 2015;</w:t>
            </w:r>
          </w:p>
          <w:p w14:paraId="6D32F089"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specifying a day of commencement for the Instrument in section 2;</w:t>
            </w:r>
          </w:p>
          <w:p w14:paraId="5642A696"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revising the definition of 'solar keratosis' in subsection 7(2);</w:t>
            </w:r>
          </w:p>
          <w:p w14:paraId="55FDBB35"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revising the reference to 'ICD-10-AM code' in subsection 7(4);</w:t>
            </w:r>
          </w:p>
          <w:p w14:paraId="0203BD9E"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revising the factor in subsection 9(1) concerning having sunlight exposure to unprotected skin at the affected site, for clinical onset only, by the inclusion of a note;</w:t>
            </w:r>
          </w:p>
          <w:p w14:paraId="648E164F"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new factor in subsection 9(2) concerning having sunburn as specified, for clinical onset only;</w:t>
            </w:r>
          </w:p>
          <w:p w14:paraId="39FAD295"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new factor in subsection 9(4) concerning having exposure of the affected region to welding light, while arc-welding metal without skin protection, for clinical onset only;</w:t>
            </w:r>
          </w:p>
          <w:p w14:paraId="666D6E9A"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new factor in subsection 9(5) concerning undergoing organ or tissue transplantation, excluding corneal transplant, for clinical onset only;</w:t>
            </w:r>
          </w:p>
          <w:p w14:paraId="0F38E6EF"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revising the factor in subsection 9(6) concerning having PUVA therapy, for clinical onset only;</w:t>
            </w:r>
          </w:p>
          <w:p w14:paraId="15002243"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 xml:space="preserve">new factor in subsection 9(7) concerning taking </w:t>
            </w:r>
            <w:proofErr w:type="spellStart"/>
            <w:r w:rsidRPr="00271AD1">
              <w:rPr>
                <w:sz w:val="20"/>
                <w:lang w:val="en-GB"/>
              </w:rPr>
              <w:t>hydroxyurea</w:t>
            </w:r>
            <w:proofErr w:type="spellEnd"/>
            <w:r w:rsidRPr="00271AD1">
              <w:rPr>
                <w:sz w:val="20"/>
                <w:lang w:val="en-GB"/>
              </w:rPr>
              <w:t xml:space="preserve"> or </w:t>
            </w:r>
            <w:proofErr w:type="spellStart"/>
            <w:r w:rsidRPr="00271AD1">
              <w:rPr>
                <w:sz w:val="20"/>
                <w:lang w:val="en-GB"/>
              </w:rPr>
              <w:t>voriconazole</w:t>
            </w:r>
            <w:proofErr w:type="spellEnd"/>
            <w:r w:rsidRPr="00271AD1">
              <w:rPr>
                <w:sz w:val="20"/>
                <w:lang w:val="en-GB"/>
              </w:rPr>
              <w:t>, for clinical onset only;</w:t>
            </w:r>
          </w:p>
          <w:p w14:paraId="412F2A19"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deleting the factor concerning being treated with an immunosuppressive drug, for clinical onset only, as this is now covered by the factor in subsection 9(5) concerning undergoing organ or tissue transplantation, excluding corneal transplant, for clinical onset only;</w:t>
            </w:r>
          </w:p>
          <w:p w14:paraId="496EDF0B"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 xml:space="preserve">deleting the factor concerning having cutaneous contact of the affected site with </w:t>
            </w:r>
            <w:proofErr w:type="spellStart"/>
            <w:r w:rsidRPr="00271AD1">
              <w:rPr>
                <w:sz w:val="20"/>
                <w:lang w:val="en-GB"/>
              </w:rPr>
              <w:t>bipyridyl</w:t>
            </w:r>
            <w:proofErr w:type="spellEnd"/>
            <w:r w:rsidRPr="00271AD1">
              <w:rPr>
                <w:sz w:val="20"/>
                <w:lang w:val="en-GB"/>
              </w:rPr>
              <w:t xml:space="preserve"> compounds associated with </w:t>
            </w:r>
            <w:proofErr w:type="spellStart"/>
            <w:r w:rsidRPr="00271AD1">
              <w:rPr>
                <w:sz w:val="20"/>
                <w:lang w:val="en-GB"/>
              </w:rPr>
              <w:t>paraquat</w:t>
            </w:r>
            <w:proofErr w:type="spellEnd"/>
            <w:r w:rsidRPr="00271AD1">
              <w:rPr>
                <w:sz w:val="20"/>
                <w:lang w:val="en-GB"/>
              </w:rPr>
              <w:t xml:space="preserve"> manufacture, for clinical onset only;</w:t>
            </w:r>
          </w:p>
          <w:p w14:paraId="3D6F7A4B"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new definitions of 'MRCA', 'organ or tissue transplantation', 'sunburn as specified' and 'VEA' in Schedule 1 - Dictionary;</w:t>
            </w:r>
          </w:p>
          <w:p w14:paraId="78B36C27"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revising the definition of 'relevant service' in Schedule 1 - Dictionary; and</w:t>
            </w:r>
          </w:p>
          <w:p w14:paraId="30070DEB" w14:textId="16491D5D" w:rsidR="00486590" w:rsidRPr="00B330AA" w:rsidRDefault="00271AD1" w:rsidP="00271AD1">
            <w:pPr>
              <w:numPr>
                <w:ilvl w:val="0"/>
                <w:numId w:val="1"/>
              </w:numPr>
              <w:tabs>
                <w:tab w:val="clear" w:pos="720"/>
                <w:tab w:val="num" w:pos="308"/>
              </w:tabs>
              <w:ind w:left="308" w:hanging="308"/>
              <w:jc w:val="both"/>
              <w:rPr>
                <w:sz w:val="20"/>
                <w:lang w:val="en-GB"/>
              </w:rPr>
            </w:pPr>
            <w:proofErr w:type="gramStart"/>
            <w:r w:rsidRPr="00271AD1">
              <w:rPr>
                <w:sz w:val="20"/>
                <w:lang w:val="en-GB"/>
              </w:rPr>
              <w:t>deleting</w:t>
            </w:r>
            <w:proofErr w:type="gramEnd"/>
            <w:r w:rsidRPr="00271AD1">
              <w:rPr>
                <w:sz w:val="20"/>
                <w:lang w:val="en-GB"/>
              </w:rPr>
              <w:t xml:space="preserve"> the definitions of 'an immunosuppressive drug' and '</w:t>
            </w:r>
            <w:proofErr w:type="spellStart"/>
            <w:r w:rsidRPr="00271AD1">
              <w:rPr>
                <w:sz w:val="20"/>
                <w:lang w:val="en-GB"/>
              </w:rPr>
              <w:t>paraquat</w:t>
            </w:r>
            <w:proofErr w:type="spellEnd"/>
            <w:r w:rsidRPr="00271AD1">
              <w:rPr>
                <w:sz w:val="20"/>
                <w:lang w:val="en-GB"/>
              </w:rPr>
              <w:t>'.</w:t>
            </w:r>
          </w:p>
          <w:p w14:paraId="19ADC21F" w14:textId="7F1D0B78" w:rsidR="00B34550" w:rsidRDefault="00B34550" w:rsidP="008C2396">
            <w:pPr>
              <w:pStyle w:val="BodyText"/>
              <w:spacing w:before="60"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271AD1">
              <w:rPr>
                <w:b/>
                <w:i/>
              </w:rPr>
              <w:t>80</w:t>
            </w:r>
            <w:r w:rsidRPr="001B31C5">
              <w:rPr>
                <w:b/>
                <w:i/>
              </w:rPr>
              <w:t>/20</w:t>
            </w:r>
            <w:r>
              <w:rPr>
                <w:b/>
                <w:i/>
              </w:rPr>
              <w:t>2</w:t>
            </w:r>
            <w:r w:rsidR="008C2396">
              <w:rPr>
                <w:b/>
                <w:i/>
              </w:rPr>
              <w:t>1</w:t>
            </w:r>
            <w:r w:rsidRPr="001B31C5">
              <w:rPr>
                <w:b/>
                <w:i/>
              </w:rPr>
              <w:t>)</w:t>
            </w:r>
          </w:p>
          <w:p w14:paraId="43C2E774"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adopting the latest revised Instrument format, which commenced in 2015;</w:t>
            </w:r>
          </w:p>
          <w:p w14:paraId="27361FF0"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specifying a day of commencement for the Instrument in section 2;</w:t>
            </w:r>
          </w:p>
          <w:p w14:paraId="62740903"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revising the definition of 'solar keratosis' in subsection 7(2);</w:t>
            </w:r>
          </w:p>
          <w:p w14:paraId="188A953A"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revising the reference to 'ICD-10-AM code' in subsection 7(4);</w:t>
            </w:r>
          </w:p>
          <w:p w14:paraId="178BA372"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lastRenderedPageBreak/>
              <w:t>revising the factor in subsection 9(1) concerning having sunlight exposure to unprotected skin at the affected site, for clinical onset only, by the inclusion of a note;</w:t>
            </w:r>
          </w:p>
          <w:p w14:paraId="630A09EE"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new factor in subsection 9(2) concerning undergoing organ or tissue transplantation, excluding corneal transplant, for clinical onset only;</w:t>
            </w:r>
          </w:p>
          <w:p w14:paraId="132BCE2C"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revising the factor in subsection 9(3) concerning having PUVA therapy, for clinical onset only;</w:t>
            </w:r>
          </w:p>
          <w:p w14:paraId="1291383E"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deleting the factor concerning being treated with an immunosuppressive drug, as this is now covered by the factor in subsection 9(2) concerning undergoing organ or tissue transplantation, excluding corneal transplant, for clinical onset only;</w:t>
            </w:r>
          </w:p>
          <w:p w14:paraId="68275639"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 xml:space="preserve">new factor in subsection 9(4) concerning taking </w:t>
            </w:r>
            <w:proofErr w:type="spellStart"/>
            <w:r w:rsidRPr="00271AD1">
              <w:rPr>
                <w:sz w:val="20"/>
                <w:lang w:val="en-GB"/>
              </w:rPr>
              <w:t>hydroxyurea</w:t>
            </w:r>
            <w:proofErr w:type="spellEnd"/>
            <w:r w:rsidRPr="00271AD1">
              <w:rPr>
                <w:sz w:val="20"/>
                <w:lang w:val="en-GB"/>
              </w:rPr>
              <w:t xml:space="preserve"> or </w:t>
            </w:r>
            <w:proofErr w:type="spellStart"/>
            <w:r w:rsidRPr="00271AD1">
              <w:rPr>
                <w:sz w:val="20"/>
                <w:lang w:val="en-GB"/>
              </w:rPr>
              <w:t>voriconazole</w:t>
            </w:r>
            <w:proofErr w:type="spellEnd"/>
            <w:r w:rsidRPr="00271AD1">
              <w:rPr>
                <w:sz w:val="20"/>
                <w:lang w:val="en-GB"/>
              </w:rPr>
              <w:t>, for clinical onset only;</w:t>
            </w:r>
          </w:p>
          <w:p w14:paraId="4823AF49"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new definitions of 'MRCA', 'organ or tissue transplantation' and 'VEA' in Schedule 1 - Dictionary;</w:t>
            </w:r>
          </w:p>
          <w:p w14:paraId="1C08508C" w14:textId="77777777" w:rsidR="00271AD1" w:rsidRPr="00271AD1" w:rsidRDefault="00271AD1" w:rsidP="00271AD1">
            <w:pPr>
              <w:numPr>
                <w:ilvl w:val="0"/>
                <w:numId w:val="1"/>
              </w:numPr>
              <w:tabs>
                <w:tab w:val="clear" w:pos="720"/>
                <w:tab w:val="num" w:pos="308"/>
              </w:tabs>
              <w:ind w:left="308" w:hanging="308"/>
              <w:jc w:val="both"/>
              <w:rPr>
                <w:sz w:val="20"/>
                <w:lang w:val="en-GB"/>
              </w:rPr>
            </w:pPr>
            <w:r w:rsidRPr="00271AD1">
              <w:rPr>
                <w:sz w:val="20"/>
                <w:lang w:val="en-GB"/>
              </w:rPr>
              <w:t>revising the definition of 'relevant service' in Schedule 1 - Dictionary; and</w:t>
            </w:r>
          </w:p>
          <w:p w14:paraId="28A88107" w14:textId="0606DA36" w:rsidR="00B330AA" w:rsidRPr="00B330AA" w:rsidRDefault="00271AD1" w:rsidP="007571D6">
            <w:pPr>
              <w:numPr>
                <w:ilvl w:val="0"/>
                <w:numId w:val="1"/>
              </w:numPr>
              <w:tabs>
                <w:tab w:val="clear" w:pos="720"/>
                <w:tab w:val="num" w:pos="308"/>
              </w:tabs>
              <w:spacing w:after="60"/>
              <w:ind w:left="306" w:hanging="306"/>
              <w:jc w:val="both"/>
              <w:rPr>
                <w:sz w:val="20"/>
                <w:lang w:val="en-GB"/>
              </w:rPr>
            </w:pPr>
            <w:proofErr w:type="gramStart"/>
            <w:r w:rsidRPr="00271AD1">
              <w:rPr>
                <w:sz w:val="20"/>
                <w:lang w:val="en-GB"/>
              </w:rPr>
              <w:t>deleting</w:t>
            </w:r>
            <w:proofErr w:type="gramEnd"/>
            <w:r w:rsidRPr="00271AD1">
              <w:rPr>
                <w:sz w:val="20"/>
                <w:lang w:val="en-GB"/>
              </w:rPr>
              <w:t xml:space="preserve"> the definition of 'an immunosuppressive drug'.</w:t>
            </w:r>
          </w:p>
          <w:p w14:paraId="5B3E4F7B" w14:textId="57265570" w:rsidR="007571D6" w:rsidRPr="007571D6" w:rsidRDefault="007571D6" w:rsidP="007571D6">
            <w:pPr>
              <w:pStyle w:val="BodyText"/>
              <w:spacing w:after="60"/>
              <w:ind w:right="272"/>
              <w:jc w:val="both"/>
            </w:pPr>
            <w:r w:rsidRPr="007571D6">
              <w:t xml:space="preserve">On 19 March 2021, the Authority wrote to organisations representing veterans, service personnel and their dependants regarding the proposed Instrument and the medical-scientific material considered by the Authority.  This letter emphasised the deletion of factors from the reasonable hypothesis Statement of Principles relating to </w:t>
            </w:r>
            <w:r w:rsidRPr="007571D6">
              <w:rPr>
                <w:i/>
              </w:rPr>
              <w:t xml:space="preserve">having cutaneous contact of the affected site with </w:t>
            </w:r>
            <w:proofErr w:type="spellStart"/>
            <w:r w:rsidRPr="007571D6">
              <w:rPr>
                <w:i/>
              </w:rPr>
              <w:t>bipyridyl</w:t>
            </w:r>
            <w:proofErr w:type="spellEnd"/>
            <w:r w:rsidRPr="007571D6">
              <w:rPr>
                <w:i/>
              </w:rPr>
              <w:t xml:space="preserve"> compounds associated with </w:t>
            </w:r>
            <w:proofErr w:type="spellStart"/>
            <w:r w:rsidRPr="007571D6">
              <w:rPr>
                <w:i/>
              </w:rPr>
              <w:t>paraquat</w:t>
            </w:r>
            <w:proofErr w:type="spellEnd"/>
            <w:r w:rsidRPr="007571D6">
              <w:rPr>
                <w:i/>
              </w:rPr>
              <w:t xml:space="preserve"> manufacture, on more days than not for a cumulative period of at least five years, before the clinical onset of solar keratosis</w:t>
            </w:r>
            <w:r w:rsidRPr="007571D6">
              <w:t>.  The Authority provided an opportunity to the organisations to make representations in relation to the proposed Instrument prior to its determination.  No submissions were received for consideration by the Authority.  No changes were made to the proposed Instrument following this consultation process.</w:t>
            </w:r>
          </w:p>
          <w:p w14:paraId="44A9333A" w14:textId="0747741E" w:rsidR="00AE6C37" w:rsidRPr="001B31C5" w:rsidRDefault="00AE6C37" w:rsidP="007571D6">
            <w:pPr>
              <w:pStyle w:val="BodyText"/>
              <w:spacing w:after="60"/>
              <w:ind w:right="272"/>
              <w:jc w:val="both"/>
              <w:rPr>
                <w:b/>
                <w:sz w:val="19"/>
                <w:szCs w:val="19"/>
              </w:rPr>
            </w:pPr>
            <w:r w:rsidRPr="001B31C5">
              <w:rPr>
                <w:b/>
              </w:rPr>
              <w:t>The determining of these Instruments finalises the investigation in relation to</w:t>
            </w:r>
            <w:r w:rsidR="004D033A">
              <w:rPr>
                <w:b/>
              </w:rPr>
              <w:t xml:space="preserve"> </w:t>
            </w:r>
            <w:r w:rsidR="007571D6">
              <w:rPr>
                <w:b/>
                <w:i/>
              </w:rPr>
              <w:t>solar keratosis</w:t>
            </w:r>
            <w:r w:rsidR="006B573A" w:rsidRPr="006B573A">
              <w:rPr>
                <w:b/>
                <w:i/>
              </w:rPr>
              <w:t xml:space="preserve"> </w:t>
            </w:r>
            <w:r w:rsidRPr="001B31C5">
              <w:rPr>
                <w:b/>
              </w:rPr>
              <w:t>as advertised in the</w:t>
            </w:r>
            <w:r w:rsidR="00DA6D10" w:rsidRPr="001B31C5">
              <w:rPr>
                <w:b/>
              </w:rPr>
              <w:t xml:space="preserve"> Government Notices Gazette of </w:t>
            </w:r>
            <w:r w:rsidR="007571D6">
              <w:rPr>
                <w:b/>
              </w:rPr>
              <w:t>23 April 2020</w:t>
            </w:r>
            <w:r w:rsidRPr="001B31C5">
              <w:rPr>
                <w:b/>
              </w:rPr>
              <w:t>.</w:t>
            </w:r>
          </w:p>
        </w:tc>
      </w:tr>
      <w:tr w:rsidR="00A92676" w:rsidRPr="00A92676" w14:paraId="428A5196" w14:textId="77777777" w:rsidTr="002925E7">
        <w:tc>
          <w:tcPr>
            <w:tcW w:w="1134" w:type="dxa"/>
            <w:tcBorders>
              <w:top w:val="single" w:sz="6" w:space="0" w:color="auto"/>
              <w:left w:val="single" w:sz="6" w:space="0" w:color="auto"/>
              <w:bottom w:val="single" w:sz="6" w:space="0" w:color="auto"/>
              <w:right w:val="single" w:sz="6" w:space="0" w:color="auto"/>
            </w:tcBorders>
          </w:tcPr>
          <w:p w14:paraId="7AE1DFD9" w14:textId="58D5B4B0" w:rsidR="00C95605" w:rsidRPr="001B31C5" w:rsidRDefault="00FE16AD" w:rsidP="002C5EE6">
            <w:pPr>
              <w:rPr>
                <w:sz w:val="20"/>
                <w:szCs w:val="24"/>
              </w:rPr>
            </w:pPr>
            <w:r>
              <w:rPr>
                <w:sz w:val="20"/>
                <w:szCs w:val="24"/>
              </w:rPr>
              <w:lastRenderedPageBreak/>
              <w:t>81</w:t>
            </w:r>
            <w:r w:rsidR="000858B4">
              <w:rPr>
                <w:sz w:val="20"/>
                <w:szCs w:val="24"/>
              </w:rPr>
              <w:t xml:space="preserve"> &amp; </w:t>
            </w:r>
            <w:r>
              <w:rPr>
                <w:sz w:val="20"/>
                <w:szCs w:val="24"/>
              </w:rPr>
              <w:t>82</w:t>
            </w:r>
            <w:r w:rsidR="00C95605" w:rsidRPr="001B31C5">
              <w:rPr>
                <w:sz w:val="20"/>
                <w:szCs w:val="24"/>
              </w:rPr>
              <w:t>/20</w:t>
            </w:r>
            <w:r w:rsidR="00CB3C1D">
              <w:rPr>
                <w:sz w:val="20"/>
                <w:szCs w:val="24"/>
              </w:rPr>
              <w:t>2</w:t>
            </w:r>
            <w:r w:rsidR="004E6814">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46558ABB" w14:textId="20C25CA2" w:rsidR="00C95605" w:rsidRPr="001B31C5" w:rsidRDefault="00FE16AD" w:rsidP="00CB3C1D">
            <w:pPr>
              <w:rPr>
                <w:sz w:val="20"/>
              </w:rPr>
            </w:pPr>
            <w:r>
              <w:rPr>
                <w:sz w:val="20"/>
              </w:rPr>
              <w:t>hypopituitarism</w:t>
            </w:r>
          </w:p>
        </w:tc>
        <w:tc>
          <w:tcPr>
            <w:tcW w:w="7774" w:type="dxa"/>
            <w:tcBorders>
              <w:top w:val="single" w:sz="6" w:space="0" w:color="auto"/>
              <w:left w:val="single" w:sz="6" w:space="0" w:color="auto"/>
              <w:bottom w:val="single" w:sz="6" w:space="0" w:color="auto"/>
              <w:right w:val="single" w:sz="6" w:space="0" w:color="auto"/>
            </w:tcBorders>
          </w:tcPr>
          <w:p w14:paraId="69834EBC" w14:textId="77777777" w:rsidR="0080510B" w:rsidRPr="00A00923" w:rsidRDefault="0080510B" w:rsidP="0080510B">
            <w:pPr>
              <w:pStyle w:val="BodyText"/>
              <w:spacing w:after="60"/>
              <w:ind w:left="34" w:right="272"/>
              <w:rPr>
                <w:b/>
              </w:rPr>
            </w:pPr>
            <w:r w:rsidRPr="00A00923">
              <w:rPr>
                <w:b/>
              </w:rPr>
              <w:t>Amendment</w:t>
            </w:r>
          </w:p>
          <w:p w14:paraId="6D706D4B" w14:textId="43D6C932" w:rsidR="0080510B" w:rsidRDefault="0080510B" w:rsidP="0080510B">
            <w:pPr>
              <w:spacing w:after="60"/>
              <w:rPr>
                <w:sz w:val="20"/>
              </w:rPr>
            </w:pPr>
            <w:r w:rsidRPr="00A00923">
              <w:rPr>
                <w:sz w:val="20"/>
              </w:rPr>
              <w:t>Th</w:t>
            </w:r>
            <w:r>
              <w:rPr>
                <w:sz w:val="20"/>
              </w:rPr>
              <w:t>ese</w:t>
            </w:r>
            <w:r w:rsidRPr="00A00923">
              <w:rPr>
                <w:sz w:val="20"/>
              </w:rPr>
              <w:t xml:space="preserve"> instrument</w:t>
            </w:r>
            <w:r>
              <w:rPr>
                <w:sz w:val="20"/>
              </w:rPr>
              <w:t>s</w:t>
            </w:r>
            <w:r w:rsidRPr="00A00923">
              <w:rPr>
                <w:sz w:val="20"/>
              </w:rPr>
              <w:t xml:space="preserve"> amend Statement</w:t>
            </w:r>
            <w:r>
              <w:rPr>
                <w:sz w:val="20"/>
              </w:rPr>
              <w:t>s</w:t>
            </w:r>
            <w:r w:rsidRPr="00A00923">
              <w:rPr>
                <w:sz w:val="20"/>
              </w:rPr>
              <w:t xml:space="preserve"> of Principles No</w:t>
            </w:r>
            <w:r>
              <w:rPr>
                <w:sz w:val="20"/>
              </w:rPr>
              <w:t>s</w:t>
            </w:r>
            <w:r w:rsidRPr="00A00923">
              <w:rPr>
                <w:sz w:val="20"/>
              </w:rPr>
              <w:t xml:space="preserve">. </w:t>
            </w:r>
            <w:r w:rsidR="00797E9A">
              <w:rPr>
                <w:sz w:val="20"/>
              </w:rPr>
              <w:t>11</w:t>
            </w:r>
            <w:r>
              <w:rPr>
                <w:sz w:val="20"/>
              </w:rPr>
              <w:t xml:space="preserve"> and </w:t>
            </w:r>
            <w:r w:rsidR="00797E9A">
              <w:rPr>
                <w:sz w:val="20"/>
              </w:rPr>
              <w:t>12</w:t>
            </w:r>
            <w:r>
              <w:rPr>
                <w:sz w:val="20"/>
              </w:rPr>
              <w:t xml:space="preserve"> of 201</w:t>
            </w:r>
            <w:r w:rsidR="00797E9A">
              <w:rPr>
                <w:sz w:val="20"/>
              </w:rPr>
              <w:t>9</w:t>
            </w:r>
            <w:r w:rsidRPr="00A00923">
              <w:rPr>
                <w:sz w:val="20"/>
              </w:rPr>
              <w:t xml:space="preserve"> concerning </w:t>
            </w:r>
            <w:r w:rsidR="00797E9A">
              <w:rPr>
                <w:b/>
                <w:i/>
                <w:sz w:val="20"/>
              </w:rPr>
              <w:t>hypopituitarism</w:t>
            </w:r>
            <w:r w:rsidRPr="00A00923">
              <w:rPr>
                <w:b/>
                <w:i/>
                <w:sz w:val="20"/>
              </w:rPr>
              <w:t xml:space="preserve"> </w:t>
            </w:r>
            <w:r w:rsidRPr="00A00923">
              <w:rPr>
                <w:sz w:val="20"/>
              </w:rPr>
              <w:t>by:</w:t>
            </w:r>
          </w:p>
          <w:p w14:paraId="0D1DBEC6" w14:textId="041F3CFB" w:rsidR="0080510B" w:rsidRDefault="00D926C3" w:rsidP="0080510B">
            <w:pPr>
              <w:pStyle w:val="BodyText"/>
              <w:tabs>
                <w:tab w:val="left" w:pos="6753"/>
              </w:tabs>
              <w:spacing w:before="60" w:after="60"/>
              <w:ind w:right="34"/>
              <w:jc w:val="both"/>
              <w:rPr>
                <w:b/>
                <w:i/>
              </w:rPr>
            </w:pPr>
            <w:r>
              <w:rPr>
                <w:b/>
                <w:i/>
              </w:rPr>
              <w:t xml:space="preserve">For RH </w:t>
            </w:r>
            <w:proofErr w:type="spellStart"/>
            <w:r>
              <w:rPr>
                <w:b/>
                <w:i/>
              </w:rPr>
              <w:t>SoP</w:t>
            </w:r>
            <w:proofErr w:type="spellEnd"/>
            <w:r>
              <w:rPr>
                <w:b/>
                <w:i/>
              </w:rPr>
              <w:t xml:space="preserve"> (</w:t>
            </w:r>
            <w:r w:rsidR="0080510B" w:rsidRPr="001B31C5">
              <w:rPr>
                <w:b/>
                <w:i/>
              </w:rPr>
              <w:t xml:space="preserve">Instrument No. </w:t>
            </w:r>
            <w:r w:rsidR="00797E9A">
              <w:rPr>
                <w:b/>
                <w:i/>
              </w:rPr>
              <w:t>11</w:t>
            </w:r>
            <w:r w:rsidR="0080510B">
              <w:rPr>
                <w:b/>
                <w:i/>
              </w:rPr>
              <w:t>/201</w:t>
            </w:r>
            <w:r w:rsidR="00797E9A">
              <w:rPr>
                <w:b/>
                <w:i/>
              </w:rPr>
              <w:t>9</w:t>
            </w:r>
            <w:r>
              <w:rPr>
                <w:b/>
                <w:i/>
              </w:rPr>
              <w:t>)</w:t>
            </w:r>
          </w:p>
          <w:p w14:paraId="6828ADA9" w14:textId="7B5C805B" w:rsidR="0080510B" w:rsidRPr="003B6F13" w:rsidRDefault="00797E9A" w:rsidP="00797E9A">
            <w:pPr>
              <w:numPr>
                <w:ilvl w:val="0"/>
                <w:numId w:val="1"/>
              </w:numPr>
              <w:tabs>
                <w:tab w:val="clear" w:pos="720"/>
                <w:tab w:val="num" w:pos="308"/>
              </w:tabs>
              <w:ind w:left="308" w:hanging="308"/>
              <w:jc w:val="both"/>
              <w:rPr>
                <w:sz w:val="20"/>
                <w:lang w:val="en-GB"/>
              </w:rPr>
            </w:pPr>
            <w:proofErr w:type="gramStart"/>
            <w:r w:rsidRPr="00797E9A">
              <w:rPr>
                <w:sz w:val="20"/>
                <w:lang w:val="en-GB"/>
              </w:rPr>
              <w:t>amending</w:t>
            </w:r>
            <w:proofErr w:type="gramEnd"/>
            <w:r w:rsidRPr="00797E9A">
              <w:rPr>
                <w:sz w:val="20"/>
                <w:lang w:val="en-GB"/>
              </w:rPr>
              <w:t xml:space="preserve"> the </w:t>
            </w:r>
            <w:r w:rsidRPr="00797E9A">
              <w:rPr>
                <w:sz w:val="20"/>
              </w:rPr>
              <w:t>definition</w:t>
            </w:r>
            <w:r w:rsidRPr="00797E9A">
              <w:rPr>
                <w:sz w:val="20"/>
                <w:lang w:val="en-GB"/>
              </w:rPr>
              <w:t xml:space="preserve"> of 'hypopituitarism' in subsection 7(2)</w:t>
            </w:r>
            <w:r w:rsidR="0080510B" w:rsidRPr="003B6F13">
              <w:rPr>
                <w:sz w:val="20"/>
              </w:rPr>
              <w:t>.</w:t>
            </w:r>
          </w:p>
          <w:p w14:paraId="7B9B1F2E" w14:textId="19122194" w:rsidR="0080510B" w:rsidRDefault="0080510B" w:rsidP="0080510B">
            <w:pPr>
              <w:pStyle w:val="BodyText"/>
              <w:tabs>
                <w:tab w:val="left" w:pos="6753"/>
              </w:tabs>
              <w:spacing w:before="60" w:after="60"/>
              <w:ind w:right="34"/>
              <w:jc w:val="both"/>
              <w:rPr>
                <w:b/>
                <w:i/>
              </w:rPr>
            </w:pPr>
            <w:r w:rsidRPr="001B31C5">
              <w:rPr>
                <w:b/>
                <w:i/>
              </w:rPr>
              <w:t xml:space="preserve">For </w:t>
            </w:r>
            <w:proofErr w:type="spellStart"/>
            <w:r w:rsidR="00D926C3">
              <w:rPr>
                <w:b/>
                <w:i/>
              </w:rPr>
              <w:t>BoP</w:t>
            </w:r>
            <w:proofErr w:type="spellEnd"/>
            <w:r w:rsidR="00D926C3">
              <w:rPr>
                <w:b/>
                <w:i/>
              </w:rPr>
              <w:t xml:space="preserve"> </w:t>
            </w:r>
            <w:proofErr w:type="spellStart"/>
            <w:r w:rsidR="00D926C3">
              <w:rPr>
                <w:b/>
                <w:i/>
              </w:rPr>
              <w:t>SoP</w:t>
            </w:r>
            <w:proofErr w:type="spellEnd"/>
            <w:r w:rsidR="00D926C3">
              <w:rPr>
                <w:b/>
                <w:i/>
              </w:rPr>
              <w:t xml:space="preserve"> (</w:t>
            </w:r>
            <w:r w:rsidRPr="001B31C5">
              <w:rPr>
                <w:b/>
                <w:i/>
              </w:rPr>
              <w:t xml:space="preserve">Instrument No. </w:t>
            </w:r>
            <w:r w:rsidR="00797E9A">
              <w:rPr>
                <w:b/>
                <w:i/>
              </w:rPr>
              <w:t>12</w:t>
            </w:r>
            <w:r w:rsidRPr="001B31C5">
              <w:rPr>
                <w:b/>
                <w:i/>
              </w:rPr>
              <w:t>/20</w:t>
            </w:r>
            <w:r w:rsidR="00D926C3">
              <w:rPr>
                <w:b/>
                <w:i/>
              </w:rPr>
              <w:t>1</w:t>
            </w:r>
            <w:r w:rsidR="00797E9A">
              <w:rPr>
                <w:b/>
                <w:i/>
              </w:rPr>
              <w:t>9</w:t>
            </w:r>
            <w:r w:rsidR="00D926C3">
              <w:rPr>
                <w:b/>
                <w:i/>
              </w:rPr>
              <w:t>)</w:t>
            </w:r>
          </w:p>
          <w:p w14:paraId="1ACE6E2B" w14:textId="2081270C" w:rsidR="0080510B" w:rsidRPr="003B6F13" w:rsidRDefault="00D11DEE" w:rsidP="00D11DEE">
            <w:pPr>
              <w:numPr>
                <w:ilvl w:val="0"/>
                <w:numId w:val="1"/>
              </w:numPr>
              <w:tabs>
                <w:tab w:val="clear" w:pos="720"/>
                <w:tab w:val="num" w:pos="308"/>
              </w:tabs>
              <w:spacing w:after="60"/>
              <w:ind w:left="306" w:hanging="306"/>
              <w:jc w:val="both"/>
              <w:rPr>
                <w:sz w:val="20"/>
                <w:lang w:val="en-GB"/>
              </w:rPr>
            </w:pPr>
            <w:proofErr w:type="gramStart"/>
            <w:r w:rsidRPr="00D11DEE">
              <w:rPr>
                <w:sz w:val="20"/>
                <w:lang w:val="en-GB"/>
              </w:rPr>
              <w:t>amending</w:t>
            </w:r>
            <w:proofErr w:type="gramEnd"/>
            <w:r w:rsidRPr="00D11DEE">
              <w:rPr>
                <w:sz w:val="20"/>
                <w:lang w:val="en-GB"/>
              </w:rPr>
              <w:t xml:space="preserve"> the definition of 'hypopituitarism' in subsection 7(2).</w:t>
            </w:r>
          </w:p>
          <w:p w14:paraId="4B4C2092" w14:textId="36C7EE74" w:rsidR="00C95605" w:rsidRPr="00FE6388" w:rsidRDefault="0080510B" w:rsidP="00D11DEE">
            <w:pPr>
              <w:pStyle w:val="BodyText"/>
              <w:tabs>
                <w:tab w:val="left" w:pos="6753"/>
              </w:tabs>
              <w:ind w:right="34"/>
              <w:jc w:val="both"/>
            </w:pPr>
            <w:r w:rsidRPr="00A00923">
              <w:rPr>
                <w:b/>
              </w:rPr>
              <w:t>The determining of th</w:t>
            </w:r>
            <w:r>
              <w:rPr>
                <w:b/>
              </w:rPr>
              <w:t>ese</w:t>
            </w:r>
            <w:r w:rsidRPr="00A00923">
              <w:rPr>
                <w:b/>
              </w:rPr>
              <w:t xml:space="preserve"> Instrument</w:t>
            </w:r>
            <w:r>
              <w:rPr>
                <w:b/>
              </w:rPr>
              <w:t>s</w:t>
            </w:r>
            <w:r w:rsidRPr="00A00923">
              <w:rPr>
                <w:b/>
              </w:rPr>
              <w:t xml:space="preserve"> </w:t>
            </w:r>
            <w:r w:rsidR="00D926C3" w:rsidRPr="00D926C3">
              <w:rPr>
                <w:b/>
              </w:rPr>
              <w:t xml:space="preserve">finalises the investigation in relation to </w:t>
            </w:r>
            <w:r w:rsidR="00D11DEE">
              <w:rPr>
                <w:b/>
                <w:i/>
              </w:rPr>
              <w:t>hypopituitarism</w:t>
            </w:r>
            <w:r w:rsidR="00D926C3" w:rsidRPr="00D926C3">
              <w:rPr>
                <w:b/>
              </w:rPr>
              <w:t xml:space="preserve"> as advertised in the Government Notices Gazette of </w:t>
            </w:r>
            <w:r w:rsidR="00D11DEE">
              <w:rPr>
                <w:b/>
              </w:rPr>
              <w:t>5 January</w:t>
            </w:r>
            <w:r w:rsidR="00D926C3" w:rsidRPr="00D926C3">
              <w:rPr>
                <w:b/>
              </w:rPr>
              <w:t xml:space="preserve"> 2021</w:t>
            </w:r>
            <w:r w:rsidRPr="00A00923">
              <w:rPr>
                <w:b/>
              </w:rPr>
              <w:t>.</w:t>
            </w:r>
          </w:p>
        </w:tc>
      </w:tr>
      <w:tr w:rsidR="00D11DEE" w:rsidRPr="00A92676" w14:paraId="17206D53" w14:textId="77777777" w:rsidTr="002925E7">
        <w:tc>
          <w:tcPr>
            <w:tcW w:w="1134" w:type="dxa"/>
            <w:tcBorders>
              <w:top w:val="single" w:sz="6" w:space="0" w:color="auto"/>
              <w:left w:val="single" w:sz="6" w:space="0" w:color="auto"/>
              <w:bottom w:val="single" w:sz="6" w:space="0" w:color="auto"/>
              <w:right w:val="single" w:sz="6" w:space="0" w:color="auto"/>
            </w:tcBorders>
          </w:tcPr>
          <w:p w14:paraId="5F468EF4" w14:textId="1B73AE8A" w:rsidR="00D11DEE" w:rsidRDefault="00D11DEE" w:rsidP="002C5EE6">
            <w:pPr>
              <w:rPr>
                <w:sz w:val="20"/>
                <w:szCs w:val="24"/>
              </w:rPr>
            </w:pPr>
            <w:r>
              <w:rPr>
                <w:sz w:val="20"/>
                <w:szCs w:val="24"/>
              </w:rPr>
              <w:t>83 &amp; 84/2021</w:t>
            </w:r>
          </w:p>
        </w:tc>
        <w:tc>
          <w:tcPr>
            <w:tcW w:w="1866" w:type="dxa"/>
            <w:gridSpan w:val="2"/>
            <w:tcBorders>
              <w:top w:val="single" w:sz="2" w:space="0" w:color="auto"/>
              <w:left w:val="single" w:sz="6" w:space="0" w:color="auto"/>
              <w:bottom w:val="single" w:sz="2" w:space="0" w:color="auto"/>
              <w:right w:val="single" w:sz="6" w:space="0" w:color="auto"/>
            </w:tcBorders>
          </w:tcPr>
          <w:p w14:paraId="30E6FFE2" w14:textId="12C3B62A" w:rsidR="00D11DEE" w:rsidRDefault="00D11DEE" w:rsidP="00CB3C1D">
            <w:pPr>
              <w:rPr>
                <w:sz w:val="20"/>
              </w:rPr>
            </w:pPr>
            <w:r>
              <w:rPr>
                <w:sz w:val="20"/>
              </w:rPr>
              <w:t>diabetes mellitus</w:t>
            </w:r>
          </w:p>
        </w:tc>
        <w:tc>
          <w:tcPr>
            <w:tcW w:w="7774" w:type="dxa"/>
            <w:tcBorders>
              <w:top w:val="single" w:sz="6" w:space="0" w:color="auto"/>
              <w:left w:val="single" w:sz="6" w:space="0" w:color="auto"/>
              <w:bottom w:val="single" w:sz="6" w:space="0" w:color="auto"/>
              <w:right w:val="single" w:sz="6" w:space="0" w:color="auto"/>
            </w:tcBorders>
          </w:tcPr>
          <w:p w14:paraId="2058F4CF" w14:textId="77777777" w:rsidR="00CD09EC" w:rsidRPr="00A00923" w:rsidRDefault="00CD09EC" w:rsidP="00CD09EC">
            <w:pPr>
              <w:pStyle w:val="BodyText"/>
              <w:spacing w:after="60"/>
              <w:ind w:left="34" w:right="272"/>
              <w:rPr>
                <w:b/>
              </w:rPr>
            </w:pPr>
            <w:r w:rsidRPr="00A00923">
              <w:rPr>
                <w:b/>
              </w:rPr>
              <w:t>Amendment</w:t>
            </w:r>
          </w:p>
          <w:p w14:paraId="0FB47AF3" w14:textId="48671F76" w:rsidR="00CD09EC" w:rsidRDefault="00CD09EC" w:rsidP="00CD09EC">
            <w:pPr>
              <w:spacing w:after="60"/>
              <w:rPr>
                <w:sz w:val="20"/>
              </w:rPr>
            </w:pPr>
            <w:r w:rsidRPr="00A00923">
              <w:rPr>
                <w:sz w:val="20"/>
              </w:rPr>
              <w:t>Th</w:t>
            </w:r>
            <w:r>
              <w:rPr>
                <w:sz w:val="20"/>
              </w:rPr>
              <w:t>ese</w:t>
            </w:r>
            <w:r w:rsidRPr="00A00923">
              <w:rPr>
                <w:sz w:val="20"/>
              </w:rPr>
              <w:t xml:space="preserve"> instrument</w:t>
            </w:r>
            <w:r>
              <w:rPr>
                <w:sz w:val="20"/>
              </w:rPr>
              <w:t>s</w:t>
            </w:r>
            <w:r w:rsidRPr="00A00923">
              <w:rPr>
                <w:sz w:val="20"/>
              </w:rPr>
              <w:t xml:space="preserve"> amend Statement</w:t>
            </w:r>
            <w:r>
              <w:rPr>
                <w:sz w:val="20"/>
              </w:rPr>
              <w:t>s</w:t>
            </w:r>
            <w:r w:rsidRPr="00A00923">
              <w:rPr>
                <w:sz w:val="20"/>
              </w:rPr>
              <w:t xml:space="preserve"> of Principles No</w:t>
            </w:r>
            <w:r>
              <w:rPr>
                <w:sz w:val="20"/>
              </w:rPr>
              <w:t>s</w:t>
            </w:r>
            <w:r w:rsidRPr="00A00923">
              <w:rPr>
                <w:sz w:val="20"/>
              </w:rPr>
              <w:t xml:space="preserve">. </w:t>
            </w:r>
            <w:r>
              <w:rPr>
                <w:sz w:val="20"/>
              </w:rPr>
              <w:t>48</w:t>
            </w:r>
            <w:r>
              <w:rPr>
                <w:sz w:val="20"/>
              </w:rPr>
              <w:t xml:space="preserve"> and </w:t>
            </w:r>
            <w:r>
              <w:rPr>
                <w:sz w:val="20"/>
              </w:rPr>
              <w:t>49</w:t>
            </w:r>
            <w:r>
              <w:rPr>
                <w:sz w:val="20"/>
              </w:rPr>
              <w:t xml:space="preserve"> of 20</w:t>
            </w:r>
            <w:r>
              <w:rPr>
                <w:sz w:val="20"/>
              </w:rPr>
              <w:t>20</w:t>
            </w:r>
            <w:r w:rsidRPr="00A00923">
              <w:rPr>
                <w:sz w:val="20"/>
              </w:rPr>
              <w:t xml:space="preserve"> concerning </w:t>
            </w:r>
            <w:r>
              <w:rPr>
                <w:b/>
                <w:i/>
                <w:sz w:val="20"/>
              </w:rPr>
              <w:t>diabetes mellitus</w:t>
            </w:r>
            <w:r w:rsidRPr="00A00923">
              <w:rPr>
                <w:b/>
                <w:i/>
                <w:sz w:val="20"/>
              </w:rPr>
              <w:t xml:space="preserve"> </w:t>
            </w:r>
            <w:r w:rsidRPr="00A00923">
              <w:rPr>
                <w:sz w:val="20"/>
              </w:rPr>
              <w:t>by:</w:t>
            </w:r>
          </w:p>
          <w:p w14:paraId="19DD7646" w14:textId="1FAF91B3" w:rsidR="00CD09EC" w:rsidRDefault="00CD09EC" w:rsidP="00CD09EC">
            <w:pPr>
              <w:pStyle w:val="BodyText"/>
              <w:tabs>
                <w:tab w:val="left" w:pos="6753"/>
              </w:tabs>
              <w:spacing w:before="60" w:after="60"/>
              <w:ind w:right="34"/>
              <w:jc w:val="both"/>
              <w:rPr>
                <w:b/>
                <w:i/>
              </w:rPr>
            </w:pPr>
            <w:r>
              <w:rPr>
                <w:b/>
                <w:i/>
              </w:rPr>
              <w:t xml:space="preserve">For RH </w:t>
            </w:r>
            <w:proofErr w:type="spellStart"/>
            <w:r>
              <w:rPr>
                <w:b/>
                <w:i/>
              </w:rPr>
              <w:t>SoP</w:t>
            </w:r>
            <w:proofErr w:type="spellEnd"/>
            <w:r>
              <w:rPr>
                <w:b/>
                <w:i/>
              </w:rPr>
              <w:t xml:space="preserve"> (</w:t>
            </w:r>
            <w:r w:rsidRPr="001B31C5">
              <w:rPr>
                <w:b/>
                <w:i/>
              </w:rPr>
              <w:t xml:space="preserve">Instrument No. </w:t>
            </w:r>
            <w:r>
              <w:rPr>
                <w:b/>
                <w:i/>
              </w:rPr>
              <w:t>48</w:t>
            </w:r>
            <w:r>
              <w:rPr>
                <w:b/>
                <w:i/>
              </w:rPr>
              <w:t>/20</w:t>
            </w:r>
            <w:r>
              <w:rPr>
                <w:b/>
                <w:i/>
              </w:rPr>
              <w:t>20</w:t>
            </w:r>
            <w:r>
              <w:rPr>
                <w:b/>
                <w:i/>
              </w:rPr>
              <w:t>)</w:t>
            </w:r>
          </w:p>
          <w:p w14:paraId="1C424167" w14:textId="77777777" w:rsidR="00CD09EC" w:rsidRPr="00CD09EC" w:rsidRDefault="00CD09EC" w:rsidP="00CD09EC">
            <w:pPr>
              <w:numPr>
                <w:ilvl w:val="0"/>
                <w:numId w:val="1"/>
              </w:numPr>
              <w:tabs>
                <w:tab w:val="clear" w:pos="720"/>
                <w:tab w:val="num" w:pos="308"/>
              </w:tabs>
              <w:ind w:left="308" w:hanging="308"/>
              <w:jc w:val="both"/>
              <w:rPr>
                <w:sz w:val="20"/>
                <w:lang w:val="en-GB"/>
              </w:rPr>
            </w:pPr>
            <w:r w:rsidRPr="00CD09EC">
              <w:rPr>
                <w:sz w:val="20"/>
                <w:lang w:val="en-GB"/>
              </w:rPr>
              <w:t>replacing the existing factor in paragraph 9(6)(g) concerning 'taking an immune checkpoint inhibitor or a</w:t>
            </w:r>
            <w:bookmarkStart w:id="0" w:name="_GoBack"/>
            <w:bookmarkEnd w:id="0"/>
            <w:r w:rsidRPr="00CD09EC">
              <w:rPr>
                <w:sz w:val="20"/>
                <w:lang w:val="en-GB"/>
              </w:rPr>
              <w:t>n interferon', for clinical onset of type 1 diabetes mellitus;</w:t>
            </w:r>
          </w:p>
          <w:p w14:paraId="34D3CEF5" w14:textId="77777777" w:rsidR="00CD09EC" w:rsidRPr="00CD09EC" w:rsidRDefault="00CD09EC" w:rsidP="00CD09EC">
            <w:pPr>
              <w:numPr>
                <w:ilvl w:val="0"/>
                <w:numId w:val="1"/>
              </w:numPr>
              <w:tabs>
                <w:tab w:val="clear" w:pos="720"/>
                <w:tab w:val="num" w:pos="308"/>
              </w:tabs>
              <w:ind w:left="308" w:hanging="308"/>
              <w:jc w:val="both"/>
              <w:rPr>
                <w:sz w:val="20"/>
                <w:lang w:val="en-GB"/>
              </w:rPr>
            </w:pPr>
            <w:r w:rsidRPr="00CD09EC">
              <w:rPr>
                <w:sz w:val="20"/>
                <w:lang w:val="en-GB"/>
              </w:rPr>
              <w:t>revising the existing factor in paragraph 9(6)(h) concerning 'having infection with a Coxsackie B virus', for clinical onset of type 1 diabetes only;</w:t>
            </w:r>
          </w:p>
          <w:p w14:paraId="3CB74BDF" w14:textId="77777777" w:rsidR="00CD09EC" w:rsidRPr="00CD09EC" w:rsidRDefault="00CD09EC" w:rsidP="00CD09EC">
            <w:pPr>
              <w:numPr>
                <w:ilvl w:val="0"/>
                <w:numId w:val="1"/>
              </w:numPr>
              <w:tabs>
                <w:tab w:val="clear" w:pos="720"/>
                <w:tab w:val="num" w:pos="308"/>
              </w:tabs>
              <w:ind w:left="308" w:hanging="308"/>
              <w:jc w:val="both"/>
              <w:rPr>
                <w:sz w:val="20"/>
                <w:lang w:val="en-GB"/>
              </w:rPr>
            </w:pPr>
            <w:r w:rsidRPr="00CD09EC">
              <w:rPr>
                <w:sz w:val="20"/>
                <w:lang w:val="en-GB"/>
              </w:rPr>
              <w:t>inserting a new factor in subsection 9(13a) concerning 'taking an immune checkpoint inhibitor or an interferon', for clinical worsening; and</w:t>
            </w:r>
          </w:p>
          <w:p w14:paraId="600F2588" w14:textId="5EE66CB2" w:rsidR="00CD09EC" w:rsidRPr="003B6F13" w:rsidRDefault="00CD09EC" w:rsidP="00CD09EC">
            <w:pPr>
              <w:numPr>
                <w:ilvl w:val="0"/>
                <w:numId w:val="1"/>
              </w:numPr>
              <w:tabs>
                <w:tab w:val="clear" w:pos="720"/>
                <w:tab w:val="num" w:pos="308"/>
              </w:tabs>
              <w:spacing w:after="60"/>
              <w:ind w:left="306" w:hanging="306"/>
              <w:jc w:val="both"/>
              <w:rPr>
                <w:sz w:val="20"/>
                <w:lang w:val="en-GB"/>
              </w:rPr>
            </w:pPr>
            <w:proofErr w:type="gramStart"/>
            <w:r w:rsidRPr="00CD09EC">
              <w:rPr>
                <w:sz w:val="20"/>
                <w:lang w:val="en-GB"/>
              </w:rPr>
              <w:t>deleting</w:t>
            </w:r>
            <w:proofErr w:type="gramEnd"/>
            <w:r w:rsidRPr="00CD09EC">
              <w:rPr>
                <w:sz w:val="20"/>
                <w:lang w:val="en-GB"/>
              </w:rPr>
              <w:t xml:space="preserve"> the definition of 'having infection with a Coxsackie B virus' in Schedule 1 - Dictionary</w:t>
            </w:r>
            <w:r w:rsidRPr="003B6F13">
              <w:rPr>
                <w:sz w:val="20"/>
              </w:rPr>
              <w:t>.</w:t>
            </w:r>
          </w:p>
          <w:p w14:paraId="401FC4E6" w14:textId="3291AAD9" w:rsidR="00CD09EC" w:rsidRDefault="00CD09EC" w:rsidP="00CD09EC">
            <w:pPr>
              <w:pStyle w:val="BodyText"/>
              <w:tabs>
                <w:tab w:val="left" w:pos="6753"/>
              </w:tabs>
              <w:spacing w:before="60" w:after="60"/>
              <w:ind w:right="34"/>
              <w:jc w:val="both"/>
              <w:rPr>
                <w:b/>
                <w:i/>
              </w:rPr>
            </w:pPr>
            <w:r w:rsidRPr="001B31C5">
              <w:rPr>
                <w:b/>
                <w:i/>
              </w:rPr>
              <w:t xml:space="preserve">For </w:t>
            </w:r>
            <w:proofErr w:type="spellStart"/>
            <w:r>
              <w:rPr>
                <w:b/>
                <w:i/>
              </w:rPr>
              <w:t>BoP</w:t>
            </w:r>
            <w:proofErr w:type="spellEnd"/>
            <w:r>
              <w:rPr>
                <w:b/>
                <w:i/>
              </w:rPr>
              <w:t xml:space="preserve"> </w:t>
            </w:r>
            <w:proofErr w:type="spellStart"/>
            <w:r>
              <w:rPr>
                <w:b/>
                <w:i/>
              </w:rPr>
              <w:t>SoP</w:t>
            </w:r>
            <w:proofErr w:type="spellEnd"/>
            <w:r>
              <w:rPr>
                <w:b/>
                <w:i/>
              </w:rPr>
              <w:t xml:space="preserve"> (</w:t>
            </w:r>
            <w:r w:rsidRPr="001B31C5">
              <w:rPr>
                <w:b/>
                <w:i/>
              </w:rPr>
              <w:t xml:space="preserve">Instrument No. </w:t>
            </w:r>
            <w:r>
              <w:rPr>
                <w:b/>
                <w:i/>
              </w:rPr>
              <w:t>49</w:t>
            </w:r>
            <w:r w:rsidRPr="001B31C5">
              <w:rPr>
                <w:b/>
                <w:i/>
              </w:rPr>
              <w:t>/20</w:t>
            </w:r>
            <w:r>
              <w:rPr>
                <w:b/>
                <w:i/>
              </w:rPr>
              <w:t>20</w:t>
            </w:r>
            <w:r>
              <w:rPr>
                <w:b/>
                <w:i/>
              </w:rPr>
              <w:t>)</w:t>
            </w:r>
          </w:p>
          <w:p w14:paraId="60F13B26" w14:textId="77777777" w:rsidR="00CD09EC" w:rsidRPr="00CD09EC" w:rsidRDefault="00CD09EC" w:rsidP="00CD09EC">
            <w:pPr>
              <w:numPr>
                <w:ilvl w:val="0"/>
                <w:numId w:val="1"/>
              </w:numPr>
              <w:tabs>
                <w:tab w:val="clear" w:pos="720"/>
                <w:tab w:val="num" w:pos="308"/>
              </w:tabs>
              <w:ind w:left="308" w:hanging="308"/>
              <w:jc w:val="both"/>
              <w:rPr>
                <w:sz w:val="20"/>
                <w:lang w:val="en-GB"/>
              </w:rPr>
            </w:pPr>
            <w:r w:rsidRPr="00CD09EC">
              <w:rPr>
                <w:sz w:val="20"/>
                <w:lang w:val="en-GB"/>
              </w:rPr>
              <w:t>replacing the existing factor in paragraph 9(6)(e) concerning 'taking an immune checkpoint inhibitor or an interferon', for clinical onset of type 1 diabetes mellitus; and</w:t>
            </w:r>
          </w:p>
          <w:p w14:paraId="1DD17403" w14:textId="21771DA3" w:rsidR="00CD09EC" w:rsidRPr="003B6F13" w:rsidRDefault="00CD09EC" w:rsidP="00CD09EC">
            <w:pPr>
              <w:numPr>
                <w:ilvl w:val="0"/>
                <w:numId w:val="1"/>
              </w:numPr>
              <w:tabs>
                <w:tab w:val="clear" w:pos="720"/>
                <w:tab w:val="num" w:pos="308"/>
              </w:tabs>
              <w:spacing w:after="60"/>
              <w:ind w:left="306" w:hanging="306"/>
              <w:jc w:val="both"/>
              <w:rPr>
                <w:sz w:val="20"/>
                <w:lang w:val="en-GB"/>
              </w:rPr>
            </w:pPr>
            <w:proofErr w:type="gramStart"/>
            <w:r w:rsidRPr="00CD09EC">
              <w:rPr>
                <w:sz w:val="20"/>
                <w:lang w:val="en-GB"/>
              </w:rPr>
              <w:t>inserting</w:t>
            </w:r>
            <w:proofErr w:type="gramEnd"/>
            <w:r w:rsidRPr="00CD09EC">
              <w:rPr>
                <w:sz w:val="20"/>
                <w:lang w:val="en-GB"/>
              </w:rPr>
              <w:t xml:space="preserve"> a new factor in subsection 9(13a) concerning 'taking an immune checkpoint inhibitor or an interferon', for clinical worsening</w:t>
            </w:r>
            <w:r w:rsidRPr="00D11DEE">
              <w:rPr>
                <w:sz w:val="20"/>
                <w:lang w:val="en-GB"/>
              </w:rPr>
              <w:t>.</w:t>
            </w:r>
          </w:p>
          <w:p w14:paraId="28F34164" w14:textId="5B7121F0" w:rsidR="00D11DEE" w:rsidRPr="00A00923" w:rsidRDefault="00CD09EC" w:rsidP="00CD09EC">
            <w:pPr>
              <w:pStyle w:val="BodyText"/>
              <w:spacing w:after="60"/>
              <w:ind w:left="34" w:right="272"/>
              <w:rPr>
                <w:b/>
              </w:rPr>
            </w:pPr>
            <w:r w:rsidRPr="00A00923">
              <w:rPr>
                <w:b/>
              </w:rPr>
              <w:t>The determining of th</w:t>
            </w:r>
            <w:r>
              <w:rPr>
                <w:b/>
              </w:rPr>
              <w:t>ese</w:t>
            </w:r>
            <w:r w:rsidRPr="00A00923">
              <w:rPr>
                <w:b/>
              </w:rPr>
              <w:t xml:space="preserve"> Instrument</w:t>
            </w:r>
            <w:r>
              <w:rPr>
                <w:b/>
              </w:rPr>
              <w:t>s</w:t>
            </w:r>
            <w:r w:rsidRPr="00A00923">
              <w:rPr>
                <w:b/>
              </w:rPr>
              <w:t xml:space="preserve"> </w:t>
            </w:r>
            <w:r w:rsidRPr="00D926C3">
              <w:rPr>
                <w:b/>
              </w:rPr>
              <w:t>finalises the investigation</w:t>
            </w:r>
            <w:r>
              <w:rPr>
                <w:b/>
              </w:rPr>
              <w:t>s</w:t>
            </w:r>
            <w:r w:rsidRPr="00D926C3">
              <w:rPr>
                <w:b/>
              </w:rPr>
              <w:t xml:space="preserve"> in relation to </w:t>
            </w:r>
            <w:r>
              <w:rPr>
                <w:b/>
                <w:i/>
              </w:rPr>
              <w:t>diabetes mellitus</w:t>
            </w:r>
            <w:r w:rsidRPr="00D926C3">
              <w:rPr>
                <w:b/>
              </w:rPr>
              <w:t xml:space="preserve"> as advertised in the Government Notices Gazette of </w:t>
            </w:r>
            <w:r>
              <w:rPr>
                <w:b/>
              </w:rPr>
              <w:t>9 March</w:t>
            </w:r>
            <w:r w:rsidRPr="00D926C3">
              <w:rPr>
                <w:b/>
              </w:rPr>
              <w:t xml:space="preserve"> 2021</w:t>
            </w:r>
            <w:r>
              <w:rPr>
                <w:b/>
              </w:rPr>
              <w:t xml:space="preserve"> and 6 April 2021</w:t>
            </w:r>
            <w:r w:rsidRPr="00A00923">
              <w:rPr>
                <w:b/>
              </w:rPr>
              <w:t>.</w:t>
            </w:r>
          </w:p>
        </w:tc>
      </w:tr>
    </w:tbl>
    <w:p w14:paraId="7EB96880" w14:textId="77777777" w:rsidR="00705897" w:rsidRPr="00A92676"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A92676" w:rsidSect="00046BC0">
      <w:footerReference w:type="even" r:id="rId11"/>
      <w:footerReference w:type="default" r:id="rId12"/>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2A8D" w14:textId="77777777" w:rsidR="00910007" w:rsidRDefault="00910007">
      <w:r>
        <w:separator/>
      </w:r>
    </w:p>
  </w:endnote>
  <w:endnote w:type="continuationSeparator" w:id="0">
    <w:p w14:paraId="71F868C2" w14:textId="77777777" w:rsidR="00910007" w:rsidRDefault="0091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910007" w:rsidRDefault="00910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910007" w:rsidRDefault="00910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910007" w:rsidRDefault="00910007">
    <w:pPr>
      <w:pStyle w:val="Footer"/>
      <w:framePr w:wrap="around" w:vAnchor="text" w:hAnchor="margin" w:xAlign="right" w:y="1"/>
      <w:rPr>
        <w:rStyle w:val="PageNumber"/>
      </w:rPr>
    </w:pPr>
  </w:p>
  <w:p w14:paraId="6FE11B55" w14:textId="70AEF1FF" w:rsidR="00910007" w:rsidRDefault="00910007">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CD09EC">
      <w:rPr>
        <w:rStyle w:val="PageNumber"/>
        <w:noProof/>
        <w:sz w:val="16"/>
        <w:szCs w:val="16"/>
      </w:rPr>
      <w:t>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CD09EC">
      <w:rPr>
        <w:rStyle w:val="PageNumber"/>
        <w:noProof/>
        <w:sz w:val="16"/>
        <w:szCs w:val="16"/>
      </w:rPr>
      <w:t>4</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E0" w14:textId="77777777" w:rsidR="00910007" w:rsidRDefault="00910007">
      <w:r>
        <w:separator/>
      </w:r>
    </w:p>
  </w:footnote>
  <w:footnote w:type="continuationSeparator" w:id="0">
    <w:p w14:paraId="6D04CD66" w14:textId="77777777" w:rsidR="00910007" w:rsidRDefault="0091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F694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047104"/>
    <w:multiLevelType w:val="singleLevel"/>
    <w:tmpl w:val="51EEA730"/>
    <w:lvl w:ilvl="0">
      <w:start w:val="1"/>
      <w:numFmt w:val="bullet"/>
      <w:lvlText w:val=""/>
      <w:lvlJc w:val="left"/>
      <w:pPr>
        <w:tabs>
          <w:tab w:val="num" w:pos="720"/>
        </w:tabs>
        <w:ind w:left="720" w:hanging="360"/>
      </w:pPr>
      <w:rPr>
        <w:rFonts w:ascii="Symbol" w:hAnsi="Symbol" w:hint="default"/>
        <w:sz w:val="20"/>
        <w:szCs w:val="20"/>
      </w:rPr>
    </w:lvl>
  </w:abstractNum>
  <w:abstractNum w:abstractNumId="2"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5A6F"/>
    <w:rsid w:val="00046BC0"/>
    <w:rsid w:val="000476EA"/>
    <w:rsid w:val="00056496"/>
    <w:rsid w:val="00056AD5"/>
    <w:rsid w:val="00056FDE"/>
    <w:rsid w:val="00061463"/>
    <w:rsid w:val="000659B1"/>
    <w:rsid w:val="000703B6"/>
    <w:rsid w:val="00075AC6"/>
    <w:rsid w:val="00077B12"/>
    <w:rsid w:val="000858B4"/>
    <w:rsid w:val="000870E2"/>
    <w:rsid w:val="000910A4"/>
    <w:rsid w:val="000911E3"/>
    <w:rsid w:val="00091719"/>
    <w:rsid w:val="00095E81"/>
    <w:rsid w:val="00096226"/>
    <w:rsid w:val="00096A45"/>
    <w:rsid w:val="00097D55"/>
    <w:rsid w:val="000A10D1"/>
    <w:rsid w:val="000A10DE"/>
    <w:rsid w:val="000A3F2B"/>
    <w:rsid w:val="000B27C3"/>
    <w:rsid w:val="000C362A"/>
    <w:rsid w:val="000C58FF"/>
    <w:rsid w:val="000C68A0"/>
    <w:rsid w:val="000C7132"/>
    <w:rsid w:val="000D4E94"/>
    <w:rsid w:val="000D5DB1"/>
    <w:rsid w:val="000E1869"/>
    <w:rsid w:val="000E4174"/>
    <w:rsid w:val="000E4DEF"/>
    <w:rsid w:val="000E7744"/>
    <w:rsid w:val="000F589C"/>
    <w:rsid w:val="000F6397"/>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4EC4"/>
    <w:rsid w:val="00155A84"/>
    <w:rsid w:val="00162CE4"/>
    <w:rsid w:val="00167B4D"/>
    <w:rsid w:val="00170C4E"/>
    <w:rsid w:val="00174E0F"/>
    <w:rsid w:val="00182314"/>
    <w:rsid w:val="001848A1"/>
    <w:rsid w:val="00191676"/>
    <w:rsid w:val="00196A4A"/>
    <w:rsid w:val="00197F92"/>
    <w:rsid w:val="001A1546"/>
    <w:rsid w:val="001A30F3"/>
    <w:rsid w:val="001A417B"/>
    <w:rsid w:val="001A68B8"/>
    <w:rsid w:val="001A78B4"/>
    <w:rsid w:val="001B1B5D"/>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AED"/>
    <w:rsid w:val="001E5BC7"/>
    <w:rsid w:val="001E676D"/>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2918"/>
    <w:rsid w:val="002273F1"/>
    <w:rsid w:val="0023135A"/>
    <w:rsid w:val="00236278"/>
    <w:rsid w:val="002375CC"/>
    <w:rsid w:val="00240F71"/>
    <w:rsid w:val="0024289C"/>
    <w:rsid w:val="00243AA1"/>
    <w:rsid w:val="00244B31"/>
    <w:rsid w:val="002469F2"/>
    <w:rsid w:val="00252D35"/>
    <w:rsid w:val="002546A6"/>
    <w:rsid w:val="00257785"/>
    <w:rsid w:val="0026085E"/>
    <w:rsid w:val="0026282F"/>
    <w:rsid w:val="0026679F"/>
    <w:rsid w:val="00271AD1"/>
    <w:rsid w:val="00275D29"/>
    <w:rsid w:val="00275EEF"/>
    <w:rsid w:val="00276E92"/>
    <w:rsid w:val="002814C7"/>
    <w:rsid w:val="00282756"/>
    <w:rsid w:val="0028335B"/>
    <w:rsid w:val="00285993"/>
    <w:rsid w:val="0028740F"/>
    <w:rsid w:val="002919AC"/>
    <w:rsid w:val="002924B3"/>
    <w:rsid w:val="002925E7"/>
    <w:rsid w:val="002A5455"/>
    <w:rsid w:val="002B2E1F"/>
    <w:rsid w:val="002B3FDD"/>
    <w:rsid w:val="002C03BC"/>
    <w:rsid w:val="002C21CA"/>
    <w:rsid w:val="002C3145"/>
    <w:rsid w:val="002C5EE6"/>
    <w:rsid w:val="002E0408"/>
    <w:rsid w:val="002E15D1"/>
    <w:rsid w:val="002E1723"/>
    <w:rsid w:val="002E4479"/>
    <w:rsid w:val="002E64B2"/>
    <w:rsid w:val="003000E4"/>
    <w:rsid w:val="00303672"/>
    <w:rsid w:val="003045E2"/>
    <w:rsid w:val="003054F9"/>
    <w:rsid w:val="00305686"/>
    <w:rsid w:val="00305A79"/>
    <w:rsid w:val="003101BA"/>
    <w:rsid w:val="00311E5C"/>
    <w:rsid w:val="003167DA"/>
    <w:rsid w:val="00317403"/>
    <w:rsid w:val="003175F7"/>
    <w:rsid w:val="003213E2"/>
    <w:rsid w:val="0032148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75E23"/>
    <w:rsid w:val="003810FC"/>
    <w:rsid w:val="00381A3C"/>
    <w:rsid w:val="003855E9"/>
    <w:rsid w:val="003908EE"/>
    <w:rsid w:val="00392F78"/>
    <w:rsid w:val="003A0EDD"/>
    <w:rsid w:val="003A18BF"/>
    <w:rsid w:val="003A3ECF"/>
    <w:rsid w:val="003A578C"/>
    <w:rsid w:val="003B06D3"/>
    <w:rsid w:val="003B1BB8"/>
    <w:rsid w:val="003B495C"/>
    <w:rsid w:val="003B6F13"/>
    <w:rsid w:val="003C1413"/>
    <w:rsid w:val="003C3A92"/>
    <w:rsid w:val="003C42EE"/>
    <w:rsid w:val="003D0783"/>
    <w:rsid w:val="003D60B8"/>
    <w:rsid w:val="003D6698"/>
    <w:rsid w:val="003E1837"/>
    <w:rsid w:val="003E1E3C"/>
    <w:rsid w:val="003E23EA"/>
    <w:rsid w:val="003E4825"/>
    <w:rsid w:val="003E65E7"/>
    <w:rsid w:val="003E6746"/>
    <w:rsid w:val="003F32B2"/>
    <w:rsid w:val="003F7437"/>
    <w:rsid w:val="00401FC6"/>
    <w:rsid w:val="00402481"/>
    <w:rsid w:val="00403239"/>
    <w:rsid w:val="00405793"/>
    <w:rsid w:val="00405AC5"/>
    <w:rsid w:val="004079C3"/>
    <w:rsid w:val="00407CB8"/>
    <w:rsid w:val="004108EE"/>
    <w:rsid w:val="004111B9"/>
    <w:rsid w:val="00411343"/>
    <w:rsid w:val="004133C2"/>
    <w:rsid w:val="0041348F"/>
    <w:rsid w:val="0041602D"/>
    <w:rsid w:val="00416E1B"/>
    <w:rsid w:val="00424AD7"/>
    <w:rsid w:val="004347E1"/>
    <w:rsid w:val="00434A2A"/>
    <w:rsid w:val="00435E37"/>
    <w:rsid w:val="00440DA9"/>
    <w:rsid w:val="00442CBB"/>
    <w:rsid w:val="004439A8"/>
    <w:rsid w:val="0044487E"/>
    <w:rsid w:val="00447D76"/>
    <w:rsid w:val="00453419"/>
    <w:rsid w:val="00453710"/>
    <w:rsid w:val="00454821"/>
    <w:rsid w:val="004669F2"/>
    <w:rsid w:val="004717B1"/>
    <w:rsid w:val="00473F0A"/>
    <w:rsid w:val="004747C1"/>
    <w:rsid w:val="004755B9"/>
    <w:rsid w:val="004762AD"/>
    <w:rsid w:val="00480004"/>
    <w:rsid w:val="0048027A"/>
    <w:rsid w:val="0048426D"/>
    <w:rsid w:val="00484C2B"/>
    <w:rsid w:val="00485E1E"/>
    <w:rsid w:val="00486590"/>
    <w:rsid w:val="00493433"/>
    <w:rsid w:val="004964AB"/>
    <w:rsid w:val="004A08C2"/>
    <w:rsid w:val="004A119A"/>
    <w:rsid w:val="004A1F8A"/>
    <w:rsid w:val="004A2969"/>
    <w:rsid w:val="004A4025"/>
    <w:rsid w:val="004A40D3"/>
    <w:rsid w:val="004A64B2"/>
    <w:rsid w:val="004A79FF"/>
    <w:rsid w:val="004B407D"/>
    <w:rsid w:val="004B7169"/>
    <w:rsid w:val="004C087A"/>
    <w:rsid w:val="004C0E5F"/>
    <w:rsid w:val="004C1B11"/>
    <w:rsid w:val="004C38CB"/>
    <w:rsid w:val="004C54D5"/>
    <w:rsid w:val="004C5886"/>
    <w:rsid w:val="004D033A"/>
    <w:rsid w:val="004D059B"/>
    <w:rsid w:val="004D632C"/>
    <w:rsid w:val="004D7CA1"/>
    <w:rsid w:val="004E00E7"/>
    <w:rsid w:val="004E6814"/>
    <w:rsid w:val="004F0E6B"/>
    <w:rsid w:val="004F109C"/>
    <w:rsid w:val="004F15F4"/>
    <w:rsid w:val="004F4428"/>
    <w:rsid w:val="004F4BA0"/>
    <w:rsid w:val="004F6079"/>
    <w:rsid w:val="004F68D6"/>
    <w:rsid w:val="0050724A"/>
    <w:rsid w:val="00515703"/>
    <w:rsid w:val="00517506"/>
    <w:rsid w:val="005217A7"/>
    <w:rsid w:val="00526290"/>
    <w:rsid w:val="005272F5"/>
    <w:rsid w:val="005320D3"/>
    <w:rsid w:val="0053367B"/>
    <w:rsid w:val="00533E20"/>
    <w:rsid w:val="00536FD2"/>
    <w:rsid w:val="00537CDC"/>
    <w:rsid w:val="00542E0C"/>
    <w:rsid w:val="0054535F"/>
    <w:rsid w:val="0054538E"/>
    <w:rsid w:val="005454BF"/>
    <w:rsid w:val="00546D0C"/>
    <w:rsid w:val="00553A9B"/>
    <w:rsid w:val="0056555F"/>
    <w:rsid w:val="005711D1"/>
    <w:rsid w:val="00573043"/>
    <w:rsid w:val="00574C11"/>
    <w:rsid w:val="00580CFE"/>
    <w:rsid w:val="00584CC8"/>
    <w:rsid w:val="0058568D"/>
    <w:rsid w:val="0058615C"/>
    <w:rsid w:val="00586229"/>
    <w:rsid w:val="0058666E"/>
    <w:rsid w:val="00586726"/>
    <w:rsid w:val="005875CA"/>
    <w:rsid w:val="005903C2"/>
    <w:rsid w:val="00591828"/>
    <w:rsid w:val="00594393"/>
    <w:rsid w:val="00595C6B"/>
    <w:rsid w:val="00597273"/>
    <w:rsid w:val="00597C72"/>
    <w:rsid w:val="00597D0F"/>
    <w:rsid w:val="005A4168"/>
    <w:rsid w:val="005A6D4A"/>
    <w:rsid w:val="005B31FA"/>
    <w:rsid w:val="005B6C06"/>
    <w:rsid w:val="005C29F9"/>
    <w:rsid w:val="005C48E6"/>
    <w:rsid w:val="005C48F9"/>
    <w:rsid w:val="005C51B6"/>
    <w:rsid w:val="005C6B3F"/>
    <w:rsid w:val="005C79A9"/>
    <w:rsid w:val="005D0CE6"/>
    <w:rsid w:val="005D2320"/>
    <w:rsid w:val="005D2BD9"/>
    <w:rsid w:val="005D2C90"/>
    <w:rsid w:val="005D375D"/>
    <w:rsid w:val="005D4C2A"/>
    <w:rsid w:val="005D5463"/>
    <w:rsid w:val="005D67D4"/>
    <w:rsid w:val="005E49B2"/>
    <w:rsid w:val="005E6B82"/>
    <w:rsid w:val="005F2EAD"/>
    <w:rsid w:val="005F3937"/>
    <w:rsid w:val="005F60B6"/>
    <w:rsid w:val="00605651"/>
    <w:rsid w:val="006076A6"/>
    <w:rsid w:val="00611829"/>
    <w:rsid w:val="0061700A"/>
    <w:rsid w:val="0062480A"/>
    <w:rsid w:val="00625847"/>
    <w:rsid w:val="00632B7A"/>
    <w:rsid w:val="00640A93"/>
    <w:rsid w:val="0064194F"/>
    <w:rsid w:val="006426E1"/>
    <w:rsid w:val="00642904"/>
    <w:rsid w:val="00647664"/>
    <w:rsid w:val="00652316"/>
    <w:rsid w:val="006558C5"/>
    <w:rsid w:val="0066235F"/>
    <w:rsid w:val="00687EA7"/>
    <w:rsid w:val="00694850"/>
    <w:rsid w:val="006952B9"/>
    <w:rsid w:val="00695A0D"/>
    <w:rsid w:val="006A3CB2"/>
    <w:rsid w:val="006A58DD"/>
    <w:rsid w:val="006B26EA"/>
    <w:rsid w:val="006B2F25"/>
    <w:rsid w:val="006B355C"/>
    <w:rsid w:val="006B573A"/>
    <w:rsid w:val="006C180B"/>
    <w:rsid w:val="006C221D"/>
    <w:rsid w:val="006C36B8"/>
    <w:rsid w:val="006C6F65"/>
    <w:rsid w:val="006D3625"/>
    <w:rsid w:val="006E1180"/>
    <w:rsid w:val="006E1F2D"/>
    <w:rsid w:val="006E3D68"/>
    <w:rsid w:val="006E6667"/>
    <w:rsid w:val="006F19D6"/>
    <w:rsid w:val="006F3CE4"/>
    <w:rsid w:val="006F3E19"/>
    <w:rsid w:val="006F4C7C"/>
    <w:rsid w:val="006F7672"/>
    <w:rsid w:val="0070306F"/>
    <w:rsid w:val="007033C1"/>
    <w:rsid w:val="00705897"/>
    <w:rsid w:val="00705CCB"/>
    <w:rsid w:val="007122E3"/>
    <w:rsid w:val="007155A5"/>
    <w:rsid w:val="007204A7"/>
    <w:rsid w:val="00720C74"/>
    <w:rsid w:val="00723B41"/>
    <w:rsid w:val="00726C5A"/>
    <w:rsid w:val="007278CC"/>
    <w:rsid w:val="0073248F"/>
    <w:rsid w:val="007340A3"/>
    <w:rsid w:val="007356A5"/>
    <w:rsid w:val="007414C8"/>
    <w:rsid w:val="00742216"/>
    <w:rsid w:val="007443AC"/>
    <w:rsid w:val="00744EEC"/>
    <w:rsid w:val="007477AE"/>
    <w:rsid w:val="00751BCC"/>
    <w:rsid w:val="00752893"/>
    <w:rsid w:val="007571D6"/>
    <w:rsid w:val="00761EDB"/>
    <w:rsid w:val="007629F4"/>
    <w:rsid w:val="00766FED"/>
    <w:rsid w:val="007718C2"/>
    <w:rsid w:val="00772F5D"/>
    <w:rsid w:val="00773FEF"/>
    <w:rsid w:val="007800D1"/>
    <w:rsid w:val="007803DD"/>
    <w:rsid w:val="007935DE"/>
    <w:rsid w:val="00797E9A"/>
    <w:rsid w:val="007A39E1"/>
    <w:rsid w:val="007A5232"/>
    <w:rsid w:val="007A6D9D"/>
    <w:rsid w:val="007B1F16"/>
    <w:rsid w:val="007B25EC"/>
    <w:rsid w:val="007B454D"/>
    <w:rsid w:val="007C098B"/>
    <w:rsid w:val="007C1C18"/>
    <w:rsid w:val="007C753D"/>
    <w:rsid w:val="007D6658"/>
    <w:rsid w:val="007D69E7"/>
    <w:rsid w:val="007E1AB5"/>
    <w:rsid w:val="007E2F9C"/>
    <w:rsid w:val="007E3905"/>
    <w:rsid w:val="007E6E49"/>
    <w:rsid w:val="007F294A"/>
    <w:rsid w:val="0080326C"/>
    <w:rsid w:val="00804993"/>
    <w:rsid w:val="0080510B"/>
    <w:rsid w:val="008069F5"/>
    <w:rsid w:val="00807DB4"/>
    <w:rsid w:val="00812B7B"/>
    <w:rsid w:val="00812EF7"/>
    <w:rsid w:val="00813AE9"/>
    <w:rsid w:val="00815FBB"/>
    <w:rsid w:val="0082062E"/>
    <w:rsid w:val="008274E5"/>
    <w:rsid w:val="00830FB8"/>
    <w:rsid w:val="00834B76"/>
    <w:rsid w:val="008464E6"/>
    <w:rsid w:val="00847749"/>
    <w:rsid w:val="0085113D"/>
    <w:rsid w:val="00852FE0"/>
    <w:rsid w:val="00853BCE"/>
    <w:rsid w:val="00854491"/>
    <w:rsid w:val="008545BE"/>
    <w:rsid w:val="00857C1C"/>
    <w:rsid w:val="00860CEE"/>
    <w:rsid w:val="008624E3"/>
    <w:rsid w:val="0086328E"/>
    <w:rsid w:val="00863A4C"/>
    <w:rsid w:val="008700C2"/>
    <w:rsid w:val="00870747"/>
    <w:rsid w:val="00872C0D"/>
    <w:rsid w:val="00876FB6"/>
    <w:rsid w:val="00877886"/>
    <w:rsid w:val="00880280"/>
    <w:rsid w:val="00881B88"/>
    <w:rsid w:val="00882ABA"/>
    <w:rsid w:val="0088710F"/>
    <w:rsid w:val="00887B1C"/>
    <w:rsid w:val="00887C9E"/>
    <w:rsid w:val="00890D56"/>
    <w:rsid w:val="00891C9B"/>
    <w:rsid w:val="00892B3B"/>
    <w:rsid w:val="0089374A"/>
    <w:rsid w:val="008943A8"/>
    <w:rsid w:val="00897A14"/>
    <w:rsid w:val="008A32D5"/>
    <w:rsid w:val="008B165A"/>
    <w:rsid w:val="008B4715"/>
    <w:rsid w:val="008C1A2B"/>
    <w:rsid w:val="008C2396"/>
    <w:rsid w:val="008C3EF9"/>
    <w:rsid w:val="008C41D6"/>
    <w:rsid w:val="008C4BA6"/>
    <w:rsid w:val="008E2D20"/>
    <w:rsid w:val="008F36E2"/>
    <w:rsid w:val="008F555D"/>
    <w:rsid w:val="009010EE"/>
    <w:rsid w:val="00901104"/>
    <w:rsid w:val="009027A0"/>
    <w:rsid w:val="0090304E"/>
    <w:rsid w:val="00904B10"/>
    <w:rsid w:val="00905545"/>
    <w:rsid w:val="0090566D"/>
    <w:rsid w:val="00910007"/>
    <w:rsid w:val="0091279A"/>
    <w:rsid w:val="00912D9C"/>
    <w:rsid w:val="00914C40"/>
    <w:rsid w:val="009176D7"/>
    <w:rsid w:val="0092223C"/>
    <w:rsid w:val="009271E7"/>
    <w:rsid w:val="00930E67"/>
    <w:rsid w:val="00931D3C"/>
    <w:rsid w:val="00943882"/>
    <w:rsid w:val="00953055"/>
    <w:rsid w:val="0095580C"/>
    <w:rsid w:val="00965508"/>
    <w:rsid w:val="0096638E"/>
    <w:rsid w:val="00966D63"/>
    <w:rsid w:val="00972462"/>
    <w:rsid w:val="009741B2"/>
    <w:rsid w:val="00974E24"/>
    <w:rsid w:val="00975CF9"/>
    <w:rsid w:val="0098194E"/>
    <w:rsid w:val="00984799"/>
    <w:rsid w:val="00985155"/>
    <w:rsid w:val="009929DD"/>
    <w:rsid w:val="009935AA"/>
    <w:rsid w:val="0099374E"/>
    <w:rsid w:val="009959E5"/>
    <w:rsid w:val="009A5E41"/>
    <w:rsid w:val="009B0D88"/>
    <w:rsid w:val="009B53A2"/>
    <w:rsid w:val="009B6352"/>
    <w:rsid w:val="009C12BE"/>
    <w:rsid w:val="009D1C93"/>
    <w:rsid w:val="009D4D22"/>
    <w:rsid w:val="009E529D"/>
    <w:rsid w:val="009E5D11"/>
    <w:rsid w:val="009F18BA"/>
    <w:rsid w:val="009F61B7"/>
    <w:rsid w:val="009F7CAD"/>
    <w:rsid w:val="00A00923"/>
    <w:rsid w:val="00A03580"/>
    <w:rsid w:val="00A04271"/>
    <w:rsid w:val="00A06826"/>
    <w:rsid w:val="00A12DEF"/>
    <w:rsid w:val="00A16F94"/>
    <w:rsid w:val="00A2228B"/>
    <w:rsid w:val="00A30237"/>
    <w:rsid w:val="00A34C3C"/>
    <w:rsid w:val="00A3569F"/>
    <w:rsid w:val="00A376D2"/>
    <w:rsid w:val="00A41AE1"/>
    <w:rsid w:val="00A463CB"/>
    <w:rsid w:val="00A54709"/>
    <w:rsid w:val="00A551AC"/>
    <w:rsid w:val="00A5522B"/>
    <w:rsid w:val="00A57480"/>
    <w:rsid w:val="00A63FDF"/>
    <w:rsid w:val="00A64C8E"/>
    <w:rsid w:val="00A73805"/>
    <w:rsid w:val="00A7423F"/>
    <w:rsid w:val="00A812AC"/>
    <w:rsid w:val="00A876D4"/>
    <w:rsid w:val="00A9200E"/>
    <w:rsid w:val="00A92676"/>
    <w:rsid w:val="00A94532"/>
    <w:rsid w:val="00A95608"/>
    <w:rsid w:val="00A95B5D"/>
    <w:rsid w:val="00A95F00"/>
    <w:rsid w:val="00AA1792"/>
    <w:rsid w:val="00AA315B"/>
    <w:rsid w:val="00AA5238"/>
    <w:rsid w:val="00AB3052"/>
    <w:rsid w:val="00AB4482"/>
    <w:rsid w:val="00AB4B98"/>
    <w:rsid w:val="00AB68B5"/>
    <w:rsid w:val="00AC0E6C"/>
    <w:rsid w:val="00AC2205"/>
    <w:rsid w:val="00AC2888"/>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2FE9"/>
    <w:rsid w:val="00B23DE0"/>
    <w:rsid w:val="00B2575D"/>
    <w:rsid w:val="00B264D8"/>
    <w:rsid w:val="00B329B5"/>
    <w:rsid w:val="00B330AA"/>
    <w:rsid w:val="00B34550"/>
    <w:rsid w:val="00B40633"/>
    <w:rsid w:val="00B408EE"/>
    <w:rsid w:val="00B452A2"/>
    <w:rsid w:val="00B507A5"/>
    <w:rsid w:val="00B53D19"/>
    <w:rsid w:val="00B56D13"/>
    <w:rsid w:val="00B60D70"/>
    <w:rsid w:val="00B62B3E"/>
    <w:rsid w:val="00B65304"/>
    <w:rsid w:val="00B66441"/>
    <w:rsid w:val="00B70CAA"/>
    <w:rsid w:val="00B76236"/>
    <w:rsid w:val="00B803B0"/>
    <w:rsid w:val="00B80718"/>
    <w:rsid w:val="00B8384B"/>
    <w:rsid w:val="00B861E3"/>
    <w:rsid w:val="00B8651E"/>
    <w:rsid w:val="00B87480"/>
    <w:rsid w:val="00B976B3"/>
    <w:rsid w:val="00BA1274"/>
    <w:rsid w:val="00BA3D91"/>
    <w:rsid w:val="00BA4E2D"/>
    <w:rsid w:val="00BB0A84"/>
    <w:rsid w:val="00BB19CE"/>
    <w:rsid w:val="00BB690D"/>
    <w:rsid w:val="00BB7038"/>
    <w:rsid w:val="00BB7B5C"/>
    <w:rsid w:val="00BC0A31"/>
    <w:rsid w:val="00BC6098"/>
    <w:rsid w:val="00BD1EE7"/>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2D33"/>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31C6"/>
    <w:rsid w:val="00C74969"/>
    <w:rsid w:val="00C80225"/>
    <w:rsid w:val="00C82602"/>
    <w:rsid w:val="00C83B61"/>
    <w:rsid w:val="00C84BC7"/>
    <w:rsid w:val="00C867EB"/>
    <w:rsid w:val="00C925E4"/>
    <w:rsid w:val="00C95605"/>
    <w:rsid w:val="00CA50C8"/>
    <w:rsid w:val="00CB0A5A"/>
    <w:rsid w:val="00CB3C1D"/>
    <w:rsid w:val="00CB55FC"/>
    <w:rsid w:val="00CB7C0C"/>
    <w:rsid w:val="00CC27FB"/>
    <w:rsid w:val="00CC61F1"/>
    <w:rsid w:val="00CD09EC"/>
    <w:rsid w:val="00CD0AC1"/>
    <w:rsid w:val="00CD223F"/>
    <w:rsid w:val="00CD4020"/>
    <w:rsid w:val="00CD51AC"/>
    <w:rsid w:val="00CD5505"/>
    <w:rsid w:val="00CD65BE"/>
    <w:rsid w:val="00CE140D"/>
    <w:rsid w:val="00CE4E6C"/>
    <w:rsid w:val="00CE7770"/>
    <w:rsid w:val="00CE77E3"/>
    <w:rsid w:val="00CE7866"/>
    <w:rsid w:val="00CE7941"/>
    <w:rsid w:val="00CF4B95"/>
    <w:rsid w:val="00D016BD"/>
    <w:rsid w:val="00D02420"/>
    <w:rsid w:val="00D11DEE"/>
    <w:rsid w:val="00D14C11"/>
    <w:rsid w:val="00D1758E"/>
    <w:rsid w:val="00D23541"/>
    <w:rsid w:val="00D243FF"/>
    <w:rsid w:val="00D24602"/>
    <w:rsid w:val="00D3020E"/>
    <w:rsid w:val="00D31D9E"/>
    <w:rsid w:val="00D33D0C"/>
    <w:rsid w:val="00D3458F"/>
    <w:rsid w:val="00D40212"/>
    <w:rsid w:val="00D43A30"/>
    <w:rsid w:val="00D43B57"/>
    <w:rsid w:val="00D43FB9"/>
    <w:rsid w:val="00D45A5C"/>
    <w:rsid w:val="00D51401"/>
    <w:rsid w:val="00D5572B"/>
    <w:rsid w:val="00D62ED9"/>
    <w:rsid w:val="00D63954"/>
    <w:rsid w:val="00D67BDC"/>
    <w:rsid w:val="00D731BF"/>
    <w:rsid w:val="00D7698B"/>
    <w:rsid w:val="00D771CA"/>
    <w:rsid w:val="00D82C1B"/>
    <w:rsid w:val="00D84F1F"/>
    <w:rsid w:val="00D91073"/>
    <w:rsid w:val="00D915AD"/>
    <w:rsid w:val="00D926C3"/>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F2"/>
    <w:rsid w:val="00DF22AE"/>
    <w:rsid w:val="00E04147"/>
    <w:rsid w:val="00E05A30"/>
    <w:rsid w:val="00E11983"/>
    <w:rsid w:val="00E1345D"/>
    <w:rsid w:val="00E136CE"/>
    <w:rsid w:val="00E25AF1"/>
    <w:rsid w:val="00E309B9"/>
    <w:rsid w:val="00E321A8"/>
    <w:rsid w:val="00E32682"/>
    <w:rsid w:val="00E34DC5"/>
    <w:rsid w:val="00E464C2"/>
    <w:rsid w:val="00E46D7E"/>
    <w:rsid w:val="00E46EFD"/>
    <w:rsid w:val="00E4719A"/>
    <w:rsid w:val="00E47B27"/>
    <w:rsid w:val="00E50A6C"/>
    <w:rsid w:val="00E50D77"/>
    <w:rsid w:val="00E53019"/>
    <w:rsid w:val="00E600E9"/>
    <w:rsid w:val="00E6037F"/>
    <w:rsid w:val="00E709BA"/>
    <w:rsid w:val="00E75522"/>
    <w:rsid w:val="00E76C7A"/>
    <w:rsid w:val="00E85A44"/>
    <w:rsid w:val="00E96581"/>
    <w:rsid w:val="00E97C20"/>
    <w:rsid w:val="00EA33B4"/>
    <w:rsid w:val="00EA3814"/>
    <w:rsid w:val="00EB2BE5"/>
    <w:rsid w:val="00EB4F2A"/>
    <w:rsid w:val="00EB59A4"/>
    <w:rsid w:val="00EB71CC"/>
    <w:rsid w:val="00ED2F62"/>
    <w:rsid w:val="00EE0153"/>
    <w:rsid w:val="00EE03AB"/>
    <w:rsid w:val="00EE1894"/>
    <w:rsid w:val="00EE1ED2"/>
    <w:rsid w:val="00EE456A"/>
    <w:rsid w:val="00EE5AEA"/>
    <w:rsid w:val="00EF1FC7"/>
    <w:rsid w:val="00EF3D25"/>
    <w:rsid w:val="00EF6BF3"/>
    <w:rsid w:val="00F03806"/>
    <w:rsid w:val="00F0393C"/>
    <w:rsid w:val="00F050C0"/>
    <w:rsid w:val="00F30F87"/>
    <w:rsid w:val="00F32AC2"/>
    <w:rsid w:val="00F35BBF"/>
    <w:rsid w:val="00F41AE4"/>
    <w:rsid w:val="00F41E35"/>
    <w:rsid w:val="00F42569"/>
    <w:rsid w:val="00F44372"/>
    <w:rsid w:val="00F47240"/>
    <w:rsid w:val="00F47F7C"/>
    <w:rsid w:val="00F5081C"/>
    <w:rsid w:val="00F51977"/>
    <w:rsid w:val="00F53340"/>
    <w:rsid w:val="00F608A8"/>
    <w:rsid w:val="00F634B5"/>
    <w:rsid w:val="00F676DC"/>
    <w:rsid w:val="00F7201C"/>
    <w:rsid w:val="00F731B4"/>
    <w:rsid w:val="00F74D34"/>
    <w:rsid w:val="00F750C8"/>
    <w:rsid w:val="00F84748"/>
    <w:rsid w:val="00F84F5E"/>
    <w:rsid w:val="00F8500C"/>
    <w:rsid w:val="00F92CFF"/>
    <w:rsid w:val="00FA1841"/>
    <w:rsid w:val="00FA4356"/>
    <w:rsid w:val="00FB0997"/>
    <w:rsid w:val="00FB3AFE"/>
    <w:rsid w:val="00FC553B"/>
    <w:rsid w:val="00FC667A"/>
    <w:rsid w:val="00FD0D47"/>
    <w:rsid w:val="00FD18CD"/>
    <w:rsid w:val="00FD4ACE"/>
    <w:rsid w:val="00FD4F74"/>
    <w:rsid w:val="00FD4FFF"/>
    <w:rsid w:val="00FD7706"/>
    <w:rsid w:val="00FE0453"/>
    <w:rsid w:val="00FE1455"/>
    <w:rsid w:val="00FE16AD"/>
    <w:rsid w:val="00FE1CEA"/>
    <w:rsid w:val="00FE6388"/>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m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05FD-56FC-45C8-B5AC-0CC5BDCB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2021-05-28T06:16:00Z</dcterms:created>
  <dcterms:modified xsi:type="dcterms:W3CDTF">2021-06-29T23:56:00Z</dcterms:modified>
</cp:coreProperties>
</file>