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D6100B" w:rsidP="006647B7">
      <w:pPr>
        <w:pStyle w:val="Plainheader"/>
      </w:pPr>
      <w:bookmarkStart w:id="0" w:name="SoP_Name_Title"/>
      <w:r w:rsidRPr="00D6100B">
        <w:t>M</w:t>
      </w:r>
      <w:r w:rsidR="00B953CD">
        <w:t>ATURE B-CELL LYMPHOID LEUKAEMIA</w:t>
      </w:r>
      <w:r w:rsidRPr="00D6100B">
        <w:t xml:space="preserve"> AND SMALL LYMPHO</w:t>
      </w:r>
      <w:r w:rsidR="00ED3724">
        <w:t>CY</w:t>
      </w:r>
      <w:r w:rsidRPr="00D6100B">
        <w:t xml:space="preserve">TIC </w:t>
      </w:r>
      <w:proofErr w:type="gramStart"/>
      <w:r w:rsidRPr="00D6100B">
        <w:t>LYMPHOMA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62D4E">
        <w:t>79</w:t>
      </w:r>
      <w:r w:rsidRPr="00024911">
        <w:t xml:space="preserve"> of</w:t>
      </w:r>
      <w:r w:rsidR="00085567">
        <w:t xml:space="preserve"> </w:t>
      </w:r>
      <w:bookmarkStart w:id="1" w:name="year"/>
      <w:r w:rsidR="00D6100B">
        <w:t>2022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5549DB">
        <w:t>23</w:t>
      </w:r>
      <w:bookmarkStart w:id="2" w:name="_GoBack"/>
      <w:bookmarkEnd w:id="2"/>
      <w:r w:rsidR="001468A3">
        <w:t xml:space="preserve"> August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ED372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3724">
        <w:rPr>
          <w:noProof/>
        </w:rPr>
        <w:t>1</w:t>
      </w:r>
      <w:r w:rsidR="00ED372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3724">
        <w:rPr>
          <w:noProof/>
        </w:rPr>
        <w:t>Name</w:t>
      </w:r>
      <w:r w:rsidR="00ED3724">
        <w:rPr>
          <w:noProof/>
        </w:rPr>
        <w:tab/>
      </w:r>
      <w:r w:rsidR="00ED3724">
        <w:rPr>
          <w:noProof/>
        </w:rPr>
        <w:fldChar w:fldCharType="begin"/>
      </w:r>
      <w:r w:rsidR="00ED3724">
        <w:rPr>
          <w:noProof/>
        </w:rPr>
        <w:instrText xml:space="preserve"> PAGEREF _Toc109311666 \h </w:instrText>
      </w:r>
      <w:r w:rsidR="00ED3724">
        <w:rPr>
          <w:noProof/>
        </w:rPr>
      </w:r>
      <w:r w:rsidR="00ED3724">
        <w:rPr>
          <w:noProof/>
        </w:rPr>
        <w:fldChar w:fldCharType="separate"/>
      </w:r>
      <w:r w:rsidR="0088526B">
        <w:rPr>
          <w:noProof/>
        </w:rPr>
        <w:t>3</w:t>
      </w:r>
      <w:r w:rsidR="00ED3724"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_Toc109311667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3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_Toc109311668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3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_Toc109311669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3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_Toc109311670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3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_Toc109311671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3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_Toc109311672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3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_Toc109311673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4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_Toc109311674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4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_Toc109311675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4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_Toc109311676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5</w:t>
      </w:r>
      <w:r>
        <w:rPr>
          <w:noProof/>
        </w:rPr>
        <w:fldChar w:fldCharType="end"/>
      </w:r>
    </w:p>
    <w:p w:rsidR="00ED3724" w:rsidRDefault="00ED372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_Toc109311677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6</w:t>
      </w:r>
      <w:r>
        <w:rPr>
          <w:noProof/>
        </w:rPr>
        <w:fldChar w:fldCharType="end"/>
      </w:r>
    </w:p>
    <w:p w:rsidR="00ED3724" w:rsidRDefault="00ED372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_Toc109311678 \h </w:instrText>
      </w:r>
      <w:r>
        <w:rPr>
          <w:noProof/>
        </w:rPr>
      </w:r>
      <w:r>
        <w:rPr>
          <w:noProof/>
        </w:rPr>
        <w:fldChar w:fldCharType="separate"/>
      </w:r>
      <w:r w:rsidR="0088526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4" w:name="_Toc109311666"/>
      <w:r>
        <w:lastRenderedPageBreak/>
        <w:t>Name</w:t>
      </w:r>
      <w:bookmarkEnd w:id="4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8F1A97">
        <w:t>mature B</w:t>
      </w:r>
      <w:r w:rsidR="00D6100B">
        <w:t>-cell lymphoid leukaemia and small lympho</w:t>
      </w:r>
      <w:r w:rsidR="00ED3724">
        <w:t>cy</w:t>
      </w:r>
      <w:r w:rsidR="00D6100B">
        <w:t>tic lymphoma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>(No.</w:t>
      </w:r>
      <w:r w:rsidR="0088526B">
        <w:t> </w:t>
      </w:r>
      <w:r w:rsidR="00C62D4E">
        <w:t>79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468A3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7" w:name="_Toc109311667"/>
      <w:r w:rsidRPr="00684C0E">
        <w:t>Commencement</w:t>
      </w:r>
      <w:bookmarkEnd w:id="7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468A3" w:rsidRPr="001468A3">
        <w:t>19 September 2022</w:t>
      </w:r>
      <w:r w:rsidR="00F67B67" w:rsidRPr="001468A3">
        <w:t>.</w:t>
      </w:r>
    </w:p>
    <w:p w:rsidR="00F67B67" w:rsidRPr="00684C0E" w:rsidRDefault="00F67B67" w:rsidP="00472812">
      <w:pPr>
        <w:pStyle w:val="LV1"/>
      </w:pPr>
      <w:bookmarkStart w:id="8" w:name="_Toc109311668"/>
      <w:r w:rsidRPr="00684C0E">
        <w:t>Authority</w:t>
      </w:r>
      <w:bookmarkEnd w:id="8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9" w:name="_Toc109311669"/>
      <w:r>
        <w:t>Re</w:t>
      </w:r>
      <w:r w:rsidR="00681926">
        <w:t>peal</w:t>
      </w:r>
      <w:bookmarkEnd w:id="9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4B34DC">
        <w:t>chronic lymphocytic leukaemia/</w:t>
      </w:r>
      <w:r w:rsidR="00B61E59">
        <w:t>small lymphocytic lymphoma</w:t>
      </w:r>
      <w:r w:rsidR="00D6100B">
        <w:t xml:space="preserve"> No. 85 of 2014</w:t>
      </w:r>
      <w:r w:rsidR="00681926">
        <w:t xml:space="preserve"> </w:t>
      </w:r>
      <w:r w:rsidR="00681926" w:rsidRPr="00786DAE">
        <w:t>(Federal Re</w:t>
      </w:r>
      <w:r w:rsidR="00D6100B">
        <w:t>gister of Legislation No. F2014L01147</w:t>
      </w:r>
      <w:r w:rsidR="00681926" w:rsidRPr="00786DAE">
        <w:t xml:space="preserve">) </w:t>
      </w:r>
      <w:r w:rsidR="00867BF2">
        <w:t>made under subsection</w:t>
      </w:r>
      <w:r w:rsidR="00681926" w:rsidRPr="00DA3996">
        <w:t xml:space="preserve"> </w:t>
      </w:r>
      <w:proofErr w:type="gramStart"/>
      <w:r w:rsidR="00681926" w:rsidRPr="00DA3996">
        <w:t>196B(</w:t>
      </w:r>
      <w:proofErr w:type="gramEnd"/>
      <w:r w:rsidR="008452F9">
        <w:t>3</w:t>
      </w:r>
      <w:r w:rsidR="00D6100B">
        <w:t>)</w:t>
      </w:r>
      <w:r w:rsidR="00681926" w:rsidRPr="00DA3996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0" w:name="_Toc109311670"/>
      <w:r w:rsidRPr="00684C0E">
        <w:t>Application</w:t>
      </w:r>
      <w:bookmarkEnd w:id="10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1" w:name="_Ref410129949"/>
      <w:bookmarkStart w:id="12" w:name="_Toc109311671"/>
      <w:r w:rsidRPr="00684C0E">
        <w:t>Definitions</w:t>
      </w:r>
      <w:bookmarkEnd w:id="11"/>
      <w:bookmarkEnd w:id="12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0931167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72812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1468A3">
        <w:t>mature B-cell lymphoid leukaemia and small lymphocytic lymphoma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468A3">
        <w:t>mature B-cell lymphoid leukaemia and small lymphocytic lymphoma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1468A3" w:rsidRPr="001468A3">
        <w:rPr>
          <w:b/>
        </w:rPr>
        <w:t>mature B-cell lymphoid leukaemia and small lymphocytic lymphoma</w:t>
      </w:r>
    </w:p>
    <w:p w:rsidR="002716E4" w:rsidRPr="00237BAF" w:rsidRDefault="007C7DEE" w:rsidP="0047281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1468A3">
        <w:t>mature B-cell lymphoid leukaemia and small lymphocytic lymphoma</w:t>
      </w:r>
      <w:r w:rsidR="002716E4" w:rsidRPr="00237BAF">
        <w:t>:</w:t>
      </w:r>
      <w:bookmarkEnd w:id="18"/>
    </w:p>
    <w:bookmarkEnd w:id="19"/>
    <w:p w:rsidR="00D6100B" w:rsidRPr="004B1ECE" w:rsidRDefault="00D6100B" w:rsidP="00D6100B">
      <w:pPr>
        <w:pStyle w:val="LV3"/>
      </w:pPr>
      <w:r w:rsidRPr="004B1ECE">
        <w:t xml:space="preserve">means a malignant neoplasm characterised by the clonal proliferation of small morphologically mature, non-functioning lymphoid cells of B-cell origin, which can present clinically as either a leukaemia or a lymphoma; and </w:t>
      </w:r>
    </w:p>
    <w:p w:rsidR="00D6100B" w:rsidRPr="004B1ECE" w:rsidRDefault="00D6100B" w:rsidP="00D6100B">
      <w:pPr>
        <w:pStyle w:val="LV3"/>
      </w:pPr>
      <w:r w:rsidRPr="004B1ECE">
        <w:t>includes:</w:t>
      </w:r>
    </w:p>
    <w:p w:rsidR="00D6100B" w:rsidRPr="004B1ECE" w:rsidRDefault="00D6100B" w:rsidP="00D6100B">
      <w:pPr>
        <w:pStyle w:val="LV4"/>
      </w:pPr>
      <w:r w:rsidRPr="004B1ECE">
        <w:t>B-cell prolymphocytic leukaemia;</w:t>
      </w:r>
    </w:p>
    <w:p w:rsidR="00D6100B" w:rsidRPr="004B1ECE" w:rsidRDefault="00FA4DAB" w:rsidP="00D6100B">
      <w:pPr>
        <w:pStyle w:val="LV4"/>
      </w:pPr>
      <w:r>
        <w:t>chronic lymphocytic leukaemia</w:t>
      </w:r>
      <w:r w:rsidR="00D6100B" w:rsidRPr="004B1ECE">
        <w:t>/small lymphocytic lymphoma; and</w:t>
      </w:r>
    </w:p>
    <w:p w:rsidR="00D6100B" w:rsidRPr="004B1ECE" w:rsidRDefault="00D6100B" w:rsidP="00D6100B">
      <w:pPr>
        <w:pStyle w:val="LV4"/>
      </w:pPr>
      <w:r w:rsidRPr="004B1ECE">
        <w:t>hairy cell leukaemia; and</w:t>
      </w:r>
    </w:p>
    <w:p w:rsidR="00D6100B" w:rsidRPr="004B1ECE" w:rsidRDefault="00D6100B" w:rsidP="00D6100B">
      <w:pPr>
        <w:pStyle w:val="LV3"/>
      </w:pPr>
      <w:proofErr w:type="gramStart"/>
      <w:r w:rsidRPr="004B1ECE">
        <w:t>excludes</w:t>
      </w:r>
      <w:proofErr w:type="gramEnd"/>
      <w:r w:rsidRPr="004B1ECE">
        <w:t xml:space="preserve"> non-Hodgkin lymphoma other than small lymphocytic lymphoma.</w:t>
      </w:r>
    </w:p>
    <w:p w:rsidR="00D6100B" w:rsidRPr="004B1ECE" w:rsidRDefault="00D6100B" w:rsidP="001468A3">
      <w:pPr>
        <w:pStyle w:val="Note1"/>
        <w:ind w:left="2439" w:hanging="454"/>
      </w:pPr>
      <w:r w:rsidRPr="004B1ECE">
        <w:t>Note: Small lymphocytic lymphoma and chronic lymphocytic leukaemia are tumours of the same lymphoid cell type, and are considered to be a single disease entity with two clinical presentations.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1468A3" w:rsidRPr="001468A3">
        <w:rPr>
          <w:b/>
        </w:rPr>
        <w:t>mature B-cell lymphoid leukaemia and small lymphocytic lymphoma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468A3">
        <w:t>mature B-cell lymphoid leukaemia and small lymphocytic lymphoma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1468A3">
        <w:t>mature B-cell lymphoid leukaemia and small lymphocytic lymphoma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0" w:name="_Toc109311673"/>
      <w:r w:rsidRPr="00A20CA1">
        <w:t>Basis for determining the factors</w:t>
      </w:r>
      <w:bookmarkEnd w:id="20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1468A3">
        <w:t>mature B-cell lymphoid leukaemia and small lymphocytic lymphoma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1468A3">
        <w:t>mature B-cell lymphoid leukaemia and small lymphocytic lymphoma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09311674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72812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1468A3">
        <w:t>mature B-cell lymphoid leukaemia and small lymphocytic lymphoma</w:t>
      </w:r>
      <w:r w:rsidR="007A3989">
        <w:t xml:space="preserve"> </w:t>
      </w:r>
      <w:r w:rsidR="007C7DEE" w:rsidRPr="00AA6D8B">
        <w:t xml:space="preserve">or death from </w:t>
      </w:r>
      <w:r w:rsidR="001468A3">
        <w:t>mature B-cell lymphoid leukaemia and small lymphocytic lymphoma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7C7DEE" w:rsidP="00472812">
      <w:pPr>
        <w:pStyle w:val="LV2"/>
      </w:pPr>
      <w:bookmarkStart w:id="26" w:name="_Ref402530260"/>
      <w:bookmarkStart w:id="27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1468A3">
        <w:t>mature B-cell lymphoid leukaemia and small lymphocytic lymphoma</w:t>
      </w:r>
      <w:r w:rsidR="00D5620B" w:rsidRPr="008D1B8B">
        <w:t>.</w:t>
      </w:r>
      <w:bookmarkEnd w:id="27"/>
    </w:p>
    <w:p w:rsidR="000C21A3" w:rsidRPr="00684C0E" w:rsidRDefault="00D32F71" w:rsidP="00472812">
      <w:pPr>
        <w:pStyle w:val="LV1"/>
      </w:pPr>
      <w:bookmarkStart w:id="28" w:name="_Toc109311675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4163FA">
        <w:t>subsection</w:t>
      </w:r>
      <w:r w:rsidR="00FF1D47">
        <w:t xml:space="preserve"> </w:t>
      </w:r>
      <w:r w:rsidR="007959B9">
        <w:t>9</w:t>
      </w:r>
      <w:r w:rsidR="004163FA">
        <w:t>(1</w:t>
      </w:r>
      <w:r w:rsidR="00FF1D47">
        <w:t xml:space="preserve">) </w:t>
      </w:r>
      <w:r w:rsidRPr="00187DE1">
        <w:t xml:space="preserve">applies only to material contribution to, or aggravation of, </w:t>
      </w:r>
      <w:r w:rsidR="001468A3">
        <w:t>mature B-cell lymphoid leukaemia and small lymphocytic lymphoma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1468A3">
        <w:t>mature B-cell lymphoid leukaemia and small lymphocytic lymphoma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0" w:name="_Toc10931167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10931167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109311678"/>
      <w:r w:rsidRPr="00D97BB3">
        <w:t>Definitions</w:t>
      </w:r>
      <w:bookmarkEnd w:id="34"/>
      <w:bookmarkEnd w:id="35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B737F1" w:rsidRPr="00B737F1" w:rsidRDefault="001468A3" w:rsidP="00B737F1">
      <w:pPr>
        <w:pStyle w:val="SH3"/>
      </w:pPr>
      <w:bookmarkStart w:id="36" w:name="_Ref402530810"/>
      <w:proofErr w:type="gramStart"/>
      <w:r w:rsidRPr="001468A3">
        <w:rPr>
          <w:b/>
          <w:i/>
        </w:rPr>
        <w:t>mature</w:t>
      </w:r>
      <w:proofErr w:type="gramEnd"/>
      <w:r w:rsidRPr="001468A3">
        <w:rPr>
          <w:b/>
          <w:i/>
        </w:rPr>
        <w:t xml:space="preserve"> b-cell lymphoid leukaemia and small lymphocytic lymphoma</w:t>
      </w:r>
      <w:r w:rsidR="00B737F1">
        <w:t xml:space="preserve"> - </w:t>
      </w:r>
      <w:r w:rsidR="00B737F1" w:rsidRPr="00B737F1">
        <w:t>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88526B" w:rsidRDefault="001468A3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468A3">
            <w:rPr>
              <w:i/>
              <w:sz w:val="18"/>
              <w:szCs w:val="18"/>
            </w:rPr>
            <w:t>Mature B-Cell Lymphoid Leukaemia And Small Lymphocytic Lymphoma</w:t>
          </w:r>
          <w:r w:rsidR="000051D9">
            <w:rPr>
              <w:i/>
              <w:sz w:val="18"/>
              <w:szCs w:val="18"/>
            </w:rPr>
            <w:t xml:space="preserve"> </w:t>
          </w:r>
        </w:p>
        <w:p w:rsidR="000051D9" w:rsidRDefault="000051D9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(Balance of Probabilities) </w:t>
          </w:r>
          <w:r w:rsidRPr="007C5CE0">
            <w:rPr>
              <w:i/>
              <w:sz w:val="18"/>
            </w:rPr>
            <w:t xml:space="preserve">(No. </w:t>
          </w:r>
          <w:r w:rsidR="00C62D4E">
            <w:rPr>
              <w:i/>
              <w:sz w:val="18"/>
              <w:szCs w:val="18"/>
            </w:rPr>
            <w:t>79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1468A3" w:rsidRPr="001468A3">
            <w:rPr>
              <w:i/>
              <w:sz w:val="18"/>
              <w:szCs w:val="18"/>
            </w:rPr>
            <w:t>2022</w:t>
          </w:r>
          <w:r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549DB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549D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88526B" w:rsidRDefault="001468A3" w:rsidP="0088526B">
          <w:pPr>
            <w:keepNext/>
            <w:spacing w:line="0" w:lineRule="atLeast"/>
            <w:jc w:val="center"/>
            <w:rPr>
              <w:i/>
              <w:sz w:val="18"/>
              <w:szCs w:val="18"/>
            </w:rPr>
          </w:pPr>
          <w:r w:rsidRPr="001468A3">
            <w:rPr>
              <w:i/>
              <w:sz w:val="18"/>
              <w:szCs w:val="18"/>
            </w:rPr>
            <w:t>Mature B-Cell Lymphoid Leukaemia And Small Lymphocytic Lymphoma</w:t>
          </w:r>
        </w:p>
        <w:p w:rsidR="000051D9" w:rsidRDefault="000051D9" w:rsidP="0088526B">
          <w:pPr>
            <w:keepNext/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C62D4E">
            <w:rPr>
              <w:i/>
              <w:sz w:val="18"/>
              <w:szCs w:val="18"/>
            </w:rPr>
            <w:t>79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1468A3" w:rsidRPr="001468A3">
            <w:rPr>
              <w:i/>
              <w:sz w:val="18"/>
              <w:szCs w:val="18"/>
            </w:rPr>
            <w:t>2022</w:t>
          </w:r>
          <w:r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549D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549D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1844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265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0D52"/>
    <w:rsid w:val="000F21C1"/>
    <w:rsid w:val="000F76FA"/>
    <w:rsid w:val="00101F89"/>
    <w:rsid w:val="001058EA"/>
    <w:rsid w:val="0010745C"/>
    <w:rsid w:val="00132CEB"/>
    <w:rsid w:val="00137FE9"/>
    <w:rsid w:val="00142B62"/>
    <w:rsid w:val="001468A3"/>
    <w:rsid w:val="0015201F"/>
    <w:rsid w:val="00157B8B"/>
    <w:rsid w:val="00160E32"/>
    <w:rsid w:val="00161944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63FA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B34DC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49DB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67BF2"/>
    <w:rsid w:val="00873081"/>
    <w:rsid w:val="008754D0"/>
    <w:rsid w:val="00877AE3"/>
    <w:rsid w:val="0088526B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1A97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3F84"/>
    <w:rsid w:val="00A515BC"/>
    <w:rsid w:val="00A56C3D"/>
    <w:rsid w:val="00A6070D"/>
    <w:rsid w:val="00A64912"/>
    <w:rsid w:val="00A64BA1"/>
    <w:rsid w:val="00A67B7A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23DC"/>
    <w:rsid w:val="00B24368"/>
    <w:rsid w:val="00B308FE"/>
    <w:rsid w:val="00B33709"/>
    <w:rsid w:val="00B33B3C"/>
    <w:rsid w:val="00B431B1"/>
    <w:rsid w:val="00B50826"/>
    <w:rsid w:val="00B50ADC"/>
    <w:rsid w:val="00B527C0"/>
    <w:rsid w:val="00B566B1"/>
    <w:rsid w:val="00B61E59"/>
    <w:rsid w:val="00B63834"/>
    <w:rsid w:val="00B664A3"/>
    <w:rsid w:val="00B72734"/>
    <w:rsid w:val="00B72A5E"/>
    <w:rsid w:val="00B737F1"/>
    <w:rsid w:val="00B80199"/>
    <w:rsid w:val="00B83204"/>
    <w:rsid w:val="00B833B0"/>
    <w:rsid w:val="00B90372"/>
    <w:rsid w:val="00B90B8D"/>
    <w:rsid w:val="00B92A80"/>
    <w:rsid w:val="00B933A7"/>
    <w:rsid w:val="00B953CD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62D4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6100B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24683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724"/>
    <w:rsid w:val="00ED3B8D"/>
    <w:rsid w:val="00ED46FF"/>
    <w:rsid w:val="00ED4913"/>
    <w:rsid w:val="00EF2E3A"/>
    <w:rsid w:val="00F03C06"/>
    <w:rsid w:val="00F072A7"/>
    <w:rsid w:val="00F078DC"/>
    <w:rsid w:val="00F274F4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A4DA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78F8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5532</Characters>
  <Application>Microsoft Office Word</Application>
  <DocSecurity>0</DocSecurity>
  <PresentationFormat/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2022-08-05T03:42:00Z</dcterms:created>
  <dcterms:modified xsi:type="dcterms:W3CDTF">2022-08-22T23:16:00Z</dcterms:modified>
  <cp:category/>
  <cp:contentStatus/>
  <dc:language/>
  <cp:version/>
</cp:coreProperties>
</file>