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BC674" w14:textId="77777777"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6A422F1A" wp14:editId="0815EED6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927BC" w14:textId="77777777" w:rsidR="00715914" w:rsidRPr="00FA33FB" w:rsidRDefault="00715914" w:rsidP="00715914">
      <w:pPr>
        <w:rPr>
          <w:sz w:val="19"/>
        </w:rPr>
      </w:pPr>
    </w:p>
    <w:p w14:paraId="52D617BC" w14:textId="77777777" w:rsidR="000F76FA" w:rsidRPr="00024911" w:rsidRDefault="00E55F66" w:rsidP="006647B7">
      <w:pPr>
        <w:pStyle w:val="Plainheader"/>
      </w:pPr>
      <w:r w:rsidRPr="00024911">
        <w:t>Statement of Principles</w:t>
      </w:r>
    </w:p>
    <w:p w14:paraId="7A59693A" w14:textId="77777777"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14:paraId="5326BF6B" w14:textId="77777777" w:rsidR="00054930" w:rsidRDefault="003802D6" w:rsidP="006647B7">
      <w:pPr>
        <w:pStyle w:val="Plainheader"/>
      </w:pPr>
      <w:bookmarkStart w:id="0" w:name="SoP_Name_Title"/>
      <w:proofErr w:type="gramStart"/>
      <w:r>
        <w:t>S</w:t>
      </w:r>
      <w:r w:rsidR="00D845CA">
        <w:t>TEATOHEPATITIS</w:t>
      </w:r>
      <w:bookmarkEnd w:id="0"/>
      <w:proofErr w:type="gramEnd"/>
      <w:r w:rsidR="00997416">
        <w:br/>
        <w:t xml:space="preserve">(Balance of Probabilities) </w:t>
      </w:r>
    </w:p>
    <w:p w14:paraId="108A54B3" w14:textId="70702FA4" w:rsidR="00715914" w:rsidRPr="00024911" w:rsidRDefault="00E55F66" w:rsidP="006647B7">
      <w:pPr>
        <w:pStyle w:val="Plainheader"/>
      </w:pPr>
      <w:r w:rsidRPr="00024911">
        <w:t xml:space="preserve">(No. </w:t>
      </w:r>
      <w:r w:rsidR="009E7FA9">
        <w:t>87</w:t>
      </w:r>
      <w:r w:rsidRPr="00024911">
        <w:t xml:space="preserve"> of</w:t>
      </w:r>
      <w:r w:rsidR="00085567">
        <w:t xml:space="preserve"> </w:t>
      </w:r>
      <w:bookmarkStart w:id="1" w:name="year"/>
      <w:r w:rsidR="00D845CA">
        <w:t>2022</w:t>
      </w:r>
      <w:bookmarkEnd w:id="1"/>
      <w:r w:rsidRPr="00024911">
        <w:t>)</w:t>
      </w:r>
    </w:p>
    <w:p w14:paraId="25E00EED" w14:textId="77777777"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14:paraId="1FA960E8" w14:textId="77777777" w:rsidR="00F97A62" w:rsidRPr="00F97A62" w:rsidRDefault="00F97A62" w:rsidP="00F97A62">
      <w:pPr>
        <w:rPr>
          <w:lang w:eastAsia="en-AU"/>
        </w:rPr>
      </w:pPr>
    </w:p>
    <w:p w14:paraId="3FF770B5" w14:textId="2D265E3C"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0D33E3">
        <w:t>23</w:t>
      </w:r>
      <w:r w:rsidR="007F3DEC">
        <w:t xml:space="preserve"> August 2022.</w:t>
      </w:r>
    </w:p>
    <w:p w14:paraId="12ABB416" w14:textId="77777777" w:rsidR="00D93DA9" w:rsidRDefault="00D93DA9" w:rsidP="00764D43">
      <w:pPr>
        <w:pStyle w:val="Plain"/>
      </w:pPr>
    </w:p>
    <w:p w14:paraId="60286BC9" w14:textId="77777777" w:rsidR="00D93DA9" w:rsidRDefault="00D93DA9" w:rsidP="00764D43">
      <w:pPr>
        <w:pStyle w:val="Plain"/>
      </w:pPr>
    </w:p>
    <w:p w14:paraId="09BBD5EA" w14:textId="77777777" w:rsidR="00D93DA9" w:rsidRDefault="00D93DA9" w:rsidP="00764D43">
      <w:pPr>
        <w:pStyle w:val="Plain"/>
      </w:pPr>
    </w:p>
    <w:p w14:paraId="060A27F6" w14:textId="77777777" w:rsidR="00D93DA9" w:rsidRDefault="00D93DA9" w:rsidP="00764D43">
      <w:pPr>
        <w:pStyle w:val="Plain"/>
      </w:pPr>
    </w:p>
    <w:p w14:paraId="4EABB373" w14:textId="77777777"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11F91" w14:paraId="0BED901D" w14:textId="77777777" w:rsidTr="0034373D">
        <w:tc>
          <w:tcPr>
            <w:tcW w:w="4116" w:type="dxa"/>
          </w:tcPr>
          <w:p w14:paraId="2C102DA0" w14:textId="77777777" w:rsidR="00711F91" w:rsidRDefault="00711F91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14:paraId="03B32DB8" w14:textId="77777777" w:rsidR="00711F91" w:rsidRDefault="00711F91" w:rsidP="0034373D">
            <w:pPr>
              <w:pStyle w:val="Plain"/>
            </w:pPr>
          </w:p>
        </w:tc>
      </w:tr>
      <w:tr w:rsidR="00711F91" w14:paraId="6B9FD7F9" w14:textId="77777777" w:rsidTr="0034373D">
        <w:tc>
          <w:tcPr>
            <w:tcW w:w="4116" w:type="dxa"/>
          </w:tcPr>
          <w:p w14:paraId="33BE58B7" w14:textId="77777777" w:rsidR="00711F91" w:rsidRDefault="00711F91" w:rsidP="0034373D">
            <w:pPr>
              <w:pStyle w:val="Plain"/>
            </w:pPr>
          </w:p>
          <w:p w14:paraId="285E3674" w14:textId="77777777" w:rsidR="00711F91" w:rsidRDefault="00711F91" w:rsidP="0034373D">
            <w:pPr>
              <w:pStyle w:val="Plain"/>
            </w:pPr>
          </w:p>
          <w:p w14:paraId="415BCF0A" w14:textId="77777777" w:rsidR="00711F91" w:rsidRPr="007527C1" w:rsidRDefault="00711F91" w:rsidP="0034373D">
            <w:pPr>
              <w:pStyle w:val="Plain"/>
            </w:pPr>
            <w:r w:rsidRPr="007527C1">
              <w:t xml:space="preserve">Professor </w:t>
            </w:r>
            <w:r w:rsidR="006A3179" w:rsidRPr="006A3179">
              <w:t>Terence Campbell AM</w:t>
            </w:r>
          </w:p>
          <w:p w14:paraId="7A2296BC" w14:textId="77777777" w:rsidR="00711F91" w:rsidRDefault="00711F91" w:rsidP="0034373D">
            <w:pPr>
              <w:pStyle w:val="Plain"/>
            </w:pPr>
            <w:r w:rsidRPr="007527C1">
              <w:t>Chairperson</w:t>
            </w:r>
          </w:p>
          <w:p w14:paraId="1BFD9DEA" w14:textId="77777777" w:rsidR="00711F91" w:rsidRDefault="00711F91" w:rsidP="0034373D"/>
        </w:tc>
      </w:tr>
    </w:tbl>
    <w:p w14:paraId="6E2D4D9C" w14:textId="77777777" w:rsidR="00F67B67" w:rsidRPr="00FA33FB" w:rsidRDefault="00F67B67" w:rsidP="00F67B67"/>
    <w:p w14:paraId="5B075813" w14:textId="77777777"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14:paraId="43CABB3A" w14:textId="77777777"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14:paraId="04D76A8B" w14:textId="1B285A63" w:rsidR="00221DBA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221DBA">
        <w:rPr>
          <w:noProof/>
        </w:rPr>
        <w:t>1</w:t>
      </w:r>
      <w:r w:rsidR="00221DBA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221DBA">
        <w:rPr>
          <w:noProof/>
        </w:rPr>
        <w:t>Name</w:t>
      </w:r>
      <w:r w:rsidR="00221DBA">
        <w:rPr>
          <w:noProof/>
        </w:rPr>
        <w:tab/>
      </w:r>
      <w:r w:rsidR="00221DBA">
        <w:rPr>
          <w:noProof/>
        </w:rPr>
        <w:fldChar w:fldCharType="begin"/>
      </w:r>
      <w:r w:rsidR="00221DBA">
        <w:rPr>
          <w:noProof/>
        </w:rPr>
        <w:instrText xml:space="preserve"> PAGEREF _Toc98497094 \h </w:instrText>
      </w:r>
      <w:r w:rsidR="00221DBA">
        <w:rPr>
          <w:noProof/>
        </w:rPr>
      </w:r>
      <w:r w:rsidR="00221DBA">
        <w:rPr>
          <w:noProof/>
        </w:rPr>
        <w:fldChar w:fldCharType="separate"/>
      </w:r>
      <w:r w:rsidR="001D3282">
        <w:rPr>
          <w:noProof/>
        </w:rPr>
        <w:t>3</w:t>
      </w:r>
      <w:r w:rsidR="00221DBA">
        <w:rPr>
          <w:noProof/>
        </w:rPr>
        <w:fldChar w:fldCharType="end"/>
      </w:r>
    </w:p>
    <w:p w14:paraId="571F095F" w14:textId="4EFC7F8E" w:rsidR="00221DBA" w:rsidRDefault="00221D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_Toc98497095 \h </w:instrText>
      </w:r>
      <w:r>
        <w:rPr>
          <w:noProof/>
        </w:rPr>
      </w:r>
      <w:r>
        <w:rPr>
          <w:noProof/>
        </w:rPr>
        <w:fldChar w:fldCharType="separate"/>
      </w:r>
      <w:r w:rsidR="001D3282">
        <w:rPr>
          <w:noProof/>
        </w:rPr>
        <w:t>3</w:t>
      </w:r>
      <w:r>
        <w:rPr>
          <w:noProof/>
        </w:rPr>
        <w:fldChar w:fldCharType="end"/>
      </w:r>
    </w:p>
    <w:p w14:paraId="5CB76829" w14:textId="39A7B606" w:rsidR="00221DBA" w:rsidRDefault="00221D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_Toc98497096 \h </w:instrText>
      </w:r>
      <w:r>
        <w:rPr>
          <w:noProof/>
        </w:rPr>
      </w:r>
      <w:r>
        <w:rPr>
          <w:noProof/>
        </w:rPr>
        <w:fldChar w:fldCharType="separate"/>
      </w:r>
      <w:r w:rsidR="001D3282">
        <w:rPr>
          <w:noProof/>
        </w:rPr>
        <w:t>3</w:t>
      </w:r>
      <w:r>
        <w:rPr>
          <w:noProof/>
        </w:rPr>
        <w:fldChar w:fldCharType="end"/>
      </w:r>
    </w:p>
    <w:p w14:paraId="0323E742" w14:textId="59E2F420" w:rsidR="00221DBA" w:rsidRDefault="00221D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_Toc98497097 \h </w:instrText>
      </w:r>
      <w:r>
        <w:rPr>
          <w:noProof/>
        </w:rPr>
      </w:r>
      <w:r>
        <w:rPr>
          <w:noProof/>
        </w:rPr>
        <w:fldChar w:fldCharType="separate"/>
      </w:r>
      <w:r w:rsidR="001D3282">
        <w:rPr>
          <w:noProof/>
        </w:rPr>
        <w:t>3</w:t>
      </w:r>
      <w:r>
        <w:rPr>
          <w:noProof/>
        </w:rPr>
        <w:fldChar w:fldCharType="end"/>
      </w:r>
    </w:p>
    <w:p w14:paraId="136B73D8" w14:textId="3D7A9EF8" w:rsidR="00221DBA" w:rsidRDefault="00221D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_Toc98497098 \h </w:instrText>
      </w:r>
      <w:r>
        <w:rPr>
          <w:noProof/>
        </w:rPr>
      </w:r>
      <w:r>
        <w:rPr>
          <w:noProof/>
        </w:rPr>
        <w:fldChar w:fldCharType="separate"/>
      </w:r>
      <w:r w:rsidR="001D3282">
        <w:rPr>
          <w:noProof/>
        </w:rPr>
        <w:t>3</w:t>
      </w:r>
      <w:r>
        <w:rPr>
          <w:noProof/>
        </w:rPr>
        <w:fldChar w:fldCharType="end"/>
      </w:r>
    </w:p>
    <w:p w14:paraId="1C47E709" w14:textId="1829B6F2" w:rsidR="00221DBA" w:rsidRDefault="00221D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_Toc98497099 \h </w:instrText>
      </w:r>
      <w:r>
        <w:rPr>
          <w:noProof/>
        </w:rPr>
      </w:r>
      <w:r>
        <w:rPr>
          <w:noProof/>
        </w:rPr>
        <w:fldChar w:fldCharType="separate"/>
      </w:r>
      <w:r w:rsidR="001D3282">
        <w:rPr>
          <w:noProof/>
        </w:rPr>
        <w:t>3</w:t>
      </w:r>
      <w:r>
        <w:rPr>
          <w:noProof/>
        </w:rPr>
        <w:fldChar w:fldCharType="end"/>
      </w:r>
    </w:p>
    <w:p w14:paraId="0D770C47" w14:textId="500C1F39" w:rsidR="00221DBA" w:rsidRDefault="00221D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_Toc98497100 \h </w:instrText>
      </w:r>
      <w:r>
        <w:rPr>
          <w:noProof/>
        </w:rPr>
      </w:r>
      <w:r>
        <w:rPr>
          <w:noProof/>
        </w:rPr>
        <w:fldChar w:fldCharType="separate"/>
      </w:r>
      <w:r w:rsidR="001D3282">
        <w:rPr>
          <w:noProof/>
        </w:rPr>
        <w:t>3</w:t>
      </w:r>
      <w:r>
        <w:rPr>
          <w:noProof/>
        </w:rPr>
        <w:fldChar w:fldCharType="end"/>
      </w:r>
    </w:p>
    <w:p w14:paraId="2B1EC8A0" w14:textId="0B79FF4B" w:rsidR="00221DBA" w:rsidRDefault="00221D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_Toc98497101 \h </w:instrText>
      </w:r>
      <w:r>
        <w:rPr>
          <w:noProof/>
        </w:rPr>
      </w:r>
      <w:r>
        <w:rPr>
          <w:noProof/>
        </w:rPr>
        <w:fldChar w:fldCharType="separate"/>
      </w:r>
      <w:r w:rsidR="001D3282">
        <w:rPr>
          <w:noProof/>
        </w:rPr>
        <w:t>4</w:t>
      </w:r>
      <w:r>
        <w:rPr>
          <w:noProof/>
        </w:rPr>
        <w:fldChar w:fldCharType="end"/>
      </w:r>
    </w:p>
    <w:p w14:paraId="57036AE1" w14:textId="580AD4E9" w:rsidR="00221DBA" w:rsidRDefault="00221D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_Toc98497102 \h </w:instrText>
      </w:r>
      <w:r>
        <w:rPr>
          <w:noProof/>
        </w:rPr>
      </w:r>
      <w:r>
        <w:rPr>
          <w:noProof/>
        </w:rPr>
        <w:fldChar w:fldCharType="separate"/>
      </w:r>
      <w:r w:rsidR="001D3282">
        <w:rPr>
          <w:noProof/>
        </w:rPr>
        <w:t>4</w:t>
      </w:r>
      <w:r>
        <w:rPr>
          <w:noProof/>
        </w:rPr>
        <w:fldChar w:fldCharType="end"/>
      </w:r>
    </w:p>
    <w:p w14:paraId="392821E4" w14:textId="5D28D3A2" w:rsidR="00221DBA" w:rsidRDefault="00221D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_Toc98497103 \h </w:instrText>
      </w:r>
      <w:r>
        <w:rPr>
          <w:noProof/>
        </w:rPr>
      </w:r>
      <w:r>
        <w:rPr>
          <w:noProof/>
        </w:rPr>
        <w:fldChar w:fldCharType="separate"/>
      </w:r>
      <w:r w:rsidR="001D3282">
        <w:rPr>
          <w:noProof/>
        </w:rPr>
        <w:t>5</w:t>
      </w:r>
      <w:r>
        <w:rPr>
          <w:noProof/>
        </w:rPr>
        <w:fldChar w:fldCharType="end"/>
      </w:r>
    </w:p>
    <w:p w14:paraId="53A8EDBC" w14:textId="30A01E51" w:rsidR="00221DBA" w:rsidRDefault="00221D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_Toc98497104 \h </w:instrText>
      </w:r>
      <w:r>
        <w:rPr>
          <w:noProof/>
        </w:rPr>
      </w:r>
      <w:r>
        <w:rPr>
          <w:noProof/>
        </w:rPr>
        <w:fldChar w:fldCharType="separate"/>
      </w:r>
      <w:r w:rsidR="001D3282">
        <w:rPr>
          <w:noProof/>
        </w:rPr>
        <w:t>5</w:t>
      </w:r>
      <w:r>
        <w:rPr>
          <w:noProof/>
        </w:rPr>
        <w:fldChar w:fldCharType="end"/>
      </w:r>
    </w:p>
    <w:p w14:paraId="12B53132" w14:textId="6F48C85B" w:rsidR="00221DBA" w:rsidRDefault="00221DB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_Toc98497105 \h </w:instrText>
      </w:r>
      <w:r>
        <w:rPr>
          <w:noProof/>
        </w:rPr>
      </w:r>
      <w:r>
        <w:rPr>
          <w:noProof/>
        </w:rPr>
        <w:fldChar w:fldCharType="separate"/>
      </w:r>
      <w:r w:rsidR="001D3282">
        <w:rPr>
          <w:noProof/>
        </w:rPr>
        <w:t>6</w:t>
      </w:r>
      <w:r>
        <w:rPr>
          <w:noProof/>
        </w:rPr>
        <w:fldChar w:fldCharType="end"/>
      </w:r>
    </w:p>
    <w:p w14:paraId="4C2D1438" w14:textId="3C4A3515" w:rsidR="00221DBA" w:rsidRDefault="00221D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_Toc98497106 \h </w:instrText>
      </w:r>
      <w:r>
        <w:rPr>
          <w:noProof/>
        </w:rPr>
      </w:r>
      <w:r>
        <w:rPr>
          <w:noProof/>
        </w:rPr>
        <w:fldChar w:fldCharType="separate"/>
      </w:r>
      <w:r w:rsidR="001D3282">
        <w:rPr>
          <w:noProof/>
        </w:rPr>
        <w:t>6</w:t>
      </w:r>
      <w:r>
        <w:rPr>
          <w:noProof/>
        </w:rPr>
        <w:fldChar w:fldCharType="end"/>
      </w:r>
    </w:p>
    <w:p w14:paraId="786D8600" w14:textId="7BEA9937" w:rsidR="00221DBA" w:rsidRDefault="00221DB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2 - Drugs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_Toc98497107 \h </w:instrText>
      </w:r>
      <w:r>
        <w:rPr>
          <w:noProof/>
        </w:rPr>
      </w:r>
      <w:r>
        <w:rPr>
          <w:noProof/>
        </w:rPr>
        <w:fldChar w:fldCharType="separate"/>
      </w:r>
      <w:r w:rsidR="001D3282">
        <w:rPr>
          <w:noProof/>
        </w:rPr>
        <w:t>8</w:t>
      </w:r>
      <w:r>
        <w:rPr>
          <w:noProof/>
        </w:rPr>
        <w:fldChar w:fldCharType="end"/>
      </w:r>
    </w:p>
    <w:p w14:paraId="1CBAB027" w14:textId="4017CD5F" w:rsidR="00221DBA" w:rsidRDefault="00221DB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Specified drugs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_Toc98497108 \h </w:instrText>
      </w:r>
      <w:r>
        <w:rPr>
          <w:noProof/>
        </w:rPr>
      </w:r>
      <w:r>
        <w:rPr>
          <w:noProof/>
        </w:rPr>
        <w:fldChar w:fldCharType="separate"/>
      </w:r>
      <w:r w:rsidR="001D3282">
        <w:rPr>
          <w:noProof/>
        </w:rPr>
        <w:t>8</w:t>
      </w:r>
      <w:r>
        <w:rPr>
          <w:noProof/>
        </w:rPr>
        <w:fldChar w:fldCharType="end"/>
      </w:r>
    </w:p>
    <w:p w14:paraId="17AAEBF8" w14:textId="6D522EB9"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14:paraId="132B3468" w14:textId="77777777" w:rsidR="003A2FFE" w:rsidRDefault="003A2FFE" w:rsidP="003A2FFE">
      <w:pPr>
        <w:tabs>
          <w:tab w:val="left" w:pos="3631"/>
        </w:tabs>
      </w:pPr>
    </w:p>
    <w:p w14:paraId="7B862CCE" w14:textId="77777777" w:rsidR="003734C6" w:rsidRDefault="003734C6" w:rsidP="00715914">
      <w:r w:rsidRPr="003A2FFE">
        <w:br w:type="page"/>
      </w:r>
    </w:p>
    <w:p w14:paraId="6571CF6C" w14:textId="77777777" w:rsidR="00877AE3" w:rsidRDefault="00877AE3" w:rsidP="00472812">
      <w:pPr>
        <w:pStyle w:val="LV1"/>
      </w:pPr>
      <w:bookmarkStart w:id="3" w:name="_Toc98497094"/>
      <w:r>
        <w:lastRenderedPageBreak/>
        <w:t>Name</w:t>
      </w:r>
      <w:bookmarkEnd w:id="3"/>
    </w:p>
    <w:p w14:paraId="5A2F5459" w14:textId="272C91A5" w:rsidR="00237471" w:rsidRPr="00F97A62" w:rsidRDefault="00715914" w:rsidP="0047281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bookmarkStart w:id="5" w:name="SoP_Name"/>
      <w:r w:rsidR="007A3989">
        <w:rPr>
          <w:i/>
        </w:rPr>
        <w:t>s</w:t>
      </w:r>
      <w:r w:rsidR="00D845CA">
        <w:rPr>
          <w:i/>
        </w:rPr>
        <w:t>teatohepatitis</w:t>
      </w:r>
      <w:bookmarkEnd w:id="5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9E7FA9">
        <w:t>87</w:t>
      </w:r>
      <w:r w:rsidR="00085567">
        <w:t xml:space="preserve"> </w:t>
      </w:r>
      <w:r w:rsidR="00E55F66" w:rsidRPr="00F97A62">
        <w:t>of</w:t>
      </w:r>
      <w:r w:rsidR="00D845CA">
        <w:t xml:space="preserve"> 2022</w:t>
      </w:r>
      <w:r w:rsidR="00E55F66" w:rsidRPr="00F97A62">
        <w:t>)</w:t>
      </w:r>
      <w:r w:rsidRPr="00F97A62">
        <w:t>.</w:t>
      </w:r>
    </w:p>
    <w:p w14:paraId="64C3CCAC" w14:textId="77777777" w:rsidR="00F67B67" w:rsidRPr="00684C0E" w:rsidRDefault="00F67B67" w:rsidP="00472812">
      <w:pPr>
        <w:pStyle w:val="LV1"/>
      </w:pPr>
      <w:bookmarkStart w:id="6" w:name="_Toc98497095"/>
      <w:r w:rsidRPr="00684C0E">
        <w:t>Commencement</w:t>
      </w:r>
      <w:bookmarkEnd w:id="6"/>
    </w:p>
    <w:p w14:paraId="468FC35E" w14:textId="79F803ED" w:rsidR="00F67B67" w:rsidRPr="007F3DEC" w:rsidRDefault="007527C1" w:rsidP="0047281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7F3DEC" w:rsidRPr="007F3DEC">
        <w:t>19 September 2022.</w:t>
      </w:r>
    </w:p>
    <w:p w14:paraId="1446C1AC" w14:textId="77777777" w:rsidR="00F67B67" w:rsidRPr="00684C0E" w:rsidRDefault="00F67B67" w:rsidP="00472812">
      <w:pPr>
        <w:pStyle w:val="LV1"/>
      </w:pPr>
      <w:bookmarkStart w:id="7" w:name="_Toc98497096"/>
      <w:r w:rsidRPr="00684C0E">
        <w:t>Authority</w:t>
      </w:r>
      <w:bookmarkEnd w:id="7"/>
    </w:p>
    <w:p w14:paraId="798092C3" w14:textId="77777777"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14:paraId="548B3448" w14:textId="77777777" w:rsidR="007959B9" w:rsidRPr="00684C0E" w:rsidRDefault="007959B9" w:rsidP="00472812">
      <w:pPr>
        <w:pStyle w:val="LV1"/>
      </w:pPr>
      <w:bookmarkStart w:id="8" w:name="_Toc98497097"/>
      <w:r>
        <w:t>Re</w:t>
      </w:r>
      <w:r w:rsidR="00681926">
        <w:t>peal</w:t>
      </w:r>
      <w:bookmarkEnd w:id="8"/>
    </w:p>
    <w:p w14:paraId="7B61884B" w14:textId="582932EA"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7F3DEC" w:rsidRPr="007F3DEC">
        <w:t>steatohepatitis</w:t>
      </w:r>
      <w:r w:rsidR="00AF3269">
        <w:t xml:space="preserve"> No. 80 of 2013</w:t>
      </w:r>
      <w:r w:rsidR="00681926">
        <w:t xml:space="preserve"> </w:t>
      </w:r>
      <w:r w:rsidR="00681926" w:rsidRPr="00786DAE">
        <w:t>(Federal Re</w:t>
      </w:r>
      <w:r w:rsidR="00AF3269">
        <w:t>gister of Legislation No. F2013L01900</w:t>
      </w:r>
      <w:r w:rsidR="00681926" w:rsidRPr="00786DAE">
        <w:t xml:space="preserve">) </w:t>
      </w:r>
      <w:r w:rsidR="00681926" w:rsidRPr="00DA3996">
        <w:t xml:space="preserve">made under subsection </w:t>
      </w:r>
      <w:proofErr w:type="gramStart"/>
      <w:r w:rsidR="00681926" w:rsidRPr="00DA3996">
        <w:t>196B(</w:t>
      </w:r>
      <w:proofErr w:type="gramEnd"/>
      <w:r w:rsidR="008452F9">
        <w:t>3</w:t>
      </w:r>
      <w:r w:rsidR="002B5DFE">
        <w:t>)</w:t>
      </w:r>
      <w:r w:rsidR="00EC03B5">
        <w:t xml:space="preserve"> </w:t>
      </w:r>
      <w:r w:rsidR="00EC03B5" w:rsidRPr="00DA3996">
        <w:t xml:space="preserve">of the VEA </w:t>
      </w:r>
      <w:r w:rsidR="00EC03B5">
        <w:t>i</w:t>
      </w:r>
      <w:r w:rsidR="00EC03B5" w:rsidRPr="007527C1">
        <w:t>s</w:t>
      </w:r>
      <w:r w:rsidR="00EC03B5">
        <w:t xml:space="preserve"> repealed</w:t>
      </w:r>
      <w:r>
        <w:t>.</w:t>
      </w:r>
    </w:p>
    <w:p w14:paraId="67B692CA" w14:textId="77777777" w:rsidR="007C7DEE" w:rsidRPr="00684C0E" w:rsidRDefault="007C7DEE" w:rsidP="00472812">
      <w:pPr>
        <w:pStyle w:val="LV1"/>
      </w:pPr>
      <w:bookmarkStart w:id="9" w:name="_Toc98497098"/>
      <w:r w:rsidRPr="00684C0E">
        <w:t>Application</w:t>
      </w:r>
      <w:bookmarkEnd w:id="9"/>
    </w:p>
    <w:p w14:paraId="622A3ECD" w14:textId="77777777"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14:paraId="09B81C23" w14:textId="5F34B3D6" w:rsidR="007C7DEE" w:rsidRPr="00684C0E" w:rsidRDefault="00A869F0" w:rsidP="00472812">
      <w:pPr>
        <w:pStyle w:val="LV1"/>
      </w:pPr>
      <w:bookmarkStart w:id="10" w:name="_Toc98497099"/>
      <w:r>
        <w:t>Schedules</w:t>
      </w:r>
      <w:bookmarkEnd w:id="10"/>
    </w:p>
    <w:p w14:paraId="771C2023" w14:textId="458BF0D4" w:rsidR="00237471" w:rsidRPr="00D5620B" w:rsidRDefault="00A869F0" w:rsidP="00472812">
      <w:pPr>
        <w:pStyle w:val="PlainIndent"/>
      </w:pPr>
      <w:r w:rsidRPr="00AA33FD">
        <w:t>Any item in a Schedule to this Instrument has effect according to its terms.</w:t>
      </w:r>
    </w:p>
    <w:p w14:paraId="0D09CC1D" w14:textId="77777777" w:rsidR="007C7DEE" w:rsidRPr="00684C0E" w:rsidRDefault="007C7DEE" w:rsidP="00472812">
      <w:pPr>
        <w:pStyle w:val="LV1"/>
      </w:pPr>
      <w:bookmarkStart w:id="11" w:name="_Ref409687573"/>
      <w:bookmarkStart w:id="12" w:name="_Ref409687579"/>
      <w:bookmarkStart w:id="13" w:name="_Ref409687725"/>
      <w:bookmarkStart w:id="14" w:name="_Toc9849710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1"/>
      <w:bookmarkEnd w:id="12"/>
      <w:bookmarkEnd w:id="13"/>
      <w:bookmarkEnd w:id="14"/>
    </w:p>
    <w:p w14:paraId="4BE82F81" w14:textId="6B1789AA" w:rsidR="007C7DEE" w:rsidRPr="00D5620B" w:rsidRDefault="007C7DEE" w:rsidP="00472812">
      <w:pPr>
        <w:pStyle w:val="LV2"/>
      </w:pPr>
      <w:bookmarkStart w:id="15" w:name="_Ref403053584"/>
      <w:r w:rsidRPr="00D5620B">
        <w:t xml:space="preserve">This Statement of Principles is </w:t>
      </w:r>
      <w:r w:rsidRPr="002F77A1">
        <w:t xml:space="preserve">about </w:t>
      </w:r>
      <w:r w:rsidR="007F3DEC" w:rsidRPr="007F3DEC">
        <w:t>steatohepatitis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7F3DEC" w:rsidRPr="007F3DEC">
        <w:t>steatohepatitis</w:t>
      </w:r>
      <w:r w:rsidRPr="00D5620B">
        <w:t>.</w:t>
      </w:r>
      <w:bookmarkEnd w:id="15"/>
    </w:p>
    <w:p w14:paraId="25733FD5" w14:textId="7472947A"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7F3DEC" w:rsidRPr="007F3DEC">
        <w:rPr>
          <w:b/>
        </w:rPr>
        <w:t>steatohepatitis</w:t>
      </w:r>
    </w:p>
    <w:p w14:paraId="51648B4B" w14:textId="45F2756B" w:rsidR="002716E4" w:rsidRPr="00237BAF" w:rsidRDefault="007C7DEE" w:rsidP="00472812">
      <w:pPr>
        <w:pStyle w:val="LV2"/>
      </w:pPr>
      <w:bookmarkStart w:id="16" w:name="_Ref409598124"/>
      <w:bookmarkStart w:id="17" w:name="_Ref402529683"/>
      <w:r w:rsidRPr="00237BAF">
        <w:t>For the purposes of this Statement of Principles,</w:t>
      </w:r>
      <w:r w:rsidR="002F77A1" w:rsidRPr="002F77A1">
        <w:t xml:space="preserve"> </w:t>
      </w:r>
      <w:r w:rsidR="007F3DEC" w:rsidRPr="007F3DEC">
        <w:t>steatohepatitis</w:t>
      </w:r>
      <w:r w:rsidR="002716E4" w:rsidRPr="00237BAF">
        <w:t>:</w:t>
      </w:r>
      <w:bookmarkEnd w:id="16"/>
    </w:p>
    <w:bookmarkEnd w:id="17"/>
    <w:p w14:paraId="1940AFF0" w14:textId="77777777" w:rsidR="00AA7765" w:rsidRDefault="00AA7765" w:rsidP="00AA7765">
      <w:pPr>
        <w:pStyle w:val="LV3"/>
      </w:pPr>
      <w:r>
        <w:t>means the presence of fatty change and inflammation of the liver with hepatocyte injury, with or without fibrosis; and</w:t>
      </w:r>
    </w:p>
    <w:p w14:paraId="61AA4F0B" w14:textId="77777777" w:rsidR="00AA7765" w:rsidRDefault="00AA7765" w:rsidP="00AA7765">
      <w:pPr>
        <w:pStyle w:val="LV3"/>
      </w:pPr>
      <w:r>
        <w:t>includes alcoholic steatohepatitis and non-alcoholic steatohepatitis; and</w:t>
      </w:r>
    </w:p>
    <w:p w14:paraId="5DA7566D" w14:textId="77777777" w:rsidR="00AA7765" w:rsidRDefault="00AA7765" w:rsidP="00AA7765">
      <w:pPr>
        <w:pStyle w:val="LV3"/>
      </w:pPr>
      <w:r>
        <w:t>excludes:</w:t>
      </w:r>
    </w:p>
    <w:p w14:paraId="77AB6FFB" w14:textId="77777777" w:rsidR="00AA7765" w:rsidRDefault="00AA7765" w:rsidP="00221DBA">
      <w:pPr>
        <w:pStyle w:val="LV4"/>
        <w:ind w:left="2552"/>
      </w:pPr>
      <w:r>
        <w:t>alpha-1 antitrypsin deficiency;</w:t>
      </w:r>
    </w:p>
    <w:p w14:paraId="06F3EEF7" w14:textId="77777777" w:rsidR="00AA7765" w:rsidRDefault="00AA7765" w:rsidP="00221DBA">
      <w:pPr>
        <w:pStyle w:val="LV4"/>
        <w:ind w:left="2552"/>
      </w:pPr>
      <w:r>
        <w:t>biliary obstruction;</w:t>
      </w:r>
    </w:p>
    <w:p w14:paraId="57233A18" w14:textId="77777777" w:rsidR="00AA7765" w:rsidRDefault="00AA7765" w:rsidP="00221DBA">
      <w:pPr>
        <w:pStyle w:val="LV4"/>
        <w:ind w:left="2552"/>
      </w:pPr>
      <w:r>
        <w:t>haemochromatosis; and</w:t>
      </w:r>
    </w:p>
    <w:p w14:paraId="7D7885AE" w14:textId="27187B44" w:rsidR="00472812" w:rsidRPr="008E76DC" w:rsidRDefault="00AA7765" w:rsidP="00221DBA">
      <w:pPr>
        <w:pStyle w:val="LV4"/>
        <w:ind w:left="2552"/>
      </w:pPr>
      <w:r>
        <w:t>Wilson</w:t>
      </w:r>
      <w:r w:rsidR="00EE0560">
        <w:t>'</w:t>
      </w:r>
      <w:r>
        <w:t>s disease.</w:t>
      </w:r>
    </w:p>
    <w:p w14:paraId="7B236895" w14:textId="4ECB63F7" w:rsidR="008F572A" w:rsidRPr="00FA33FB" w:rsidRDefault="00237BAF" w:rsidP="00EE0560">
      <w:pPr>
        <w:pStyle w:val="LVtext"/>
        <w:keepNext/>
      </w:pPr>
      <w:r w:rsidRPr="003A5C26">
        <w:lastRenderedPageBreak/>
        <w:t>Death from</w:t>
      </w:r>
      <w:r w:rsidR="008F572A" w:rsidRPr="00237BAF">
        <w:t xml:space="preserve"> </w:t>
      </w:r>
      <w:r w:rsidR="007F3DEC" w:rsidRPr="007F3DEC">
        <w:rPr>
          <w:b/>
        </w:rPr>
        <w:t>steatohepatitis</w:t>
      </w:r>
    </w:p>
    <w:p w14:paraId="18701D4F" w14:textId="14117D9E" w:rsidR="008F572A" w:rsidRPr="00237BAF" w:rsidRDefault="008F572A" w:rsidP="0047281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7F3DEC" w:rsidRPr="007F3DEC">
        <w:t>steatohepatitis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7F3DEC" w:rsidRPr="007F3DEC">
        <w:t>steatohepatitis</w:t>
      </w:r>
      <w:r w:rsidRPr="00D5620B">
        <w:t>.</w:t>
      </w:r>
    </w:p>
    <w:p w14:paraId="202118DF" w14:textId="77777777"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0E2772">
        <w:t>–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14:paraId="30C3ED31" w14:textId="77777777" w:rsidR="007C7DEE" w:rsidRPr="00A20CA1" w:rsidRDefault="007C7DEE" w:rsidP="00472812">
      <w:pPr>
        <w:pStyle w:val="LV1"/>
      </w:pPr>
      <w:bookmarkStart w:id="18" w:name="_Toc98497101"/>
      <w:r w:rsidRPr="00A20CA1">
        <w:t>Basis for determining the factors</w:t>
      </w:r>
      <w:bookmarkEnd w:id="18"/>
    </w:p>
    <w:p w14:paraId="676F43E5" w14:textId="22B7065F" w:rsidR="007C7DEE" w:rsidRPr="00237BAF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7F3DEC" w:rsidRPr="007F3DEC">
        <w:t>steatohepatitis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7F3DEC" w:rsidRPr="007F3DEC">
        <w:t>steatohepatitis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14:paraId="328C92E4" w14:textId="77777777" w:rsidR="00472812" w:rsidRPr="00046E67" w:rsidRDefault="00472812" w:rsidP="00472812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14:paraId="55EC017B" w14:textId="77777777" w:rsidR="007C7DEE" w:rsidRPr="00301C54" w:rsidRDefault="007C7DEE" w:rsidP="00472812">
      <w:pPr>
        <w:pStyle w:val="LV1"/>
      </w:pPr>
      <w:bookmarkStart w:id="19" w:name="_Ref411946955"/>
      <w:bookmarkStart w:id="20" w:name="_Ref411946997"/>
      <w:bookmarkStart w:id="21" w:name="_Ref412032503"/>
      <w:bookmarkStart w:id="22" w:name="_Toc98497102"/>
      <w:r w:rsidRPr="00301C54">
        <w:t xml:space="preserve">Factors that must </w:t>
      </w:r>
      <w:r w:rsidR="00D32F71">
        <w:t>exist</w:t>
      </w:r>
      <w:bookmarkEnd w:id="19"/>
      <w:bookmarkEnd w:id="20"/>
      <w:bookmarkEnd w:id="21"/>
      <w:bookmarkEnd w:id="22"/>
    </w:p>
    <w:p w14:paraId="5A019E8E" w14:textId="63A4F8E1" w:rsidR="007C7DEE" w:rsidRPr="00AA6D8B" w:rsidRDefault="002716E4" w:rsidP="00472812">
      <w:pPr>
        <w:pStyle w:val="PlainIndent"/>
      </w:pPr>
      <w:bookmarkStart w:id="23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7F3DEC" w:rsidRPr="007F3DEC">
        <w:t>steatohepatitis</w:t>
      </w:r>
      <w:r w:rsidR="007A3989">
        <w:t xml:space="preserve"> </w:t>
      </w:r>
      <w:r w:rsidR="007C7DEE" w:rsidRPr="00AA6D8B">
        <w:t xml:space="preserve">or death from </w:t>
      </w:r>
      <w:r w:rsidR="007F3DEC" w:rsidRPr="007F3DEC">
        <w:t>steatohepatitis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3"/>
    </w:p>
    <w:p w14:paraId="0B2C8362" w14:textId="77777777" w:rsidR="00670A50" w:rsidRDefault="00670A50" w:rsidP="00670A50">
      <w:pPr>
        <w:pStyle w:val="LV2"/>
      </w:pPr>
      <w:bookmarkStart w:id="24" w:name="_Ref402530260"/>
      <w:bookmarkStart w:id="25" w:name="_Ref409598844"/>
      <w:r>
        <w:t>having diabetes mellitus at the time of the clinical onset of steatohepatitis;</w:t>
      </w:r>
    </w:p>
    <w:p w14:paraId="45B8F941" w14:textId="77777777" w:rsidR="00670A50" w:rsidRDefault="00670A50" w:rsidP="00670A50">
      <w:pPr>
        <w:pStyle w:val="LV2"/>
      </w:pPr>
      <w:r>
        <w:t xml:space="preserve">being obese at the time of the clinical onset of steatohepatitis; </w:t>
      </w:r>
    </w:p>
    <w:p w14:paraId="643F045C" w14:textId="77777777" w:rsidR="00670A50" w:rsidRDefault="00670A50" w:rsidP="00670A50">
      <w:pPr>
        <w:pStyle w:val="NOTE"/>
      </w:pPr>
      <w:r>
        <w:t xml:space="preserve">Note: </w:t>
      </w:r>
      <w:r w:rsidRPr="00F856D9">
        <w:rPr>
          <w:b/>
          <w:i/>
        </w:rPr>
        <w:t>being obese</w:t>
      </w:r>
      <w:r>
        <w:t xml:space="preserve"> is defined in the Schedule 1 – Dictionary.</w:t>
      </w:r>
    </w:p>
    <w:p w14:paraId="60971DC7" w14:textId="77777777" w:rsidR="00670A50" w:rsidRDefault="00670A50" w:rsidP="00670A50">
      <w:pPr>
        <w:pStyle w:val="LV2"/>
      </w:pPr>
      <w:r>
        <w:t>having rapid weight loss causing protein-calorie malnutrition within the 18 months before the clinical onset of steatohepatitis;</w:t>
      </w:r>
    </w:p>
    <w:p w14:paraId="205E4BC3" w14:textId="77777777" w:rsidR="00670A50" w:rsidRDefault="00670A50" w:rsidP="00670A50">
      <w:pPr>
        <w:pStyle w:val="NOTE"/>
      </w:pPr>
      <w:r>
        <w:t xml:space="preserve">Note: </w:t>
      </w:r>
      <w:r w:rsidRPr="00F856D9">
        <w:rPr>
          <w:b/>
          <w:i/>
        </w:rPr>
        <w:t>rapid weight loss</w:t>
      </w:r>
      <w:r>
        <w:t xml:space="preserve"> is defined in the Schedule 1 – Dictionary.</w:t>
      </w:r>
    </w:p>
    <w:p w14:paraId="5C8D43F7" w14:textId="77777777" w:rsidR="00670A50" w:rsidRDefault="00670A50" w:rsidP="00670A50">
      <w:pPr>
        <w:pStyle w:val="LV2"/>
      </w:pPr>
      <w:r>
        <w:t>undergoing jejunoileal bypass surgery before the clinical onset of steatohepatitis;</w:t>
      </w:r>
    </w:p>
    <w:p w14:paraId="3275498D" w14:textId="4B83E9CE" w:rsidR="00670A50" w:rsidRDefault="00670A50" w:rsidP="00670A50">
      <w:pPr>
        <w:pStyle w:val="LV2"/>
      </w:pPr>
      <w:r>
        <w:t>receiving total parenteral nutri</w:t>
      </w:r>
      <w:r w:rsidR="00A27FDC">
        <w:t>tion for at least 6 months</w:t>
      </w:r>
      <w:r>
        <w:t xml:space="preserve"> within the 1</w:t>
      </w:r>
      <w:r w:rsidR="00AF6AC3">
        <w:t> </w:t>
      </w:r>
      <w:r>
        <w:t>year before the clinical onset of steatohepatitis;</w:t>
      </w:r>
    </w:p>
    <w:p w14:paraId="58937280" w14:textId="77777777" w:rsidR="00670A50" w:rsidRDefault="00670A50" w:rsidP="00670A50">
      <w:pPr>
        <w:pStyle w:val="NOTE"/>
      </w:pPr>
      <w:r>
        <w:t xml:space="preserve">Note: </w:t>
      </w:r>
      <w:r w:rsidRPr="00F856D9">
        <w:rPr>
          <w:b/>
          <w:i/>
        </w:rPr>
        <w:t>total parenteral nutrition</w:t>
      </w:r>
      <w:r>
        <w:t xml:space="preserve"> is defined in the Schedule 1 – Dictionary.</w:t>
      </w:r>
    </w:p>
    <w:p w14:paraId="2B9C6EE5" w14:textId="77777777" w:rsidR="00670A50" w:rsidRDefault="00670A50" w:rsidP="00670A50">
      <w:pPr>
        <w:pStyle w:val="LV2"/>
      </w:pPr>
      <w:r>
        <w:t>having dyslipidaemia at the time of the clinical onset of steatohepatitis;</w:t>
      </w:r>
    </w:p>
    <w:p w14:paraId="2B570B3A" w14:textId="77777777" w:rsidR="00670A50" w:rsidRDefault="00670A50" w:rsidP="00670A50">
      <w:pPr>
        <w:pStyle w:val="NOTE"/>
      </w:pPr>
      <w:r>
        <w:t xml:space="preserve">Note: </w:t>
      </w:r>
      <w:r w:rsidRPr="00F856D9">
        <w:rPr>
          <w:b/>
          <w:i/>
        </w:rPr>
        <w:t>dyslipidaemia</w:t>
      </w:r>
      <w:r>
        <w:t xml:space="preserve"> is defined in the Schedule 1 – Dictionary.</w:t>
      </w:r>
    </w:p>
    <w:p w14:paraId="45568736" w14:textId="24860978" w:rsidR="00670A50" w:rsidRDefault="00A27FDC" w:rsidP="00670A50">
      <w:pPr>
        <w:pStyle w:val="LV2"/>
      </w:pPr>
      <w:r>
        <w:t xml:space="preserve">for </w:t>
      </w:r>
      <w:r w:rsidR="00BE694A">
        <w:t>males</w:t>
      </w:r>
      <w:r>
        <w:t>, consuming at least 75</w:t>
      </w:r>
      <w:r w:rsidR="00670A50">
        <w:t xml:space="preserve"> kilograms of alcohol within any </w:t>
      </w:r>
      <w:r w:rsidR="00AF6AC3">
        <w:t xml:space="preserve">5 </w:t>
      </w:r>
      <w:r w:rsidR="00670A50">
        <w:t>year period before the clinical onset of steatohepatitis;</w:t>
      </w:r>
    </w:p>
    <w:p w14:paraId="238E05F9" w14:textId="77777777" w:rsidR="00670A50" w:rsidRDefault="00670A50" w:rsidP="00670A50">
      <w:pPr>
        <w:pStyle w:val="NOTE"/>
      </w:pPr>
      <w:r>
        <w:t>Note: Alcohol consumption is calculated utilising the Australian Standard of ten grams of alcohol per standard alcoholic drink.</w:t>
      </w:r>
    </w:p>
    <w:p w14:paraId="1A87F5C1" w14:textId="06AC8398" w:rsidR="00670A50" w:rsidRDefault="00670A50" w:rsidP="00670A50">
      <w:pPr>
        <w:pStyle w:val="LV2"/>
      </w:pPr>
      <w:r>
        <w:t xml:space="preserve">for </w:t>
      </w:r>
      <w:r w:rsidR="00BE694A">
        <w:t>females</w:t>
      </w:r>
      <w:r w:rsidR="00A27FDC">
        <w:t>, consuming at least 40</w:t>
      </w:r>
      <w:r>
        <w:t xml:space="preserve"> kilograms of alcohol within any </w:t>
      </w:r>
      <w:r w:rsidR="00EE0560">
        <w:t>5 </w:t>
      </w:r>
      <w:r>
        <w:t>year period before the clinical onset of steatohepatitis</w:t>
      </w:r>
      <w:r w:rsidR="00A27FDC">
        <w:t>;</w:t>
      </w:r>
    </w:p>
    <w:p w14:paraId="6CEBADD9" w14:textId="77777777" w:rsidR="00670A50" w:rsidRPr="00A27FDC" w:rsidRDefault="00670A50" w:rsidP="00474CDF">
      <w:pPr>
        <w:pStyle w:val="NOTE"/>
      </w:pPr>
      <w:r w:rsidRPr="00A27FDC">
        <w:lastRenderedPageBreak/>
        <w:t>Note: Alcohol consumption is calculated utilising the Australian Standard of ten grams of alcohol per standard alcoholic drink.</w:t>
      </w:r>
    </w:p>
    <w:p w14:paraId="28795BA3" w14:textId="77777777" w:rsidR="009349ED" w:rsidRDefault="009349ED" w:rsidP="00474CDF">
      <w:pPr>
        <w:pStyle w:val="LV2"/>
      </w:pPr>
      <w:r w:rsidRPr="009349ED">
        <w:t>taking irinotecan for at least the 30 days before the clinical onset of steatohepatitis;</w:t>
      </w:r>
    </w:p>
    <w:p w14:paraId="52BD5527" w14:textId="429A6EEB" w:rsidR="00472812" w:rsidRDefault="009349ED" w:rsidP="00474CDF">
      <w:pPr>
        <w:pStyle w:val="LV2"/>
      </w:pPr>
      <w:r w:rsidRPr="000D1C3C">
        <w:rPr>
          <w:rFonts w:cs="Arial"/>
          <w:szCs w:val="22"/>
        </w:rPr>
        <w:t>taking a drug specified in the Schedule 2 - Drugs of this Instrument, that cannot be ceased or substituted</w:t>
      </w:r>
      <w:r>
        <w:rPr>
          <w:rFonts w:cs="Arial"/>
          <w:szCs w:val="22"/>
        </w:rPr>
        <w:t>,</w:t>
      </w:r>
      <w:r w:rsidRPr="000D1C3C">
        <w:rPr>
          <w:rFonts w:cs="Arial"/>
          <w:szCs w:val="22"/>
        </w:rPr>
        <w:t xml:space="preserve"> for at least the 30 days before the clinical onset of steatohepatitis</w:t>
      </w:r>
      <w:r w:rsidR="00472812" w:rsidRPr="008D1B8B">
        <w:t>;</w:t>
      </w:r>
    </w:p>
    <w:p w14:paraId="54E7EB6A" w14:textId="77777777" w:rsidR="00EE0560" w:rsidRDefault="00EE0560" w:rsidP="00474CDF">
      <w:pPr>
        <w:pStyle w:val="LV2"/>
      </w:pPr>
      <w:r>
        <w:t xml:space="preserve">taking a drug that cannot be ceased or substituted and which is associated in the individual with: </w:t>
      </w:r>
    </w:p>
    <w:p w14:paraId="603F223D" w14:textId="77777777" w:rsidR="00EE0560" w:rsidRDefault="00EE0560" w:rsidP="00EE0560">
      <w:pPr>
        <w:pStyle w:val="LV3"/>
      </w:pPr>
      <w:r>
        <w:t xml:space="preserve">the development of steatohepatitis within 30 days of first taking the drug; and </w:t>
      </w:r>
    </w:p>
    <w:p w14:paraId="71116B1A" w14:textId="77777777" w:rsidR="00EE0560" w:rsidRDefault="00EE0560" w:rsidP="00EE0560">
      <w:pPr>
        <w:pStyle w:val="LV3"/>
      </w:pPr>
      <w:r>
        <w:t>the redevelopment of steatohepatitis on rechallenge with the same drug;</w:t>
      </w:r>
    </w:p>
    <w:p w14:paraId="4478AA4F" w14:textId="7AC332F7" w:rsidR="007C7DEE" w:rsidRPr="008D1B8B" w:rsidRDefault="007C7DEE" w:rsidP="00472812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4"/>
      <w:r w:rsidR="007A3989">
        <w:t xml:space="preserve"> </w:t>
      </w:r>
      <w:r w:rsidR="007F3DEC" w:rsidRPr="007F3DEC">
        <w:t>steatohepatitis</w:t>
      </w:r>
      <w:r w:rsidR="00D5620B" w:rsidRPr="008D1B8B">
        <w:t>.</w:t>
      </w:r>
      <w:bookmarkEnd w:id="25"/>
    </w:p>
    <w:p w14:paraId="642A7D2D" w14:textId="77777777" w:rsidR="000C21A3" w:rsidRPr="00684C0E" w:rsidRDefault="00D32F71" w:rsidP="00472812">
      <w:pPr>
        <w:pStyle w:val="LV1"/>
      </w:pPr>
      <w:bookmarkStart w:id="26" w:name="_Toc98497103"/>
      <w:bookmarkStart w:id="27" w:name="_Ref402530057"/>
      <w:r>
        <w:t>Relationship to s</w:t>
      </w:r>
      <w:r w:rsidR="000C21A3" w:rsidRPr="00684C0E">
        <w:t>ervice</w:t>
      </w:r>
      <w:bookmarkEnd w:id="26"/>
    </w:p>
    <w:p w14:paraId="4D111771" w14:textId="77777777" w:rsidR="00F03C06" w:rsidRPr="00187DE1" w:rsidRDefault="00F03C06" w:rsidP="0047281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7"/>
    <w:p w14:paraId="23BD19B4" w14:textId="1692D47F" w:rsidR="00CF2367" w:rsidRPr="00187DE1" w:rsidRDefault="00F03C06" w:rsidP="00472812">
      <w:pPr>
        <w:pStyle w:val="LV2"/>
      </w:pPr>
      <w:r w:rsidRPr="00187DE1">
        <w:t xml:space="preserve">The factor set out in </w:t>
      </w:r>
      <w:r w:rsidR="00791B11">
        <w:t>subsection</w:t>
      </w:r>
      <w:r w:rsidR="00FF1D47">
        <w:t xml:space="preserve"> </w:t>
      </w:r>
      <w:r w:rsidR="007959B9">
        <w:t>9</w:t>
      </w:r>
      <w:r w:rsidR="009349ED">
        <w:t>(1</w:t>
      </w:r>
      <w:r w:rsidR="00EE0560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7F3DEC" w:rsidRPr="007F3DEC">
        <w:t>steatohepatitis</w:t>
      </w:r>
      <w:r w:rsidR="007A3989">
        <w:t xml:space="preserve"> </w:t>
      </w:r>
      <w:r w:rsidRPr="00187DE1">
        <w:t>where the person</w:t>
      </w:r>
      <w:r w:rsidR="007E5B4C">
        <w:t>'</w:t>
      </w:r>
      <w:r w:rsidRPr="00187DE1">
        <w:t xml:space="preserve">s </w:t>
      </w:r>
      <w:r w:rsidR="007F3DEC" w:rsidRPr="007F3DEC">
        <w:t>steatohepatitis</w:t>
      </w:r>
      <w:r w:rsidR="007A3989">
        <w:t xml:space="preserve"> </w:t>
      </w:r>
      <w:r w:rsidRPr="00187DE1">
        <w:t>was suffered or contracted before or during (but did not arise out of) the person</w:t>
      </w:r>
      <w:r w:rsidR="007E5B4C">
        <w:t>'</w:t>
      </w:r>
      <w:r w:rsidR="00791B11">
        <w:t xml:space="preserve">s relevant service.  </w:t>
      </w:r>
    </w:p>
    <w:p w14:paraId="288FC517" w14:textId="77777777" w:rsidR="00774897" w:rsidRPr="00301C54" w:rsidRDefault="00774897" w:rsidP="00472812">
      <w:pPr>
        <w:pStyle w:val="LV1"/>
      </w:pPr>
      <w:bookmarkStart w:id="28" w:name="_Toc9849710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8"/>
    </w:p>
    <w:p w14:paraId="2E88CDC3" w14:textId="77777777" w:rsidR="00F03C06" w:rsidRPr="00E64EE4" w:rsidRDefault="00F03C06" w:rsidP="00472812">
      <w:pPr>
        <w:pStyle w:val="PlainIndent"/>
      </w:pPr>
      <w:r w:rsidRPr="00E64EE4">
        <w:t>In this Statement of Principles:</w:t>
      </w:r>
    </w:p>
    <w:p w14:paraId="514A737A" w14:textId="77777777" w:rsidR="00F03C06" w:rsidRPr="00E64EE4" w:rsidRDefault="00F03C06" w:rsidP="0047281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14:paraId="303CEDA8" w14:textId="77777777" w:rsidR="00733269" w:rsidRPr="00E64EE4" w:rsidRDefault="00F03C06" w:rsidP="0047281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14:paraId="2C7613CF" w14:textId="77777777" w:rsidR="00F03C06" w:rsidRDefault="00733269" w:rsidP="00472812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14:paraId="48E2B481" w14:textId="77777777" w:rsidR="00782F4E" w:rsidRPr="00E64EE4" w:rsidRDefault="00782F4E" w:rsidP="00472812">
      <w:pPr>
        <w:pStyle w:val="PlainIndent"/>
      </w:pPr>
    </w:p>
    <w:p w14:paraId="3C339D91" w14:textId="77777777" w:rsidR="00081B7C" w:rsidRPr="00FA33FB" w:rsidRDefault="00081B7C" w:rsidP="00472812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14:paraId="2330A250" w14:textId="77777777" w:rsidR="00F03C06" w:rsidRDefault="00F03C06" w:rsidP="00472812">
      <w:pPr>
        <w:pStyle w:val="PlainIndent"/>
      </w:pPr>
    </w:p>
    <w:p w14:paraId="1BCF9A5A" w14:textId="77777777" w:rsidR="00CF2367" w:rsidRPr="00FA33FB" w:rsidRDefault="00CF2367" w:rsidP="002A3436">
      <w:pPr>
        <w:pStyle w:val="SHHeader"/>
      </w:pPr>
      <w:bookmarkStart w:id="29" w:name="opcAmSched"/>
      <w:bookmarkStart w:id="30" w:name="opcCurrentFind"/>
      <w:bookmarkStart w:id="31" w:name="_Toc9849710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9"/>
      <w:bookmarkEnd w:id="30"/>
      <w:bookmarkEnd w:id="31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14:paraId="06612685" w14:textId="77777777"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14:paraId="580F7C27" w14:textId="77777777" w:rsidR="00BD3334" w:rsidRDefault="00702C42" w:rsidP="00516768">
      <w:pPr>
        <w:pStyle w:val="SH1"/>
      </w:pPr>
      <w:bookmarkStart w:id="32" w:name="_Toc405472918"/>
      <w:bookmarkStart w:id="33" w:name="_Toc98497106"/>
      <w:r w:rsidRPr="00D97BB3">
        <w:t>Definitions</w:t>
      </w:r>
      <w:bookmarkEnd w:id="32"/>
      <w:bookmarkEnd w:id="33"/>
    </w:p>
    <w:p w14:paraId="651ADB14" w14:textId="77777777" w:rsidR="00702C42" w:rsidRPr="00516768" w:rsidRDefault="00702C42" w:rsidP="00472812">
      <w:pPr>
        <w:pStyle w:val="SH2"/>
      </w:pPr>
      <w:r w:rsidRPr="00516768">
        <w:t>In this instrument:</w:t>
      </w:r>
    </w:p>
    <w:p w14:paraId="6651B405" w14:textId="77777777" w:rsidR="00A81E01" w:rsidRPr="00416742" w:rsidRDefault="00A81E01" w:rsidP="00A81E01">
      <w:pPr>
        <w:pStyle w:val="SH3"/>
      </w:pPr>
      <w:bookmarkStart w:id="34" w:name="_Ref402530810"/>
      <w:bookmarkStart w:id="35" w:name="_GoBack"/>
      <w:bookmarkEnd w:id="35"/>
      <w:r w:rsidRPr="00416742">
        <w:rPr>
          <w:b/>
          <w:i/>
        </w:rPr>
        <w:t>being obese</w:t>
      </w:r>
      <w:r w:rsidRPr="00416742">
        <w:t xml:space="preserve"> means: </w:t>
      </w:r>
    </w:p>
    <w:p w14:paraId="6774104F" w14:textId="77777777" w:rsidR="00A81E01" w:rsidRPr="00416742" w:rsidRDefault="00A81E01" w:rsidP="00F856D9">
      <w:pPr>
        <w:pStyle w:val="SH4"/>
      </w:pPr>
      <w:r w:rsidRPr="00416742">
        <w:t xml:space="preserve">having a Body Mass Index (BMI) of 30 or greater; or </w:t>
      </w:r>
    </w:p>
    <w:p w14:paraId="6AA2A780" w14:textId="590B09B5" w:rsidR="00A81E01" w:rsidRPr="00416742" w:rsidRDefault="00A81E01" w:rsidP="00F856D9">
      <w:pPr>
        <w:pStyle w:val="SH4"/>
      </w:pPr>
      <w:r w:rsidRPr="00416742">
        <w:t>for males, having a waist circumference exceeding 102 centimetres; or</w:t>
      </w:r>
    </w:p>
    <w:p w14:paraId="7D00BC8D" w14:textId="77777777" w:rsidR="00A81E01" w:rsidRPr="00416742" w:rsidRDefault="00A81E01" w:rsidP="00F856D9">
      <w:pPr>
        <w:pStyle w:val="SH4"/>
      </w:pPr>
      <w:proofErr w:type="gramStart"/>
      <w:r w:rsidRPr="00416742">
        <w:t>for</w:t>
      </w:r>
      <w:proofErr w:type="gramEnd"/>
      <w:r w:rsidRPr="00416742">
        <w:t xml:space="preserve"> females, having a waist circumference exceeding 88 centimetres.</w:t>
      </w:r>
    </w:p>
    <w:p w14:paraId="204E725F" w14:textId="77777777" w:rsidR="00A81E01" w:rsidRPr="00416742" w:rsidRDefault="00A81E01" w:rsidP="00474CDF">
      <w:pPr>
        <w:pStyle w:val="ScheduleNote"/>
        <w:ind w:left="907"/>
      </w:pPr>
      <w:r w:rsidRPr="00416742">
        <w:t xml:space="preserve">Note: </w:t>
      </w:r>
      <w:r w:rsidRPr="00416742">
        <w:rPr>
          <w:b/>
          <w:i/>
        </w:rPr>
        <w:t>BMI</w:t>
      </w:r>
      <w:r w:rsidRPr="00416742">
        <w:t xml:space="preserve"> is also defined in the Schedule 1 - Dictionary. </w:t>
      </w:r>
    </w:p>
    <w:p w14:paraId="4DAF1D1C" w14:textId="77777777" w:rsidR="00A81E01" w:rsidRPr="00416742" w:rsidRDefault="00A81E01" w:rsidP="00A81E01">
      <w:pPr>
        <w:pStyle w:val="SH3"/>
      </w:pPr>
      <w:r w:rsidRPr="00416742">
        <w:rPr>
          <w:b/>
          <w:i/>
        </w:rPr>
        <w:t>BMI</w:t>
      </w:r>
      <w:r w:rsidRPr="00416742">
        <w:t xml:space="preserve"> means W/H</w:t>
      </w:r>
      <w:r w:rsidRPr="00416742">
        <w:rPr>
          <w:vertAlign w:val="superscript"/>
        </w:rPr>
        <w:t>2</w:t>
      </w:r>
      <w:r w:rsidRPr="00416742">
        <w:t xml:space="preserve"> where: </w:t>
      </w:r>
    </w:p>
    <w:p w14:paraId="51FC9E00" w14:textId="5BEED48F" w:rsidR="00A81E01" w:rsidRPr="00416742" w:rsidRDefault="00A81E01" w:rsidP="00F856D9">
      <w:pPr>
        <w:pStyle w:val="SH4"/>
      </w:pPr>
      <w:r w:rsidRPr="00416742">
        <w:t xml:space="preserve">W is the person's weight in kilograms; and </w:t>
      </w:r>
    </w:p>
    <w:p w14:paraId="6346563E" w14:textId="745D506E" w:rsidR="00A81E01" w:rsidRPr="00416742" w:rsidRDefault="00A81E01" w:rsidP="00F856D9">
      <w:pPr>
        <w:pStyle w:val="SH4"/>
      </w:pPr>
      <w:r w:rsidRPr="00416742">
        <w:t>H is the person's height in metres.</w:t>
      </w:r>
    </w:p>
    <w:p w14:paraId="45C514FE" w14:textId="77777777" w:rsidR="00A81E01" w:rsidRPr="00416742" w:rsidRDefault="00A81E01" w:rsidP="00A81E01">
      <w:pPr>
        <w:pStyle w:val="SH3"/>
      </w:pPr>
      <w:r w:rsidRPr="00416742">
        <w:rPr>
          <w:b/>
          <w:i/>
        </w:rPr>
        <w:t>dyslipidaemia</w:t>
      </w:r>
      <w:r w:rsidRPr="00416742">
        <w:t xml:space="preserve"> means persistently abnormal blood lipid levels, diagnosed by a medical practitioner and evidenced by:</w:t>
      </w:r>
    </w:p>
    <w:p w14:paraId="34C31F6D" w14:textId="77777777" w:rsidR="00A81E01" w:rsidRPr="00416742" w:rsidRDefault="00A81E01" w:rsidP="00F856D9">
      <w:pPr>
        <w:pStyle w:val="SH4"/>
      </w:pPr>
      <w:r w:rsidRPr="00416742">
        <w:t>a serum high density lipoprotein cholesterol level less than 1.0 mmol/L; or</w:t>
      </w:r>
    </w:p>
    <w:p w14:paraId="3C99798E" w14:textId="77777777" w:rsidR="00A81E01" w:rsidRPr="00416742" w:rsidRDefault="00A81E01" w:rsidP="00F856D9">
      <w:pPr>
        <w:pStyle w:val="SH4"/>
      </w:pPr>
      <w:r w:rsidRPr="00416742">
        <w:t>a serum low density lipoprotein cholesterol level greater than 4.0 mmol/L; or</w:t>
      </w:r>
    </w:p>
    <w:p w14:paraId="66D91812" w14:textId="77777777" w:rsidR="00A81E01" w:rsidRPr="00416742" w:rsidRDefault="00A81E01" w:rsidP="00F856D9">
      <w:pPr>
        <w:pStyle w:val="SH4"/>
      </w:pPr>
      <w:r w:rsidRPr="00416742">
        <w:t>a serum triglyceride level greater than or equal to 2.0 mmol/L; or</w:t>
      </w:r>
    </w:p>
    <w:p w14:paraId="317D626D" w14:textId="77777777" w:rsidR="00A81E01" w:rsidRPr="00416742" w:rsidRDefault="00A81E01" w:rsidP="00F856D9">
      <w:pPr>
        <w:pStyle w:val="SH4"/>
      </w:pPr>
      <w:r w:rsidRPr="00416742">
        <w:t>a total serum cholesterol level greater than 5.5 mmol/L; or</w:t>
      </w:r>
    </w:p>
    <w:p w14:paraId="3235BB0D" w14:textId="77777777" w:rsidR="00A81E01" w:rsidRPr="00416742" w:rsidRDefault="00A81E01" w:rsidP="00F856D9">
      <w:pPr>
        <w:pStyle w:val="SH4"/>
      </w:pPr>
      <w:proofErr w:type="gramStart"/>
      <w:r w:rsidRPr="00416742">
        <w:t>the</w:t>
      </w:r>
      <w:proofErr w:type="gramEnd"/>
      <w:r w:rsidRPr="00416742">
        <w:t xml:space="preserve"> regular administration of drug therapy to normalise blood lipid levels.</w:t>
      </w:r>
    </w:p>
    <w:p w14:paraId="3D87FACE" w14:textId="77777777" w:rsidR="00A81E01" w:rsidRPr="00416742" w:rsidRDefault="00A81E01" w:rsidP="00A81E01">
      <w:pPr>
        <w:pStyle w:val="SH3"/>
      </w:pPr>
      <w:r w:rsidRPr="00416742">
        <w:rPr>
          <w:b/>
          <w:i/>
        </w:rPr>
        <w:t>MRCA</w:t>
      </w:r>
      <w:r w:rsidRPr="00416742">
        <w:t xml:space="preserve"> means the </w:t>
      </w:r>
      <w:r w:rsidRPr="00416742">
        <w:rPr>
          <w:i/>
        </w:rPr>
        <w:t>Military Rehabilitation and Compensation Act 2004</w:t>
      </w:r>
      <w:r w:rsidRPr="00416742">
        <w:t>.</w:t>
      </w:r>
    </w:p>
    <w:p w14:paraId="2FA84C4A" w14:textId="77777777" w:rsidR="00A81E01" w:rsidRPr="00416742" w:rsidRDefault="00A81E01">
      <w:pPr>
        <w:pStyle w:val="SH3"/>
      </w:pPr>
      <w:proofErr w:type="gramStart"/>
      <w:r w:rsidRPr="00416742">
        <w:rPr>
          <w:b/>
          <w:i/>
        </w:rPr>
        <w:t>rapid</w:t>
      </w:r>
      <w:proofErr w:type="gramEnd"/>
      <w:r w:rsidRPr="00416742">
        <w:rPr>
          <w:b/>
          <w:i/>
        </w:rPr>
        <w:t xml:space="preserve"> weight loss</w:t>
      </w:r>
      <w:r w:rsidRPr="00416742">
        <w:t xml:space="preserve"> means reduction of body mass by at least 20 percent, within a continuous period of no more than 6 months.</w:t>
      </w:r>
    </w:p>
    <w:p w14:paraId="668383A7" w14:textId="77777777" w:rsidR="00A81E01" w:rsidRPr="00416742" w:rsidRDefault="00A81E01" w:rsidP="00474CDF">
      <w:pPr>
        <w:pStyle w:val="ScheduleNote"/>
        <w:ind w:left="1332" w:hanging="425"/>
      </w:pPr>
      <w:r w:rsidRPr="00416742">
        <w:t>Note: Situations which can be associated with rapid weight loss and protein-calorie malnutrition include anorexia nervosa, acute starvation and surgery causing significant diarrhoea or malabsorption (for example, extensive small bowel resection and pancreaticoduodenectomy).</w:t>
      </w:r>
    </w:p>
    <w:p w14:paraId="5E5E9687" w14:textId="77777777" w:rsidR="00024D3F" w:rsidRPr="00416742" w:rsidRDefault="00024D3F" w:rsidP="00024D3F">
      <w:pPr>
        <w:pStyle w:val="SH3"/>
      </w:pPr>
      <w:r w:rsidRPr="00416742">
        <w:rPr>
          <w:b/>
          <w:i/>
        </w:rPr>
        <w:t>relevant service</w:t>
      </w:r>
      <w:r w:rsidRPr="00416742">
        <w:t xml:space="preserve"> means:</w:t>
      </w:r>
    </w:p>
    <w:p w14:paraId="6DC1925B" w14:textId="77777777" w:rsidR="00024D3F" w:rsidRPr="00416742" w:rsidRDefault="00024D3F" w:rsidP="00F856D9">
      <w:pPr>
        <w:pStyle w:val="SH4"/>
      </w:pPr>
      <w:r w:rsidRPr="00416742">
        <w:t>eligible war service (other than operational service) under the VEA;</w:t>
      </w:r>
    </w:p>
    <w:p w14:paraId="36189AAE" w14:textId="77777777" w:rsidR="00024D3F" w:rsidRPr="00416742" w:rsidRDefault="00024D3F" w:rsidP="00F856D9">
      <w:pPr>
        <w:pStyle w:val="SH4"/>
      </w:pPr>
      <w:r w:rsidRPr="00416742">
        <w:t>defence service (other than hazardous service and British nuclear test defence service) under the VEA; or</w:t>
      </w:r>
    </w:p>
    <w:p w14:paraId="68F2D528" w14:textId="77777777" w:rsidR="00024D3F" w:rsidRPr="00416742" w:rsidRDefault="00024D3F" w:rsidP="00F856D9">
      <w:pPr>
        <w:pStyle w:val="SH4"/>
      </w:pPr>
      <w:proofErr w:type="gramStart"/>
      <w:r w:rsidRPr="00416742">
        <w:t>peacetime</w:t>
      </w:r>
      <w:proofErr w:type="gramEnd"/>
      <w:r w:rsidRPr="00416742">
        <w:t xml:space="preserve"> service under the MRCA.</w:t>
      </w:r>
    </w:p>
    <w:p w14:paraId="46E85877" w14:textId="77777777" w:rsidR="00024D3F" w:rsidRPr="00416742" w:rsidRDefault="00024D3F" w:rsidP="00024D3F">
      <w:pPr>
        <w:pStyle w:val="NOTE"/>
      </w:pPr>
      <w:r w:rsidRPr="00416742">
        <w:t xml:space="preserve">Note: </w:t>
      </w:r>
      <w:r w:rsidRPr="00416742">
        <w:rPr>
          <w:b/>
          <w:i/>
        </w:rPr>
        <w:t>MRCA</w:t>
      </w:r>
      <w:r w:rsidRPr="00416742">
        <w:t xml:space="preserve"> and </w:t>
      </w:r>
      <w:r w:rsidRPr="00416742">
        <w:rPr>
          <w:b/>
          <w:i/>
        </w:rPr>
        <w:t>VEA</w:t>
      </w:r>
      <w:r w:rsidRPr="00416742">
        <w:t xml:space="preserve"> are also defined in the Schedule 1 – Dictionary.</w:t>
      </w:r>
    </w:p>
    <w:p w14:paraId="5A96AD83" w14:textId="77777777" w:rsidR="00A81E01" w:rsidRPr="00416742" w:rsidRDefault="00A81E01" w:rsidP="00A81E01">
      <w:pPr>
        <w:pStyle w:val="SH3"/>
      </w:pPr>
      <w:proofErr w:type="gramStart"/>
      <w:r w:rsidRPr="00416742">
        <w:rPr>
          <w:b/>
          <w:i/>
        </w:rPr>
        <w:t>steatohepatitis</w:t>
      </w:r>
      <w:r w:rsidRPr="00416742">
        <w:t>—</w:t>
      </w:r>
      <w:proofErr w:type="gramEnd"/>
      <w:r w:rsidRPr="00416742">
        <w:t>see subsection 7(2).</w:t>
      </w:r>
    </w:p>
    <w:p w14:paraId="618B6416" w14:textId="77777777" w:rsidR="00A81E01" w:rsidRDefault="00A81E01" w:rsidP="00A81E01">
      <w:pPr>
        <w:pStyle w:val="SH3"/>
      </w:pPr>
      <w:r w:rsidRPr="00416742">
        <w:rPr>
          <w:b/>
          <w:i/>
        </w:rPr>
        <w:t>terminal event</w:t>
      </w:r>
      <w:r w:rsidRPr="00416742">
        <w:t xml:space="preserve"> means</w:t>
      </w:r>
      <w:r>
        <w:t xml:space="preserve"> the proximate or ultimate cause of death and includes the following:</w:t>
      </w:r>
    </w:p>
    <w:p w14:paraId="3B8B969B" w14:textId="77777777" w:rsidR="00A81E01" w:rsidRDefault="00A81E01" w:rsidP="00F856D9">
      <w:pPr>
        <w:pStyle w:val="SH4"/>
      </w:pPr>
      <w:r>
        <w:tab/>
        <w:t>pneumonia;</w:t>
      </w:r>
    </w:p>
    <w:p w14:paraId="751D8063" w14:textId="77777777" w:rsidR="00A81E01" w:rsidRDefault="00A81E01" w:rsidP="00F856D9">
      <w:pPr>
        <w:pStyle w:val="SH4"/>
      </w:pPr>
      <w:r>
        <w:tab/>
        <w:t>respiratory failure;</w:t>
      </w:r>
    </w:p>
    <w:p w14:paraId="07D34C21" w14:textId="77777777" w:rsidR="00A81E01" w:rsidRDefault="00A81E01" w:rsidP="00F856D9">
      <w:pPr>
        <w:pStyle w:val="SH4"/>
      </w:pPr>
      <w:r>
        <w:tab/>
        <w:t>cardiac arrest;</w:t>
      </w:r>
    </w:p>
    <w:p w14:paraId="501C52B2" w14:textId="77777777" w:rsidR="00A81E01" w:rsidRDefault="00A81E01" w:rsidP="00F856D9">
      <w:pPr>
        <w:pStyle w:val="SH4"/>
      </w:pPr>
      <w:r>
        <w:lastRenderedPageBreak/>
        <w:tab/>
        <w:t>circulatory failure; or</w:t>
      </w:r>
    </w:p>
    <w:p w14:paraId="699D6628" w14:textId="77777777" w:rsidR="00A81E01" w:rsidRDefault="00A81E01" w:rsidP="00F856D9">
      <w:pPr>
        <w:pStyle w:val="SH4"/>
      </w:pPr>
      <w:r>
        <w:tab/>
      </w:r>
      <w:proofErr w:type="gramStart"/>
      <w:r>
        <w:t>cessation</w:t>
      </w:r>
      <w:proofErr w:type="gramEnd"/>
      <w:r>
        <w:t xml:space="preserve"> of brain function.</w:t>
      </w:r>
    </w:p>
    <w:p w14:paraId="5664F129" w14:textId="77777777" w:rsidR="00A81E01" w:rsidRDefault="00A81E01" w:rsidP="00A81E01">
      <w:pPr>
        <w:pStyle w:val="SH3"/>
      </w:pPr>
      <w:proofErr w:type="gramStart"/>
      <w:r w:rsidRPr="00A81E01">
        <w:rPr>
          <w:b/>
          <w:i/>
        </w:rPr>
        <w:t>total</w:t>
      </w:r>
      <w:proofErr w:type="gramEnd"/>
      <w:r w:rsidRPr="00A81E01">
        <w:rPr>
          <w:b/>
          <w:i/>
        </w:rPr>
        <w:t xml:space="preserve"> parenteral nutrition</w:t>
      </w:r>
      <w:r>
        <w:t xml:space="preserve"> means a total nutrient admixture providing calories, amino acids, electrolytes, fluids, minerals, trace elements and vitamins, by the intravenous route.</w:t>
      </w:r>
    </w:p>
    <w:p w14:paraId="7984898F" w14:textId="77777777" w:rsidR="00472812" w:rsidRDefault="00A81E01" w:rsidP="00A81E01">
      <w:pPr>
        <w:pStyle w:val="SH3"/>
      </w:pPr>
      <w:r w:rsidRPr="00A81E01">
        <w:rPr>
          <w:b/>
          <w:i/>
        </w:rPr>
        <w:t>VEA</w:t>
      </w:r>
      <w:r>
        <w:t xml:space="preserve"> means the </w:t>
      </w:r>
      <w:r w:rsidRPr="00F856D9">
        <w:rPr>
          <w:i/>
        </w:rPr>
        <w:t>Veterans' Entitlements Act 1986.</w:t>
      </w:r>
    </w:p>
    <w:bookmarkEnd w:id="34"/>
    <w:p w14:paraId="5F40A056" w14:textId="77777777" w:rsidR="00CF2367" w:rsidRPr="00FA33FB" w:rsidRDefault="00CF2367" w:rsidP="00CF2367"/>
    <w:p w14:paraId="4D53EB3E" w14:textId="77777777"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14:paraId="277487DC" w14:textId="77777777" w:rsidR="00AF6AC3" w:rsidRDefault="00AF6AC3">
      <w:pPr>
        <w:spacing w:line="240" w:lineRule="auto"/>
        <w:rPr>
          <w:rStyle w:val="CharAmSchNo"/>
          <w:b/>
          <w:color w:val="000000"/>
          <w:sz w:val="40"/>
        </w:rPr>
      </w:pPr>
      <w:bookmarkStart w:id="36" w:name="_Toc98231601"/>
      <w:r>
        <w:rPr>
          <w:rStyle w:val="CharAmSchNo"/>
        </w:rPr>
        <w:br w:type="page"/>
      </w:r>
    </w:p>
    <w:p w14:paraId="3C8CD0B3" w14:textId="77777777" w:rsidR="00483AD5" w:rsidRPr="00FA33FB" w:rsidRDefault="00483AD5" w:rsidP="00483AD5">
      <w:pPr>
        <w:pStyle w:val="SHHeader"/>
      </w:pPr>
      <w:bookmarkStart w:id="37" w:name="_Toc98497107"/>
      <w:r w:rsidRPr="00FA33FB">
        <w:rPr>
          <w:rStyle w:val="CharAmSchNo"/>
        </w:rPr>
        <w:lastRenderedPageBreak/>
        <w:t>Schedule </w:t>
      </w:r>
      <w:r>
        <w:rPr>
          <w:rStyle w:val="CharAmSchNo"/>
        </w:rPr>
        <w:t xml:space="preserve">2 </w:t>
      </w:r>
      <w:r>
        <w:t xml:space="preserve">- </w:t>
      </w:r>
      <w:r w:rsidRPr="00FA33FB">
        <w:rPr>
          <w:rStyle w:val="CharAmSchText"/>
        </w:rPr>
        <w:t>D</w:t>
      </w:r>
      <w:r>
        <w:rPr>
          <w:rStyle w:val="CharAmSchText"/>
        </w:rPr>
        <w:t>rugs</w:t>
      </w:r>
      <w:bookmarkEnd w:id="36"/>
      <w:bookmarkEnd w:id="37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14:paraId="012F2B56" w14:textId="53C998C2" w:rsidR="00483AD5" w:rsidRDefault="00483AD5" w:rsidP="00483AD5">
      <w:pPr>
        <w:tabs>
          <w:tab w:val="left" w:pos="7485"/>
        </w:tabs>
      </w:pPr>
      <w:r w:rsidRPr="003F39C0">
        <w:t>Note:</w:t>
      </w:r>
      <w:r>
        <w:t xml:space="preserve">  </w:t>
      </w:r>
      <w:r w:rsidRPr="003F39C0">
        <w:t>See Section</w:t>
      </w:r>
      <w:r>
        <w:t xml:space="preserve"> 6, Subsection 9(1</w:t>
      </w:r>
      <w:r w:rsidR="00AF6AC3">
        <w:t>0</w:t>
      </w:r>
      <w:r>
        <w:t>)</w:t>
      </w:r>
    </w:p>
    <w:p w14:paraId="099E4096" w14:textId="77777777" w:rsidR="00483AD5" w:rsidRDefault="00483AD5" w:rsidP="00483AD5">
      <w:pPr>
        <w:pStyle w:val="SH1"/>
        <w:numPr>
          <w:ilvl w:val="0"/>
          <w:numId w:val="6"/>
        </w:numPr>
      </w:pPr>
      <w:bookmarkStart w:id="38" w:name="_Toc98174996"/>
      <w:bookmarkStart w:id="39" w:name="_Toc98497108"/>
      <w:r>
        <w:t>Specified drugs</w:t>
      </w:r>
      <w:bookmarkEnd w:id="38"/>
      <w:bookmarkEnd w:id="39"/>
    </w:p>
    <w:p w14:paraId="172072C4" w14:textId="0FD84245" w:rsidR="00483AD5" w:rsidRDefault="00483AD5" w:rsidP="00483AD5"/>
    <w:tbl>
      <w:tblPr>
        <w:tblStyle w:val="TableGrid"/>
        <w:tblW w:w="779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599"/>
        <w:gridCol w:w="2599"/>
        <w:gridCol w:w="2599"/>
      </w:tblGrid>
      <w:tr w:rsidR="00715600" w:rsidRPr="00AA30E7" w14:paraId="72167C1F" w14:textId="77777777" w:rsidTr="00715600">
        <w:tc>
          <w:tcPr>
            <w:tcW w:w="2599" w:type="dxa"/>
          </w:tcPr>
          <w:p w14:paraId="3E98C9BB" w14:textId="77777777" w:rsidR="00715600" w:rsidRPr="00AA30E7" w:rsidRDefault="00715600" w:rsidP="00715600">
            <w:pPr>
              <w:pStyle w:val="ListParagraph"/>
              <w:numPr>
                <w:ilvl w:val="0"/>
                <w:numId w:val="22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 xml:space="preserve">amiodarone </w:t>
            </w:r>
          </w:p>
        </w:tc>
        <w:tc>
          <w:tcPr>
            <w:tcW w:w="2599" w:type="dxa"/>
          </w:tcPr>
          <w:p w14:paraId="067FD737" w14:textId="77777777" w:rsidR="00715600" w:rsidRPr="00AA30E7" w:rsidRDefault="00715600" w:rsidP="00715600">
            <w:pPr>
              <w:pStyle w:val="ListParagraph"/>
              <w:numPr>
                <w:ilvl w:val="0"/>
                <w:numId w:val="22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 xml:space="preserve">antiretroviral agents </w:t>
            </w:r>
          </w:p>
        </w:tc>
        <w:tc>
          <w:tcPr>
            <w:tcW w:w="2599" w:type="dxa"/>
          </w:tcPr>
          <w:p w14:paraId="71700902" w14:textId="77777777" w:rsidR="00715600" w:rsidRPr="00AA30E7" w:rsidRDefault="00715600" w:rsidP="00715600">
            <w:pPr>
              <w:pStyle w:val="ListParagraph"/>
              <w:numPr>
                <w:ilvl w:val="0"/>
                <w:numId w:val="22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>asparaginase</w:t>
            </w:r>
          </w:p>
        </w:tc>
      </w:tr>
      <w:tr w:rsidR="00715600" w:rsidRPr="00AA30E7" w14:paraId="43A9CD84" w14:textId="77777777" w:rsidTr="00715600">
        <w:tc>
          <w:tcPr>
            <w:tcW w:w="2599" w:type="dxa"/>
          </w:tcPr>
          <w:p w14:paraId="63A4AEC4" w14:textId="77777777" w:rsidR="00715600" w:rsidRPr="00AA30E7" w:rsidRDefault="00715600" w:rsidP="00715600">
            <w:pPr>
              <w:pStyle w:val="ListParagraph"/>
              <w:numPr>
                <w:ilvl w:val="0"/>
                <w:numId w:val="22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 xml:space="preserve">beta-blockers </w:t>
            </w:r>
          </w:p>
        </w:tc>
        <w:tc>
          <w:tcPr>
            <w:tcW w:w="2599" w:type="dxa"/>
          </w:tcPr>
          <w:p w14:paraId="3FD178A2" w14:textId="77777777" w:rsidR="00715600" w:rsidRPr="00AA30E7" w:rsidRDefault="00715600" w:rsidP="00715600">
            <w:pPr>
              <w:pStyle w:val="ListParagraph"/>
              <w:numPr>
                <w:ilvl w:val="0"/>
                <w:numId w:val="22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>calcium channel blockers</w:t>
            </w:r>
          </w:p>
        </w:tc>
        <w:tc>
          <w:tcPr>
            <w:tcW w:w="2599" w:type="dxa"/>
          </w:tcPr>
          <w:p w14:paraId="620DBA1D" w14:textId="77777777" w:rsidR="00715600" w:rsidRPr="00AA30E7" w:rsidRDefault="00715600" w:rsidP="00715600">
            <w:pPr>
              <w:pStyle w:val="ListParagraph"/>
              <w:numPr>
                <w:ilvl w:val="0"/>
                <w:numId w:val="22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>carbamazepine</w:t>
            </w:r>
          </w:p>
        </w:tc>
      </w:tr>
      <w:tr w:rsidR="00715600" w:rsidRPr="00AA30E7" w14:paraId="1096E418" w14:textId="77777777" w:rsidTr="00715600">
        <w:tc>
          <w:tcPr>
            <w:tcW w:w="2599" w:type="dxa"/>
          </w:tcPr>
          <w:p w14:paraId="643E18C4" w14:textId="77777777" w:rsidR="00715600" w:rsidRPr="00AA30E7" w:rsidRDefault="00715600" w:rsidP="00715600">
            <w:pPr>
              <w:pStyle w:val="ListParagraph"/>
              <w:numPr>
                <w:ilvl w:val="0"/>
                <w:numId w:val="22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>cisplatin</w:t>
            </w:r>
          </w:p>
        </w:tc>
        <w:tc>
          <w:tcPr>
            <w:tcW w:w="2599" w:type="dxa"/>
          </w:tcPr>
          <w:p w14:paraId="3D4912E9" w14:textId="77777777" w:rsidR="00715600" w:rsidRPr="00AA30E7" w:rsidRDefault="00715600" w:rsidP="00715600">
            <w:pPr>
              <w:pStyle w:val="ListParagraph"/>
              <w:numPr>
                <w:ilvl w:val="0"/>
                <w:numId w:val="22"/>
              </w:numPr>
              <w:ind w:left="445" w:hanging="445"/>
              <w:rPr>
                <w:szCs w:val="24"/>
              </w:rPr>
            </w:pPr>
            <w:proofErr w:type="spellStart"/>
            <w:r w:rsidRPr="00AA30E7">
              <w:rPr>
                <w:szCs w:val="24"/>
              </w:rPr>
              <w:t>diethylamino</w:t>
            </w:r>
            <w:r>
              <w:rPr>
                <w:szCs w:val="24"/>
              </w:rPr>
              <w:t>-</w:t>
            </w:r>
            <w:r w:rsidRPr="00AA30E7">
              <w:rPr>
                <w:szCs w:val="24"/>
              </w:rPr>
              <w:t>ethyoxyhexestrol</w:t>
            </w:r>
            <w:proofErr w:type="spellEnd"/>
          </w:p>
        </w:tc>
        <w:tc>
          <w:tcPr>
            <w:tcW w:w="2599" w:type="dxa"/>
          </w:tcPr>
          <w:p w14:paraId="37674A37" w14:textId="77777777" w:rsidR="00715600" w:rsidRPr="00AA30E7" w:rsidRDefault="00715600" w:rsidP="00715600">
            <w:pPr>
              <w:pStyle w:val="ListParagraph"/>
              <w:numPr>
                <w:ilvl w:val="0"/>
                <w:numId w:val="22"/>
              </w:numPr>
              <w:ind w:left="445" w:hanging="445"/>
              <w:rPr>
                <w:szCs w:val="24"/>
              </w:rPr>
            </w:pPr>
            <w:proofErr w:type="spellStart"/>
            <w:r w:rsidRPr="00AA30E7">
              <w:rPr>
                <w:szCs w:val="24"/>
              </w:rPr>
              <w:t>diethylstilbestrol</w:t>
            </w:r>
            <w:proofErr w:type="spellEnd"/>
          </w:p>
        </w:tc>
      </w:tr>
      <w:tr w:rsidR="00715600" w:rsidRPr="00AA30E7" w14:paraId="3B25C823" w14:textId="77777777" w:rsidTr="00715600">
        <w:tc>
          <w:tcPr>
            <w:tcW w:w="2599" w:type="dxa"/>
          </w:tcPr>
          <w:p w14:paraId="07B92478" w14:textId="77777777" w:rsidR="00715600" w:rsidRPr="00AA30E7" w:rsidRDefault="00715600" w:rsidP="00715600">
            <w:pPr>
              <w:pStyle w:val="ListParagraph"/>
              <w:numPr>
                <w:ilvl w:val="0"/>
                <w:numId w:val="22"/>
              </w:numPr>
              <w:ind w:left="445" w:hanging="445"/>
              <w:rPr>
                <w:szCs w:val="24"/>
              </w:rPr>
            </w:pPr>
            <w:proofErr w:type="spellStart"/>
            <w:r w:rsidRPr="00AA30E7">
              <w:rPr>
                <w:szCs w:val="24"/>
              </w:rPr>
              <w:t>estrogen</w:t>
            </w:r>
            <w:proofErr w:type="spellEnd"/>
            <w:r w:rsidRPr="00AA30E7">
              <w:rPr>
                <w:szCs w:val="24"/>
              </w:rPr>
              <w:t xml:space="preserve"> </w:t>
            </w:r>
          </w:p>
        </w:tc>
        <w:tc>
          <w:tcPr>
            <w:tcW w:w="2599" w:type="dxa"/>
          </w:tcPr>
          <w:p w14:paraId="64B8C876" w14:textId="77777777" w:rsidR="00715600" w:rsidRPr="00AA30E7" w:rsidRDefault="00715600" w:rsidP="00715600">
            <w:pPr>
              <w:pStyle w:val="ListParagraph"/>
              <w:numPr>
                <w:ilvl w:val="0"/>
                <w:numId w:val="22"/>
              </w:numPr>
              <w:ind w:left="445" w:hanging="445"/>
              <w:rPr>
                <w:szCs w:val="24"/>
              </w:rPr>
            </w:pPr>
            <w:proofErr w:type="spellStart"/>
            <w:r w:rsidRPr="00AA30E7">
              <w:rPr>
                <w:szCs w:val="24"/>
              </w:rPr>
              <w:t>fialuridine</w:t>
            </w:r>
            <w:proofErr w:type="spellEnd"/>
          </w:p>
        </w:tc>
        <w:tc>
          <w:tcPr>
            <w:tcW w:w="2599" w:type="dxa"/>
          </w:tcPr>
          <w:p w14:paraId="1FEF51E7" w14:textId="77777777" w:rsidR="00715600" w:rsidRPr="00AA30E7" w:rsidRDefault="00715600" w:rsidP="00715600">
            <w:pPr>
              <w:pStyle w:val="ListParagraph"/>
              <w:numPr>
                <w:ilvl w:val="0"/>
                <w:numId w:val="22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>fluorouracil</w:t>
            </w:r>
          </w:p>
        </w:tc>
      </w:tr>
      <w:tr w:rsidR="00715600" w:rsidRPr="00AA30E7" w14:paraId="6E8CC01F" w14:textId="77777777" w:rsidTr="00715600">
        <w:tc>
          <w:tcPr>
            <w:tcW w:w="2599" w:type="dxa"/>
          </w:tcPr>
          <w:p w14:paraId="337BA98D" w14:textId="77777777" w:rsidR="00715600" w:rsidRPr="00AA30E7" w:rsidRDefault="00715600" w:rsidP="00715600">
            <w:pPr>
              <w:pStyle w:val="ListParagraph"/>
              <w:numPr>
                <w:ilvl w:val="0"/>
                <w:numId w:val="22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 xml:space="preserve">glucocorticoids </w:t>
            </w:r>
          </w:p>
        </w:tc>
        <w:tc>
          <w:tcPr>
            <w:tcW w:w="2599" w:type="dxa"/>
          </w:tcPr>
          <w:p w14:paraId="2A2460F6" w14:textId="77777777" w:rsidR="00715600" w:rsidRPr="00AA30E7" w:rsidRDefault="00715600" w:rsidP="00715600">
            <w:pPr>
              <w:pStyle w:val="ListParagraph"/>
              <w:numPr>
                <w:ilvl w:val="0"/>
                <w:numId w:val="22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>linezolid</w:t>
            </w:r>
          </w:p>
        </w:tc>
        <w:tc>
          <w:tcPr>
            <w:tcW w:w="2599" w:type="dxa"/>
          </w:tcPr>
          <w:p w14:paraId="50A895EF" w14:textId="77777777" w:rsidR="00715600" w:rsidRPr="00AA30E7" w:rsidRDefault="00715600" w:rsidP="00715600">
            <w:pPr>
              <w:pStyle w:val="ListParagraph"/>
              <w:numPr>
                <w:ilvl w:val="0"/>
                <w:numId w:val="22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>methotrexate</w:t>
            </w:r>
          </w:p>
        </w:tc>
      </w:tr>
      <w:tr w:rsidR="00715600" w:rsidRPr="00AA30E7" w14:paraId="44B66BA9" w14:textId="77777777" w:rsidTr="00715600">
        <w:tc>
          <w:tcPr>
            <w:tcW w:w="2599" w:type="dxa"/>
          </w:tcPr>
          <w:p w14:paraId="28B35E59" w14:textId="77777777" w:rsidR="00715600" w:rsidRPr="00AA30E7" w:rsidRDefault="00715600" w:rsidP="00715600">
            <w:pPr>
              <w:pStyle w:val="ListParagraph"/>
              <w:numPr>
                <w:ilvl w:val="0"/>
                <w:numId w:val="22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>oxaliplatin</w:t>
            </w:r>
          </w:p>
        </w:tc>
        <w:tc>
          <w:tcPr>
            <w:tcW w:w="2599" w:type="dxa"/>
          </w:tcPr>
          <w:p w14:paraId="04374431" w14:textId="77777777" w:rsidR="00715600" w:rsidRPr="00AA30E7" w:rsidRDefault="00715600" w:rsidP="00715600">
            <w:pPr>
              <w:pStyle w:val="ListParagraph"/>
              <w:numPr>
                <w:ilvl w:val="0"/>
                <w:numId w:val="22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 xml:space="preserve">pegaspargase </w:t>
            </w:r>
          </w:p>
        </w:tc>
        <w:tc>
          <w:tcPr>
            <w:tcW w:w="2599" w:type="dxa"/>
          </w:tcPr>
          <w:p w14:paraId="573FC6B1" w14:textId="77777777" w:rsidR="00715600" w:rsidRPr="00AA30E7" w:rsidRDefault="00715600" w:rsidP="00715600">
            <w:pPr>
              <w:pStyle w:val="ListParagraph"/>
              <w:numPr>
                <w:ilvl w:val="0"/>
                <w:numId w:val="22"/>
              </w:numPr>
              <w:ind w:left="445" w:hanging="445"/>
              <w:rPr>
                <w:szCs w:val="24"/>
              </w:rPr>
            </w:pPr>
            <w:proofErr w:type="spellStart"/>
            <w:r w:rsidRPr="00AA30E7">
              <w:rPr>
                <w:szCs w:val="24"/>
              </w:rPr>
              <w:t>perhexiline</w:t>
            </w:r>
            <w:proofErr w:type="spellEnd"/>
          </w:p>
        </w:tc>
      </w:tr>
      <w:tr w:rsidR="00715600" w:rsidRPr="00AA30E7" w14:paraId="7CA60D78" w14:textId="77777777" w:rsidTr="00715600">
        <w:tc>
          <w:tcPr>
            <w:tcW w:w="2599" w:type="dxa"/>
          </w:tcPr>
          <w:p w14:paraId="254D19CC" w14:textId="77777777" w:rsidR="00715600" w:rsidRPr="00AA30E7" w:rsidRDefault="00715600" w:rsidP="00715600">
            <w:pPr>
              <w:pStyle w:val="ListParagraph"/>
              <w:numPr>
                <w:ilvl w:val="0"/>
                <w:numId w:val="22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>raloxifene</w:t>
            </w:r>
          </w:p>
        </w:tc>
        <w:tc>
          <w:tcPr>
            <w:tcW w:w="2599" w:type="dxa"/>
          </w:tcPr>
          <w:p w14:paraId="19E37410" w14:textId="77777777" w:rsidR="00715600" w:rsidRPr="00AA30E7" w:rsidRDefault="00715600" w:rsidP="00715600">
            <w:pPr>
              <w:pStyle w:val="ListParagraph"/>
              <w:numPr>
                <w:ilvl w:val="0"/>
                <w:numId w:val="22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>rifampicin</w:t>
            </w:r>
          </w:p>
        </w:tc>
        <w:tc>
          <w:tcPr>
            <w:tcW w:w="2599" w:type="dxa"/>
          </w:tcPr>
          <w:p w14:paraId="45E85231" w14:textId="77777777" w:rsidR="00715600" w:rsidRPr="00AA30E7" w:rsidRDefault="00715600" w:rsidP="00715600">
            <w:pPr>
              <w:pStyle w:val="ListParagraph"/>
              <w:numPr>
                <w:ilvl w:val="0"/>
                <w:numId w:val="22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>tamoxifen</w:t>
            </w:r>
          </w:p>
        </w:tc>
      </w:tr>
      <w:tr w:rsidR="00715600" w:rsidRPr="00AA30E7" w14:paraId="7C1DF568" w14:textId="77777777" w:rsidTr="00715600">
        <w:tc>
          <w:tcPr>
            <w:tcW w:w="2599" w:type="dxa"/>
          </w:tcPr>
          <w:p w14:paraId="095FB579" w14:textId="77777777" w:rsidR="00715600" w:rsidRPr="00AA30E7" w:rsidRDefault="00715600" w:rsidP="00715600">
            <w:pPr>
              <w:pStyle w:val="ListParagraph"/>
              <w:numPr>
                <w:ilvl w:val="0"/>
                <w:numId w:val="22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>tetracycline antibiotics</w:t>
            </w:r>
          </w:p>
        </w:tc>
        <w:tc>
          <w:tcPr>
            <w:tcW w:w="2599" w:type="dxa"/>
          </w:tcPr>
          <w:p w14:paraId="37C1A69E" w14:textId="77777777" w:rsidR="00715600" w:rsidRPr="00AA30E7" w:rsidRDefault="00715600" w:rsidP="00715600">
            <w:pPr>
              <w:pStyle w:val="ListParagraph"/>
              <w:numPr>
                <w:ilvl w:val="0"/>
                <w:numId w:val="22"/>
              </w:numPr>
              <w:ind w:left="445" w:hanging="445"/>
              <w:rPr>
                <w:szCs w:val="24"/>
              </w:rPr>
            </w:pPr>
            <w:proofErr w:type="spellStart"/>
            <w:r w:rsidRPr="00AA30E7">
              <w:rPr>
                <w:szCs w:val="24"/>
              </w:rPr>
              <w:t>tianeptine</w:t>
            </w:r>
            <w:proofErr w:type="spellEnd"/>
          </w:p>
        </w:tc>
        <w:tc>
          <w:tcPr>
            <w:tcW w:w="2599" w:type="dxa"/>
          </w:tcPr>
          <w:p w14:paraId="1B21D610" w14:textId="77777777" w:rsidR="00715600" w:rsidRPr="00AA30E7" w:rsidRDefault="00715600" w:rsidP="00715600">
            <w:pPr>
              <w:pStyle w:val="ListParagraph"/>
              <w:numPr>
                <w:ilvl w:val="0"/>
                <w:numId w:val="22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 xml:space="preserve">toremifene </w:t>
            </w:r>
          </w:p>
        </w:tc>
      </w:tr>
      <w:tr w:rsidR="00715600" w:rsidRPr="00AA30E7" w14:paraId="5D220A72" w14:textId="77777777" w:rsidTr="00715600">
        <w:tc>
          <w:tcPr>
            <w:tcW w:w="2599" w:type="dxa"/>
          </w:tcPr>
          <w:p w14:paraId="245C8F91" w14:textId="77777777" w:rsidR="00715600" w:rsidRPr="00AA30E7" w:rsidRDefault="00715600" w:rsidP="00715600">
            <w:pPr>
              <w:pStyle w:val="ListParagraph"/>
              <w:numPr>
                <w:ilvl w:val="0"/>
                <w:numId w:val="22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>troglitazone</w:t>
            </w:r>
          </w:p>
        </w:tc>
        <w:tc>
          <w:tcPr>
            <w:tcW w:w="2599" w:type="dxa"/>
          </w:tcPr>
          <w:p w14:paraId="0DFC8006" w14:textId="77777777" w:rsidR="00715600" w:rsidRPr="00AA30E7" w:rsidRDefault="00715600" w:rsidP="00715600">
            <w:pPr>
              <w:pStyle w:val="ListParagraph"/>
              <w:numPr>
                <w:ilvl w:val="0"/>
                <w:numId w:val="22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>valproate</w:t>
            </w:r>
          </w:p>
        </w:tc>
        <w:tc>
          <w:tcPr>
            <w:tcW w:w="2599" w:type="dxa"/>
          </w:tcPr>
          <w:p w14:paraId="2AC8318F" w14:textId="77777777" w:rsidR="00715600" w:rsidRPr="00AA30E7" w:rsidRDefault="00715600" w:rsidP="00C108BA">
            <w:pPr>
              <w:pStyle w:val="ListParagraph"/>
              <w:ind w:left="445"/>
              <w:rPr>
                <w:szCs w:val="24"/>
              </w:rPr>
            </w:pPr>
          </w:p>
        </w:tc>
      </w:tr>
    </w:tbl>
    <w:p w14:paraId="7DF7ACE6" w14:textId="77777777" w:rsidR="00715600" w:rsidRPr="00AA30E7" w:rsidRDefault="00715600" w:rsidP="00715600">
      <w:pPr>
        <w:rPr>
          <w:szCs w:val="24"/>
        </w:rPr>
      </w:pPr>
    </w:p>
    <w:p w14:paraId="4FCF998A" w14:textId="77777777" w:rsidR="00CF2367" w:rsidRDefault="00CF2367" w:rsidP="003F4535">
      <w:pPr>
        <w:rPr>
          <w:b/>
          <w:i/>
        </w:rPr>
      </w:pPr>
    </w:p>
    <w:sectPr w:rsidR="00CF2367" w:rsidSect="00EE056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1985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E4555" w14:textId="77777777"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14:paraId="14687E86" w14:textId="77777777"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E06DB" w14:textId="77777777"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14:paraId="073CB041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F49A0D4" w14:textId="77777777"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6ABB15F" w14:textId="77777777"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73C04C02" w14:textId="37ABD5FA" w:rsidR="000051D9" w:rsidRDefault="007F3DEC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F3DEC">
            <w:rPr>
              <w:i/>
              <w:sz w:val="18"/>
              <w:szCs w:val="18"/>
            </w:rPr>
            <w:t>Steatohepatitis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9E7FA9">
            <w:rPr>
              <w:i/>
              <w:sz w:val="18"/>
              <w:szCs w:val="18"/>
            </w:rPr>
            <w:t>87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7F3DEC">
            <w:rPr>
              <w:i/>
              <w:sz w:val="18"/>
              <w:szCs w:val="18"/>
            </w:rPr>
            <w:t>2022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14:paraId="3330DD9E" w14:textId="77777777"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4B2B7A8" w14:textId="0044BACA"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16742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16742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14:paraId="3E4269C8" w14:textId="77777777"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6A48" w14:textId="77777777"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14:paraId="533041BE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150C72" w14:textId="77777777"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8B5C68" w14:textId="77777777"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3264D733" w14:textId="64415D93" w:rsidR="000051D9" w:rsidRDefault="007F3DEC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F3DEC">
            <w:rPr>
              <w:i/>
              <w:sz w:val="18"/>
              <w:szCs w:val="18"/>
            </w:rPr>
            <w:t>Steatohepatitis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9E7FA9">
            <w:rPr>
              <w:i/>
              <w:sz w:val="18"/>
              <w:szCs w:val="18"/>
            </w:rPr>
            <w:t>87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7F3DEC">
            <w:rPr>
              <w:i/>
              <w:sz w:val="18"/>
              <w:szCs w:val="18"/>
            </w:rPr>
            <w:t>2022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14:paraId="61A09C10" w14:textId="77777777"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98FF82A" w14:textId="22D0DBC2"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330EC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330EC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14:paraId="7D56F1BB" w14:textId="77777777"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54019" w14:textId="77777777"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C3B76" w14:textId="77777777"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B569E" w14:textId="77777777" w:rsidR="00EE0560" w:rsidRPr="00E33C1C" w:rsidRDefault="00EE0560" w:rsidP="00EE056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EE0560" w:rsidRPr="00C01863" w14:paraId="11CA52A3" w14:textId="77777777" w:rsidTr="00FB3B9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66AC49" w14:textId="77777777" w:rsidR="00EE0560" w:rsidRPr="00C01863" w:rsidRDefault="00EE0560" w:rsidP="00EE0560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EC51E5" w14:textId="77777777" w:rsidR="00EE0560" w:rsidRDefault="00EE0560" w:rsidP="00EE0560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070EB52E" w14:textId="1AC1DABE" w:rsidR="00EE0560" w:rsidRDefault="007F3DEC" w:rsidP="00EE0560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F3DEC">
            <w:rPr>
              <w:i/>
              <w:sz w:val="18"/>
              <w:szCs w:val="18"/>
            </w:rPr>
            <w:t>Steatohepatitis</w:t>
          </w:r>
          <w:r w:rsidR="00EE0560">
            <w:rPr>
              <w:i/>
              <w:sz w:val="18"/>
              <w:szCs w:val="18"/>
            </w:rPr>
            <w:t xml:space="preserve"> (Balance of Probabilities) </w:t>
          </w:r>
          <w:r w:rsidR="00EE0560" w:rsidRPr="007C5CE0">
            <w:rPr>
              <w:i/>
              <w:sz w:val="18"/>
            </w:rPr>
            <w:t xml:space="preserve">(No. </w:t>
          </w:r>
          <w:r w:rsidR="009E7FA9">
            <w:rPr>
              <w:i/>
              <w:sz w:val="18"/>
              <w:szCs w:val="18"/>
            </w:rPr>
            <w:t>87</w:t>
          </w:r>
          <w:r w:rsidR="00EE0560" w:rsidRPr="007C5CE0">
            <w:rPr>
              <w:i/>
              <w:sz w:val="18"/>
              <w:szCs w:val="18"/>
            </w:rPr>
            <w:t xml:space="preserve"> of </w:t>
          </w:r>
          <w:r w:rsidRPr="007F3DEC">
            <w:rPr>
              <w:i/>
              <w:sz w:val="18"/>
              <w:szCs w:val="18"/>
            </w:rPr>
            <w:t>2022</w:t>
          </w:r>
          <w:r w:rsidR="00EE0560" w:rsidRPr="007C5CE0">
            <w:rPr>
              <w:i/>
              <w:sz w:val="18"/>
              <w:szCs w:val="18"/>
            </w:rPr>
            <w:t>)</w:t>
          </w:r>
        </w:p>
        <w:p w14:paraId="5A496A45" w14:textId="77777777" w:rsidR="00EE0560" w:rsidRPr="007C5CE0" w:rsidRDefault="00EE0560" w:rsidP="00EE0560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D7EBA9F" w14:textId="0CD0EE46" w:rsidR="00EE0560" w:rsidRPr="00C01863" w:rsidRDefault="00EE0560" w:rsidP="00EE0560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330EC">
            <w:rPr>
              <w:i/>
              <w:noProof/>
              <w:sz w:val="18"/>
            </w:rPr>
            <w:t>8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330EC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14:paraId="717A8D63" w14:textId="78FBD59A" w:rsidR="00885EAB" w:rsidRPr="00BE28AA" w:rsidRDefault="00885EAB" w:rsidP="00BE28A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5701" w14:textId="77777777"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7831E" w14:textId="77777777"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14:paraId="307E1565" w14:textId="77777777"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BE41" w14:textId="4BAB6499" w:rsidR="000051D9" w:rsidRPr="00711F91" w:rsidRDefault="000051D9" w:rsidP="00711F91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061BB" w14:textId="77777777" w:rsidR="00885EAB" w:rsidRPr="000051D9" w:rsidRDefault="00885EAB" w:rsidP="00005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B7F64" w14:textId="77777777"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14:paraId="7982E934" w14:textId="77777777" w:rsidR="000051D9" w:rsidRDefault="000051D9" w:rsidP="000051D9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DD3FF" w14:textId="77777777"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443EA" w14:textId="77777777"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24DAF" w14:textId="77777777" w:rsidR="007F2220" w:rsidRDefault="00483AD5" w:rsidP="007F2220">
    <w:pPr>
      <w:rPr>
        <w:sz w:val="20"/>
      </w:rPr>
    </w:pPr>
    <w:r>
      <w:rPr>
        <w:b/>
        <w:noProof/>
        <w:sz w:val="20"/>
      </w:rPr>
      <w:t>Schedule 2</w:t>
    </w:r>
    <w:r>
      <w:rPr>
        <w:sz w:val="20"/>
      </w:rPr>
      <w:t xml:space="preserve"> - </w:t>
    </w:r>
    <w:r>
      <w:rPr>
        <w:noProof/>
        <w:sz w:val="20"/>
      </w:rPr>
      <w:t>Drugs</w:t>
    </w:r>
  </w:p>
  <w:p w14:paraId="644B1255" w14:textId="77777777" w:rsidR="007F2220" w:rsidRDefault="00416742" w:rsidP="007F2220">
    <w:pPr>
      <w:pBdr>
        <w:bottom w:val="single" w:sz="6" w:space="1" w:color="auto"/>
      </w:pBdr>
      <w:spacing w:after="12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6AADF" w14:textId="77777777"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9279C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90B4577"/>
    <w:multiLevelType w:val="hybridMultilevel"/>
    <w:tmpl w:val="65DC3AFC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765623CC"/>
    <w:multiLevelType w:val="hybridMultilevel"/>
    <w:tmpl w:val="00EA76C0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136AF"/>
    <w:rsid w:val="0001587D"/>
    <w:rsid w:val="00024911"/>
    <w:rsid w:val="00024D3F"/>
    <w:rsid w:val="00032E05"/>
    <w:rsid w:val="000341B8"/>
    <w:rsid w:val="000437C1"/>
    <w:rsid w:val="00046E67"/>
    <w:rsid w:val="00051B75"/>
    <w:rsid w:val="0005365D"/>
    <w:rsid w:val="00054930"/>
    <w:rsid w:val="000614BF"/>
    <w:rsid w:val="00061E3E"/>
    <w:rsid w:val="00080915"/>
    <w:rsid w:val="00080F14"/>
    <w:rsid w:val="00081B7C"/>
    <w:rsid w:val="00085567"/>
    <w:rsid w:val="0008674F"/>
    <w:rsid w:val="000907C8"/>
    <w:rsid w:val="00097FDF"/>
    <w:rsid w:val="000B1350"/>
    <w:rsid w:val="000B58FA"/>
    <w:rsid w:val="000C21A3"/>
    <w:rsid w:val="000C664A"/>
    <w:rsid w:val="000C6D96"/>
    <w:rsid w:val="000D05EF"/>
    <w:rsid w:val="000D33E3"/>
    <w:rsid w:val="000D4D03"/>
    <w:rsid w:val="000E2261"/>
    <w:rsid w:val="000E2772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C7F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979ED"/>
    <w:rsid w:val="001B0F26"/>
    <w:rsid w:val="001C2AD2"/>
    <w:rsid w:val="001C61C5"/>
    <w:rsid w:val="001C69C4"/>
    <w:rsid w:val="001C77EE"/>
    <w:rsid w:val="001C79FF"/>
    <w:rsid w:val="001D2262"/>
    <w:rsid w:val="001D328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1DBA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B5DFE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0F82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25C8"/>
    <w:rsid w:val="003D5700"/>
    <w:rsid w:val="003E341B"/>
    <w:rsid w:val="003F39C0"/>
    <w:rsid w:val="003F4535"/>
    <w:rsid w:val="003F4848"/>
    <w:rsid w:val="004116CD"/>
    <w:rsid w:val="0041386E"/>
    <w:rsid w:val="004144EC"/>
    <w:rsid w:val="00416742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812"/>
    <w:rsid w:val="00472DBE"/>
    <w:rsid w:val="00474A19"/>
    <w:rsid w:val="00474CDF"/>
    <w:rsid w:val="004834A1"/>
    <w:rsid w:val="00483AD5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584D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7B0"/>
    <w:rsid w:val="00617C4E"/>
    <w:rsid w:val="00620076"/>
    <w:rsid w:val="006314DD"/>
    <w:rsid w:val="00647723"/>
    <w:rsid w:val="0066266D"/>
    <w:rsid w:val="006647B7"/>
    <w:rsid w:val="00667A4E"/>
    <w:rsid w:val="00670A50"/>
    <w:rsid w:val="00670EA1"/>
    <w:rsid w:val="00677CC2"/>
    <w:rsid w:val="00681926"/>
    <w:rsid w:val="006840B0"/>
    <w:rsid w:val="00684C0E"/>
    <w:rsid w:val="006905DE"/>
    <w:rsid w:val="0069207B"/>
    <w:rsid w:val="00695023"/>
    <w:rsid w:val="00695D58"/>
    <w:rsid w:val="006A3179"/>
    <w:rsid w:val="006B5789"/>
    <w:rsid w:val="006C30C5"/>
    <w:rsid w:val="006C4E18"/>
    <w:rsid w:val="006C7F8C"/>
    <w:rsid w:val="006D6CB3"/>
    <w:rsid w:val="006E212F"/>
    <w:rsid w:val="006E6027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F91"/>
    <w:rsid w:val="00713084"/>
    <w:rsid w:val="007142FB"/>
    <w:rsid w:val="00714F20"/>
    <w:rsid w:val="0071560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1B11"/>
    <w:rsid w:val="00793915"/>
    <w:rsid w:val="007959B9"/>
    <w:rsid w:val="00795F0E"/>
    <w:rsid w:val="007A15B1"/>
    <w:rsid w:val="007A3989"/>
    <w:rsid w:val="007A4F14"/>
    <w:rsid w:val="007B132E"/>
    <w:rsid w:val="007C2253"/>
    <w:rsid w:val="007C5CE0"/>
    <w:rsid w:val="007C7DEE"/>
    <w:rsid w:val="007D3BA2"/>
    <w:rsid w:val="007E163D"/>
    <w:rsid w:val="007E5B4C"/>
    <w:rsid w:val="007E667A"/>
    <w:rsid w:val="007F2378"/>
    <w:rsid w:val="007F28C9"/>
    <w:rsid w:val="007F3DEC"/>
    <w:rsid w:val="00803587"/>
    <w:rsid w:val="00806368"/>
    <w:rsid w:val="008117E9"/>
    <w:rsid w:val="008128BF"/>
    <w:rsid w:val="00824498"/>
    <w:rsid w:val="0083109C"/>
    <w:rsid w:val="008321ED"/>
    <w:rsid w:val="00832C32"/>
    <w:rsid w:val="0083517B"/>
    <w:rsid w:val="00836587"/>
    <w:rsid w:val="00842EA3"/>
    <w:rsid w:val="008452F9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349ED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9E7FA9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7FDC"/>
    <w:rsid w:val="00A515BC"/>
    <w:rsid w:val="00A56C3D"/>
    <w:rsid w:val="00A6070D"/>
    <w:rsid w:val="00A64912"/>
    <w:rsid w:val="00A64BA1"/>
    <w:rsid w:val="00A70A74"/>
    <w:rsid w:val="00A81E01"/>
    <w:rsid w:val="00A82A65"/>
    <w:rsid w:val="00A869F0"/>
    <w:rsid w:val="00A931D7"/>
    <w:rsid w:val="00AA64D6"/>
    <w:rsid w:val="00AA6D8B"/>
    <w:rsid w:val="00AA7765"/>
    <w:rsid w:val="00AD2DC7"/>
    <w:rsid w:val="00AD5641"/>
    <w:rsid w:val="00AD7889"/>
    <w:rsid w:val="00AD7AC2"/>
    <w:rsid w:val="00AD7DCC"/>
    <w:rsid w:val="00AE2029"/>
    <w:rsid w:val="00AE510F"/>
    <w:rsid w:val="00AF021B"/>
    <w:rsid w:val="00AF06CF"/>
    <w:rsid w:val="00AF3269"/>
    <w:rsid w:val="00AF50DC"/>
    <w:rsid w:val="00AF6AC3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57CB8"/>
    <w:rsid w:val="00B61E60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94A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30EC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0EB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202EB"/>
    <w:rsid w:val="00D32F65"/>
    <w:rsid w:val="00D32F71"/>
    <w:rsid w:val="00D36FC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45CA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D4171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5FF"/>
    <w:rsid w:val="00E64EE4"/>
    <w:rsid w:val="00E662CB"/>
    <w:rsid w:val="00E74DC7"/>
    <w:rsid w:val="00E8075A"/>
    <w:rsid w:val="00E867CE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03B5"/>
    <w:rsid w:val="00EC7405"/>
    <w:rsid w:val="00ED2BB6"/>
    <w:rsid w:val="00ED34E1"/>
    <w:rsid w:val="00ED3B8D"/>
    <w:rsid w:val="00ED46FF"/>
    <w:rsid w:val="00ED4913"/>
    <w:rsid w:val="00EE0560"/>
    <w:rsid w:val="00EF2E3A"/>
    <w:rsid w:val="00F03C06"/>
    <w:rsid w:val="00F072A7"/>
    <w:rsid w:val="00F078DC"/>
    <w:rsid w:val="00F23F6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56D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3B38D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link w:val="FooterCha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72812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  <w:style w:type="character" w:customStyle="1" w:styleId="HeaderChar">
    <w:name w:val="Header Char"/>
    <w:basedOn w:val="DefaultParagraphFont"/>
    <w:link w:val="Header"/>
    <w:uiPriority w:val="2"/>
    <w:semiHidden/>
    <w:rsid w:val="00483AD5"/>
    <w:rPr>
      <w:rFonts w:eastAsia="Times New Roman"/>
      <w:sz w:val="16"/>
    </w:rPr>
  </w:style>
  <w:style w:type="character" w:customStyle="1" w:styleId="FooterChar">
    <w:name w:val="Footer Char"/>
    <w:basedOn w:val="DefaultParagraphFont"/>
    <w:link w:val="Footer"/>
    <w:uiPriority w:val="2"/>
    <w:semiHidden/>
    <w:rsid w:val="00483AD5"/>
    <w:rPr>
      <w:rFonts w:eastAsia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483AD5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86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9F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9F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9F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1362</Words>
  <Characters>7767</Characters>
  <Application>Microsoft Office Word</Application>
  <DocSecurity>0</DocSecurity>
  <PresentationFormat/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2022-08-05T03:59:00Z</dcterms:created>
  <dcterms:modified xsi:type="dcterms:W3CDTF">2022-08-23T04:37:00Z</dcterms:modified>
  <cp:category/>
  <cp:contentStatus/>
  <dc:language/>
  <cp:version/>
</cp:coreProperties>
</file>