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9047DF" w:rsidP="006647B7">
      <w:pPr>
        <w:pStyle w:val="Plainheader"/>
      </w:pPr>
      <w:bookmarkStart w:id="0" w:name="SoP_Name_Title"/>
      <w:r>
        <w:t xml:space="preserve">ANGLE-CLOSURE </w:t>
      </w:r>
      <w:proofErr w:type="gramStart"/>
      <w:r>
        <w:t>GLAUCOMA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751DF6">
        <w:t>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047DF">
        <w:t>202</w:t>
      </w:r>
      <w:r w:rsidR="007E1B8E">
        <w:t>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C82771">
        <w:rPr>
          <w:b w:val="0"/>
        </w:rPr>
        <w:t>24 December 2020</w:t>
      </w:r>
      <w:bookmarkStart w:id="3" w:name="_GoBack"/>
      <w:bookmarkEnd w:id="3"/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751DF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51DF6">
        <w:rPr>
          <w:noProof/>
        </w:rPr>
        <w:t>1</w:t>
      </w:r>
      <w:r w:rsidR="00751DF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51DF6">
        <w:rPr>
          <w:noProof/>
        </w:rPr>
        <w:t>Name</w:t>
      </w:r>
      <w:r w:rsidR="00751DF6">
        <w:rPr>
          <w:noProof/>
        </w:rPr>
        <w:tab/>
      </w:r>
      <w:r w:rsidR="00751DF6">
        <w:rPr>
          <w:noProof/>
        </w:rPr>
        <w:fldChar w:fldCharType="begin"/>
      </w:r>
      <w:r w:rsidR="00751DF6">
        <w:rPr>
          <w:noProof/>
        </w:rPr>
        <w:instrText xml:space="preserve"> PAGEREF _Toc58486006 \h </w:instrText>
      </w:r>
      <w:r w:rsidR="00751DF6">
        <w:rPr>
          <w:noProof/>
        </w:rPr>
      </w:r>
      <w:r w:rsidR="00751DF6">
        <w:rPr>
          <w:noProof/>
        </w:rPr>
        <w:fldChar w:fldCharType="separate"/>
      </w:r>
      <w:r w:rsidR="00751DF6">
        <w:rPr>
          <w:noProof/>
        </w:rPr>
        <w:t>3</w:t>
      </w:r>
      <w:r w:rsidR="00751DF6">
        <w:rPr>
          <w:noProof/>
        </w:rPr>
        <w:fldChar w:fldCharType="end"/>
      </w:r>
    </w:p>
    <w:p w:rsidR="00751DF6" w:rsidRDefault="00751D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_Toc58486007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51DF6" w:rsidRDefault="00751D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_Toc58486008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51DF6" w:rsidRDefault="00751D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_Toc58486009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51DF6" w:rsidRDefault="00751D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_Toc58486010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51DF6" w:rsidRDefault="00751D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_Toc58486011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51DF6" w:rsidRDefault="00751D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_Toc58486012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51DF6" w:rsidRDefault="00751D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_Toc58486013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51DF6" w:rsidRDefault="00751D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_Toc58486014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51DF6" w:rsidRDefault="00751D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_Toc58486015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751DF6" w:rsidRDefault="00751D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_Toc58486016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751DF6" w:rsidRDefault="00751D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_Toc58486017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751DF6" w:rsidRDefault="00751DF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_Toc58486018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58486006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9802F5">
        <w:rPr>
          <w:i/>
        </w:rPr>
        <w:t>angle-closure glaucoma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51DF6">
        <w:t>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751DF6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58486007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51DF6">
        <w:t>25 January 2021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58486008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58486009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751DF6" w:rsidRPr="00751DF6">
        <w:t>angle-closure glaucoma</w:t>
      </w:r>
      <w:r w:rsidRPr="00DA3996">
        <w:t xml:space="preserve"> No. </w:t>
      </w:r>
      <w:r w:rsidR="009802F5">
        <w:t>25</w:t>
      </w:r>
      <w:r w:rsidRPr="00DA3996">
        <w:t xml:space="preserve"> of </w:t>
      </w:r>
      <w:r w:rsidR="009802F5">
        <w:t>2012</w:t>
      </w:r>
      <w:r w:rsidR="005962C4">
        <w:t xml:space="preserve"> </w:t>
      </w:r>
      <w:r w:rsidR="005962C4" w:rsidRPr="00786DAE">
        <w:t xml:space="preserve">(Federal Register of Legislation No. </w:t>
      </w:r>
      <w:r w:rsidR="009802F5" w:rsidRPr="009802F5">
        <w:t>F2012L00470</w:t>
      </w:r>
      <w:r w:rsidR="005962C4" w:rsidRPr="00786DAE">
        <w:t xml:space="preserve">) </w:t>
      </w:r>
      <w:r w:rsidR="009802F5">
        <w:t xml:space="preserve">made under subsections </w:t>
      </w:r>
      <w:proofErr w:type="gramStart"/>
      <w:r w:rsidR="009802F5">
        <w:t>196B(</w:t>
      </w:r>
      <w:proofErr w:type="gramEnd"/>
      <w:r w:rsidR="009802F5">
        <w:t xml:space="preserve">2) </w:t>
      </w:r>
      <w:r w:rsidR="005962C4" w:rsidRPr="00DA3996">
        <w:t>and (8)</w:t>
      </w:r>
      <w:r w:rsidR="009802F5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58486010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58486011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848601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751DF6" w:rsidRPr="00751DF6">
        <w:t>angle-closure glaucoma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751DF6" w:rsidRPr="00751DF6">
        <w:t>angle-closure glaucoma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751DF6" w:rsidRPr="00751DF6">
        <w:rPr>
          <w:b/>
        </w:rPr>
        <w:t>angle-closure glaucoma</w:t>
      </w:r>
    </w:p>
    <w:p w:rsidR="002716E4" w:rsidRPr="00237BAF" w:rsidRDefault="007C7DEE" w:rsidP="00CE6A18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751DF6" w:rsidRPr="00751DF6">
        <w:t>angle-closure glaucoma</w:t>
      </w:r>
      <w:r w:rsidR="00CE6A18" w:rsidRPr="00CE6A18">
        <w:t xml:space="preserve"> </w:t>
      </w:r>
      <w:bookmarkEnd w:id="19"/>
      <w:r w:rsidR="00CE6A18" w:rsidRPr="00CE6A18">
        <w:t>means acquired closure of the anterior chamber angle of the eye, leading to reduction in aqueous outflow and elevation of intraocular pressure, and with associated ocular symptoms and signs</w:t>
      </w:r>
      <w:r w:rsidR="00CE6A18">
        <w:t>.</w:t>
      </w:r>
    </w:p>
    <w:bookmarkEnd w:id="20"/>
    <w:p w:rsidR="00253D7C" w:rsidRDefault="00253D7C" w:rsidP="00253D7C">
      <w:pPr>
        <w:pStyle w:val="Note2"/>
      </w:pPr>
      <w:r>
        <w:t>Note</w:t>
      </w:r>
      <w:r w:rsidR="00CE6A18">
        <w:t xml:space="preserve"> 1</w:t>
      </w:r>
      <w:r>
        <w:t xml:space="preserve">: </w:t>
      </w:r>
      <w:r w:rsidR="00751DF6">
        <w:t>Angle-</w:t>
      </w:r>
      <w:r w:rsidR="00CE6A18" w:rsidRPr="00CE6A18">
        <w:t>closure glaucoma can be acute, subacute or chronic.</w:t>
      </w:r>
    </w:p>
    <w:p w:rsidR="00CE6A18" w:rsidRDefault="00CE6A18" w:rsidP="00CE6A18">
      <w:pPr>
        <w:pStyle w:val="Note2"/>
        <w:ind w:left="1985" w:hanging="567"/>
      </w:pPr>
      <w:r>
        <w:t xml:space="preserve">Note 2: </w:t>
      </w:r>
      <w:r w:rsidRPr="00CE6A18">
        <w:t>Typical symptoms and signs of acute angle-closure glaucoma are rapid onset of severe eye pain, nausea or vomiting, corneal oedema and poor visual acuity.</w:t>
      </w:r>
    </w:p>
    <w:p w:rsidR="00CE6A18" w:rsidRPr="008E76DC" w:rsidRDefault="00CE6A18" w:rsidP="00CE6A18">
      <w:pPr>
        <w:pStyle w:val="Note2"/>
        <w:ind w:left="1985" w:hanging="567"/>
      </w:pPr>
      <w:r>
        <w:t xml:space="preserve">Note 3: </w:t>
      </w:r>
      <w:r w:rsidRPr="00CE6A18">
        <w:t>Chronic angle-closure glaucoma causes a progressive neuropathy involving characteristic optic disc abnormalities and visual field defects.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r w:rsidR="00751DF6" w:rsidRPr="00751DF6">
        <w:t>angle-closure glaucoma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CE6A18">
        <w:t>H40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751DF6" w:rsidRPr="00751DF6">
        <w:t>angle-closure glaucoma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751DF6" w:rsidRPr="00751DF6">
        <w:rPr>
          <w:b/>
        </w:rPr>
        <w:t>angle-closure glaucoma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51DF6" w:rsidRPr="00751DF6">
        <w:t>angle-closure glaucoma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751DF6" w:rsidRPr="00751DF6">
        <w:t>angle-closure glaucoma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CE6A18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58486013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751DF6" w:rsidRPr="00751DF6">
        <w:t>angle-closure glaucoma</w:t>
      </w:r>
      <w:r>
        <w:t xml:space="preserve"> </w:t>
      </w:r>
      <w:r w:rsidRPr="00D5620B">
        <w:t>and death from</w:t>
      </w:r>
      <w:r>
        <w:t xml:space="preserve"> </w:t>
      </w:r>
      <w:r w:rsidR="00751DF6" w:rsidRPr="00751DF6">
        <w:t>angle-closure glaucoma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CE6A18">
        <w:t>Schedule 1 -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8486014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751DF6" w:rsidRPr="00751DF6">
        <w:t>angle-closure glaucoma</w:t>
      </w:r>
      <w:r w:rsidR="007A3989">
        <w:t xml:space="preserve"> </w:t>
      </w:r>
      <w:r w:rsidR="007C7DEE" w:rsidRPr="00AA6D8B">
        <w:t xml:space="preserve">or death from </w:t>
      </w:r>
      <w:r w:rsidR="00751DF6" w:rsidRPr="00751DF6">
        <w:t>angle-closure glaucoma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CE6A18" w:rsidRDefault="00CE6A18" w:rsidP="00CE6A18">
      <w:pPr>
        <w:pStyle w:val="LV2"/>
      </w:pPr>
      <w:bookmarkStart w:id="27" w:name="_Ref402530260"/>
      <w:bookmarkStart w:id="28" w:name="_Ref409598844"/>
      <w:r w:rsidRPr="00CE6A18">
        <w:t>taking a drug from the specified list of drugs within the 21 days before the clinical onset of angle-closure glaucoma</w:t>
      </w:r>
      <w:r>
        <w:t>;</w:t>
      </w:r>
    </w:p>
    <w:p w:rsidR="00CE6A18" w:rsidRDefault="00CE6A18" w:rsidP="00CE6A18">
      <w:pPr>
        <w:pStyle w:val="Note2"/>
      </w:pPr>
      <w:r>
        <w:t xml:space="preserve">Note: </w:t>
      </w:r>
      <w:r w:rsidRPr="00CE6A18">
        <w:rPr>
          <w:b/>
          <w:i/>
        </w:rPr>
        <w:t>specified list of drugs</w:t>
      </w:r>
      <w:r w:rsidRPr="00CE6A18">
        <w:t xml:space="preserve"> is defined in the Schedule 1 - Dictionary.</w:t>
      </w:r>
    </w:p>
    <w:p w:rsidR="00FB49D4" w:rsidRDefault="00FB49D4" w:rsidP="00FB49D4">
      <w:pPr>
        <w:pStyle w:val="LV2"/>
      </w:pPr>
      <w:r w:rsidRPr="00FB49D4">
        <w:t>taking a drug which causes</w:t>
      </w:r>
      <w:r>
        <w:t>:</w:t>
      </w:r>
    </w:p>
    <w:p w:rsidR="00FB49D4" w:rsidRDefault="00FB49D4" w:rsidP="00FB49D4">
      <w:pPr>
        <w:pStyle w:val="LV3"/>
      </w:pPr>
      <w:r w:rsidRPr="00FB49D4">
        <w:tab/>
      </w:r>
      <w:proofErr w:type="spellStart"/>
      <w:r w:rsidRPr="00FB49D4">
        <w:t>mydriasis</w:t>
      </w:r>
      <w:proofErr w:type="spellEnd"/>
      <w:r w:rsidRPr="00FB49D4">
        <w:t xml:space="preserve"> or </w:t>
      </w:r>
      <w:proofErr w:type="spellStart"/>
      <w:r w:rsidRPr="00FB49D4">
        <w:t>miosis</w:t>
      </w:r>
      <w:proofErr w:type="spellEnd"/>
      <w:r w:rsidRPr="00FB49D4">
        <w:t xml:space="preserve"> in the affected eye; or</w:t>
      </w:r>
    </w:p>
    <w:p w:rsidR="00FB49D4" w:rsidRDefault="00FB49D4" w:rsidP="00FB49D4">
      <w:pPr>
        <w:pStyle w:val="LV3"/>
      </w:pPr>
      <w:r w:rsidRPr="00FB49D4">
        <w:t>an allergic or inflammatory reaction involving structures of the anterior segment of the affected eye;</w:t>
      </w:r>
    </w:p>
    <w:p w:rsidR="00FB49D4" w:rsidRDefault="00FB49D4" w:rsidP="00FB49D4">
      <w:pPr>
        <w:pStyle w:val="LV2"/>
        <w:numPr>
          <w:ilvl w:val="0"/>
          <w:numId w:val="0"/>
        </w:numPr>
        <w:ind w:left="1418"/>
      </w:pPr>
      <w:proofErr w:type="gramStart"/>
      <w:r w:rsidRPr="00FB49D4">
        <w:t>within</w:t>
      </w:r>
      <w:proofErr w:type="gramEnd"/>
      <w:r w:rsidRPr="00FB49D4">
        <w:t xml:space="preserve"> the 21 days before the clinical onset of angle-closure glaucoma</w:t>
      </w:r>
      <w:r>
        <w:t>;</w:t>
      </w:r>
    </w:p>
    <w:p w:rsidR="00FB49D4" w:rsidRDefault="00FB49D4" w:rsidP="00FB49D4">
      <w:pPr>
        <w:pStyle w:val="LV2"/>
      </w:pPr>
      <w:r w:rsidRPr="00FB49D4">
        <w:t xml:space="preserve">having uveitis, </w:t>
      </w:r>
      <w:proofErr w:type="spellStart"/>
      <w:r w:rsidRPr="00FB49D4">
        <w:t>scleritis</w:t>
      </w:r>
      <w:proofErr w:type="spellEnd"/>
      <w:r w:rsidRPr="00FB49D4">
        <w:t xml:space="preserve"> or </w:t>
      </w:r>
      <w:proofErr w:type="spellStart"/>
      <w:r w:rsidRPr="00FB49D4">
        <w:t>episcleritis</w:t>
      </w:r>
      <w:proofErr w:type="spellEnd"/>
      <w:r w:rsidRPr="00FB49D4">
        <w:t xml:space="preserve"> at the time of the clinical onset of angle-closure glaucoma, where the disease involves the structures of the anterior chamber of the affected eye</w:t>
      </w:r>
      <w:r>
        <w:t>;</w:t>
      </w:r>
    </w:p>
    <w:p w:rsidR="00FB49D4" w:rsidRPr="00FB49D4" w:rsidRDefault="00FB49D4" w:rsidP="00FB49D4">
      <w:pPr>
        <w:pStyle w:val="Note2"/>
      </w:pPr>
      <w:r>
        <w:t xml:space="preserve">Note: </w:t>
      </w:r>
      <w:r w:rsidRPr="00FB49D4">
        <w:rPr>
          <w:b/>
          <w:i/>
        </w:rPr>
        <w:t>uveitis</w:t>
      </w:r>
      <w:r w:rsidRPr="00FB49D4">
        <w:t xml:space="preserve">, </w:t>
      </w:r>
      <w:proofErr w:type="spellStart"/>
      <w:r w:rsidRPr="00FB49D4">
        <w:rPr>
          <w:b/>
          <w:i/>
        </w:rPr>
        <w:t>scleritis</w:t>
      </w:r>
      <w:proofErr w:type="spellEnd"/>
      <w:r w:rsidRPr="00FB49D4">
        <w:t xml:space="preserve"> and </w:t>
      </w:r>
      <w:proofErr w:type="spellStart"/>
      <w:r w:rsidRPr="00FB49D4">
        <w:rPr>
          <w:b/>
          <w:i/>
        </w:rPr>
        <w:t>episcleritis</w:t>
      </w:r>
      <w:proofErr w:type="spellEnd"/>
      <w:r w:rsidRPr="00FB49D4">
        <w:t xml:space="preserve"> are defined in the Schedule 1 - Dictionary.</w:t>
      </w:r>
    </w:p>
    <w:p w:rsidR="00FB49D4" w:rsidRDefault="00FB49D4" w:rsidP="00323B59">
      <w:pPr>
        <w:pStyle w:val="LV2"/>
        <w:keepNext/>
      </w:pPr>
      <w:r w:rsidRPr="00FB49D4">
        <w:lastRenderedPageBreak/>
        <w:t>having:</w:t>
      </w:r>
    </w:p>
    <w:p w:rsidR="00FB49D4" w:rsidRDefault="00FB49D4" w:rsidP="00FB49D4">
      <w:pPr>
        <w:pStyle w:val="LV3"/>
      </w:pPr>
      <w:r w:rsidRPr="00FB49D4">
        <w:t>a benign or malignant neoplasm; or</w:t>
      </w:r>
    </w:p>
    <w:p w:rsidR="00FB49D4" w:rsidRDefault="00FB49D4" w:rsidP="00FB49D4">
      <w:pPr>
        <w:pStyle w:val="LV3"/>
      </w:pPr>
      <w:r w:rsidRPr="00FB49D4">
        <w:t>a non-neoplastic lesion;</w:t>
      </w:r>
    </w:p>
    <w:p w:rsidR="00FB49D4" w:rsidRDefault="00FB49D4" w:rsidP="00FB49D4">
      <w:pPr>
        <w:pStyle w:val="LV2"/>
        <w:numPr>
          <w:ilvl w:val="0"/>
          <w:numId w:val="0"/>
        </w:numPr>
        <w:ind w:left="1418"/>
      </w:pPr>
      <w:proofErr w:type="gramStart"/>
      <w:r w:rsidRPr="00FB49D4">
        <w:t>which</w:t>
      </w:r>
      <w:proofErr w:type="gramEnd"/>
      <w:r w:rsidRPr="00FB49D4">
        <w:t xml:space="preserve"> involves the anterior segment of the affected eye at the time of the clinical onset of angle-closure glaucoma;</w:t>
      </w:r>
    </w:p>
    <w:p w:rsidR="004A5D54" w:rsidRDefault="004A5D54" w:rsidP="004A5D54">
      <w:pPr>
        <w:pStyle w:val="Note2"/>
        <w:ind w:left="1985" w:hanging="567"/>
      </w:pPr>
      <w:r>
        <w:t xml:space="preserve">Note 1: </w:t>
      </w:r>
      <w:r w:rsidRPr="004A5D54">
        <w:t>Examples of a benign or malignant neoplasm include melanoma, retinoblastoma, leukaemia and lymphoma.</w:t>
      </w:r>
    </w:p>
    <w:p w:rsidR="004A5D54" w:rsidRPr="00FB49D4" w:rsidRDefault="004A5D54" w:rsidP="004A5D54">
      <w:pPr>
        <w:pStyle w:val="Note2"/>
        <w:ind w:left="1985" w:hanging="567"/>
      </w:pPr>
      <w:r>
        <w:t xml:space="preserve">Note 2: </w:t>
      </w:r>
      <w:r w:rsidRPr="004A5D54">
        <w:t xml:space="preserve">Examples of a non-neoplastic lesion include amyloidosis, cyst, ocular </w:t>
      </w:r>
      <w:r>
        <w:t>haemorrhage, retinal detachment</w:t>
      </w:r>
      <w:r w:rsidRPr="004A5D54">
        <w:t xml:space="preserve"> and vascular malformation or thrombosis.</w:t>
      </w:r>
    </w:p>
    <w:p w:rsidR="004A5D54" w:rsidRDefault="004A5D54" w:rsidP="004A5D54">
      <w:pPr>
        <w:pStyle w:val="LV2"/>
      </w:pPr>
      <w:r w:rsidRPr="004A5D54">
        <w:t xml:space="preserve">having a disorder </w:t>
      </w:r>
      <w:r>
        <w:t>of the lens of the affected eye</w:t>
      </w:r>
      <w:r w:rsidRPr="004A5D54">
        <w:t xml:space="preserve"> at the time of the clinical onset of angle-closure glaucoma;</w:t>
      </w:r>
    </w:p>
    <w:p w:rsidR="004A5D54" w:rsidRPr="004A5D54" w:rsidRDefault="004A5D54" w:rsidP="004A5D54">
      <w:pPr>
        <w:pStyle w:val="Note2"/>
        <w:ind w:left="1843" w:hanging="425"/>
      </w:pPr>
      <w:r>
        <w:t xml:space="preserve">Note: </w:t>
      </w:r>
      <w:r w:rsidRPr="004A5D54">
        <w:t>Examples of a disorde</w:t>
      </w:r>
      <w:r>
        <w:t>r of the lens include cataract</w:t>
      </w:r>
      <w:r w:rsidRPr="004A5D54">
        <w:t xml:space="preserve"> and lens displacement, subluxation or dislocation</w:t>
      </w:r>
      <w:r>
        <w:t>.</w:t>
      </w:r>
    </w:p>
    <w:p w:rsidR="006C3C60" w:rsidRDefault="006C3C60" w:rsidP="006C3C60">
      <w:pPr>
        <w:pStyle w:val="LV2"/>
      </w:pPr>
      <w:r w:rsidRPr="006C3C60">
        <w:t xml:space="preserve">having growth of new blood vessels (neovascularisation) of the </w:t>
      </w:r>
      <w:proofErr w:type="spellStart"/>
      <w:r w:rsidRPr="006C3C60">
        <w:t>iridocorneal</w:t>
      </w:r>
      <w:proofErr w:type="spellEnd"/>
      <w:r w:rsidRPr="006C3C60">
        <w:t xml:space="preserve"> angle due to a condition or procedure involving the affected eye from the specified list of conditions or procedures, before the clinical onset of angle-closure glaucoma;</w:t>
      </w:r>
    </w:p>
    <w:p w:rsidR="006C3C60" w:rsidRPr="006C3C60" w:rsidRDefault="006C3C60" w:rsidP="006C3C60">
      <w:pPr>
        <w:pStyle w:val="Note2"/>
      </w:pPr>
      <w:r>
        <w:t xml:space="preserve">Note: </w:t>
      </w:r>
      <w:r>
        <w:rPr>
          <w:b/>
          <w:i/>
        </w:rPr>
        <w:t>specified list of conditions or procedures</w:t>
      </w:r>
      <w:r>
        <w:t xml:space="preserve"> </w:t>
      </w:r>
      <w:r w:rsidRPr="006C3C60">
        <w:t>is defined in the Schedule 1 - Dictionary.</w:t>
      </w:r>
    </w:p>
    <w:p w:rsidR="00C0401F" w:rsidRDefault="00C0401F" w:rsidP="00C0401F">
      <w:pPr>
        <w:pStyle w:val="LV2"/>
      </w:pPr>
      <w:r w:rsidRPr="00C0401F">
        <w:t xml:space="preserve">having trauma to the affected eye before the clinical onset of </w:t>
      </w:r>
      <w:r>
        <w:br/>
      </w:r>
      <w:r w:rsidRPr="00C0401F">
        <w:t>angle-closure glaucoma</w:t>
      </w:r>
      <w:r>
        <w:t>;</w:t>
      </w:r>
    </w:p>
    <w:p w:rsidR="00C0401F" w:rsidRPr="00C0401F" w:rsidRDefault="00C0401F" w:rsidP="00C0401F">
      <w:pPr>
        <w:pStyle w:val="Note2"/>
      </w:pPr>
      <w:r>
        <w:t xml:space="preserve">Note: </w:t>
      </w:r>
      <w:r w:rsidRPr="00C0401F">
        <w:rPr>
          <w:b/>
          <w:i/>
        </w:rPr>
        <w:t>trauma</w:t>
      </w:r>
      <w:r w:rsidRPr="00C0401F">
        <w:t xml:space="preserve"> is defined in the Schedule 1 - Dictionary.</w:t>
      </w:r>
    </w:p>
    <w:p w:rsidR="00C838D7" w:rsidRDefault="00C838D7" w:rsidP="00C838D7">
      <w:pPr>
        <w:pStyle w:val="LV2"/>
      </w:pPr>
      <w:r w:rsidRPr="00C838D7">
        <w:t xml:space="preserve">having sympathetic </w:t>
      </w:r>
      <w:proofErr w:type="spellStart"/>
      <w:r w:rsidRPr="00C838D7">
        <w:t>ophthalmia</w:t>
      </w:r>
      <w:proofErr w:type="spellEnd"/>
      <w:r w:rsidRPr="00C838D7">
        <w:t xml:space="preserve"> at the time of the clinical </w:t>
      </w:r>
      <w:r w:rsidR="00330228">
        <w:t>onset</w:t>
      </w:r>
      <w:r w:rsidRPr="00C838D7">
        <w:t xml:space="preserve"> of angle-closure glaucoma;</w:t>
      </w:r>
    </w:p>
    <w:p w:rsidR="00C838D7" w:rsidRPr="00C838D7" w:rsidRDefault="00C838D7" w:rsidP="00C838D7">
      <w:pPr>
        <w:pStyle w:val="Note2"/>
      </w:pPr>
      <w:r>
        <w:t xml:space="preserve">Note: </w:t>
      </w:r>
      <w:r w:rsidRPr="00C838D7">
        <w:rPr>
          <w:b/>
          <w:i/>
        </w:rPr>
        <w:t xml:space="preserve">sympathetic </w:t>
      </w:r>
      <w:proofErr w:type="spellStart"/>
      <w:r w:rsidRPr="00C838D7">
        <w:rPr>
          <w:b/>
          <w:i/>
        </w:rPr>
        <w:t>ophthalmia</w:t>
      </w:r>
      <w:proofErr w:type="spellEnd"/>
      <w:r w:rsidRPr="00C838D7">
        <w:t xml:space="preserve"> is defined in the Schedule 1 </w:t>
      </w:r>
      <w:r>
        <w:t>-</w:t>
      </w:r>
      <w:r w:rsidRPr="00C838D7">
        <w:t xml:space="preserve"> Dictionary</w:t>
      </w:r>
      <w:r>
        <w:t>.</w:t>
      </w:r>
    </w:p>
    <w:p w:rsidR="00330228" w:rsidRPr="00330228" w:rsidRDefault="00330228" w:rsidP="00330228">
      <w:pPr>
        <w:pStyle w:val="LV2"/>
      </w:pPr>
      <w:r w:rsidRPr="00330228">
        <w:t>having surgery to the affected eye, or eyelid of the affected eye, before the clinical onset of angle-closure glaucoma;</w:t>
      </w:r>
    </w:p>
    <w:p w:rsidR="00330228" w:rsidRPr="00330228" w:rsidRDefault="00330228" w:rsidP="00330228">
      <w:pPr>
        <w:pStyle w:val="LV2"/>
      </w:pPr>
      <w:r w:rsidRPr="00330228">
        <w:t>having surgery requiring a general anaesthetic, or surgery in the prone position, within the 21 days before the clinical onset of angle-closure glaucoma;</w:t>
      </w:r>
    </w:p>
    <w:p w:rsidR="00323B59" w:rsidRPr="00323B59" w:rsidRDefault="00323B59" w:rsidP="00323B59">
      <w:pPr>
        <w:pStyle w:val="LV2"/>
      </w:pPr>
      <w:r w:rsidRPr="00323B59">
        <w:t xml:space="preserve">undergoing a course of therapeutic radiation for </w:t>
      </w:r>
      <w:r>
        <w:t xml:space="preserve">cancer, where the affected eye </w:t>
      </w:r>
      <w:r w:rsidRPr="00323B59">
        <w:t>was in the field of radiation, before the clinical onset of angle-closure glaucoma;</w:t>
      </w:r>
    </w:p>
    <w:p w:rsidR="00CE6A18" w:rsidRDefault="00CE6A18" w:rsidP="00CE6A18">
      <w:pPr>
        <w:pStyle w:val="LV2"/>
      </w:pPr>
      <w:r w:rsidRPr="00323B59">
        <w:t>taking a drug</w:t>
      </w:r>
      <w:r w:rsidRPr="00CE6A18">
        <w:t xml:space="preserve"> from the specified list of drugs within the 21 days before the clinical worsening of angle-closure glaucoma</w:t>
      </w:r>
      <w:r>
        <w:t>;</w:t>
      </w:r>
    </w:p>
    <w:p w:rsidR="00FB49D4" w:rsidRDefault="00CE6A18" w:rsidP="00FB49D4">
      <w:pPr>
        <w:pStyle w:val="Note2"/>
      </w:pPr>
      <w:r>
        <w:t xml:space="preserve">Note: </w:t>
      </w:r>
      <w:r w:rsidRPr="00CE6A18">
        <w:rPr>
          <w:b/>
          <w:i/>
        </w:rPr>
        <w:t>specified list of drugs</w:t>
      </w:r>
      <w:r w:rsidRPr="00CE6A18">
        <w:t xml:space="preserve"> is defined in the Schedule 1 - Dictionary.</w:t>
      </w:r>
    </w:p>
    <w:p w:rsidR="00FB49D4" w:rsidRDefault="00FB49D4" w:rsidP="00400463">
      <w:pPr>
        <w:pStyle w:val="LV2"/>
        <w:keepNext/>
        <w:keepLines/>
      </w:pPr>
      <w:r w:rsidRPr="00FB49D4">
        <w:lastRenderedPageBreak/>
        <w:t>taking a drug which causes</w:t>
      </w:r>
      <w:r>
        <w:t>:</w:t>
      </w:r>
    </w:p>
    <w:p w:rsidR="00FB49D4" w:rsidRDefault="00FB49D4" w:rsidP="00400463">
      <w:pPr>
        <w:pStyle w:val="LV3"/>
        <w:keepNext/>
        <w:keepLines/>
      </w:pPr>
      <w:r w:rsidRPr="00FB49D4">
        <w:tab/>
      </w:r>
      <w:proofErr w:type="spellStart"/>
      <w:r w:rsidRPr="00FB49D4">
        <w:t>mydriasis</w:t>
      </w:r>
      <w:proofErr w:type="spellEnd"/>
      <w:r w:rsidRPr="00FB49D4">
        <w:t xml:space="preserve"> or </w:t>
      </w:r>
      <w:proofErr w:type="spellStart"/>
      <w:r w:rsidRPr="00FB49D4">
        <w:t>miosis</w:t>
      </w:r>
      <w:proofErr w:type="spellEnd"/>
      <w:r w:rsidRPr="00FB49D4">
        <w:t xml:space="preserve"> in the affected eye; or</w:t>
      </w:r>
    </w:p>
    <w:p w:rsidR="00FB49D4" w:rsidRDefault="00FB49D4" w:rsidP="00400463">
      <w:pPr>
        <w:pStyle w:val="LV3"/>
        <w:keepNext/>
        <w:keepLines/>
      </w:pPr>
      <w:r w:rsidRPr="00FB49D4">
        <w:t>an allergic or inflammatory reaction involving structures of the anterior segment of the affected eye;</w:t>
      </w:r>
    </w:p>
    <w:p w:rsidR="00FB49D4" w:rsidRDefault="00FB49D4" w:rsidP="00400463">
      <w:pPr>
        <w:pStyle w:val="LV2"/>
        <w:keepNext/>
        <w:keepLines/>
        <w:numPr>
          <w:ilvl w:val="0"/>
          <w:numId w:val="0"/>
        </w:numPr>
        <w:ind w:left="1418"/>
      </w:pPr>
      <w:proofErr w:type="gramStart"/>
      <w:r w:rsidRPr="00FB49D4">
        <w:t>within</w:t>
      </w:r>
      <w:proofErr w:type="gramEnd"/>
      <w:r w:rsidRPr="00FB49D4">
        <w:t xml:space="preserve"> the 21 days before the clinical worsening of angle-closure glaucoma</w:t>
      </w:r>
      <w:r>
        <w:t>;</w:t>
      </w:r>
    </w:p>
    <w:p w:rsidR="00FB49D4" w:rsidRDefault="00FB49D4" w:rsidP="00FB49D4">
      <w:pPr>
        <w:pStyle w:val="LV2"/>
      </w:pPr>
      <w:r w:rsidRPr="00FB49D4">
        <w:t xml:space="preserve">having uveitis, </w:t>
      </w:r>
      <w:proofErr w:type="spellStart"/>
      <w:r w:rsidRPr="00FB49D4">
        <w:t>scleritis</w:t>
      </w:r>
      <w:proofErr w:type="spellEnd"/>
      <w:r w:rsidRPr="00FB49D4">
        <w:t xml:space="preserve"> or </w:t>
      </w:r>
      <w:proofErr w:type="spellStart"/>
      <w:r w:rsidRPr="00FB49D4">
        <w:t>episcleri</w:t>
      </w:r>
      <w:r>
        <w:t>tis</w:t>
      </w:r>
      <w:proofErr w:type="spellEnd"/>
      <w:r>
        <w:t xml:space="preserve"> at the time of the clinical </w:t>
      </w:r>
      <w:r w:rsidRPr="00FB49D4">
        <w:t>worsening of angle-closure glaucoma, where the disease involves the structures of the anterior chamber of the affected eye</w:t>
      </w:r>
      <w:r>
        <w:t>;</w:t>
      </w:r>
    </w:p>
    <w:p w:rsidR="00FB49D4" w:rsidRDefault="00FB49D4" w:rsidP="00FB49D4">
      <w:pPr>
        <w:pStyle w:val="Note2"/>
      </w:pPr>
      <w:r>
        <w:t xml:space="preserve">Note: </w:t>
      </w:r>
      <w:r w:rsidRPr="00FB49D4">
        <w:rPr>
          <w:b/>
          <w:i/>
        </w:rPr>
        <w:t>uveitis</w:t>
      </w:r>
      <w:r w:rsidRPr="00FB49D4">
        <w:t xml:space="preserve">, </w:t>
      </w:r>
      <w:proofErr w:type="spellStart"/>
      <w:r w:rsidRPr="00FB49D4">
        <w:rPr>
          <w:b/>
          <w:i/>
        </w:rPr>
        <w:t>scleritis</w:t>
      </w:r>
      <w:proofErr w:type="spellEnd"/>
      <w:r w:rsidRPr="00FB49D4">
        <w:t xml:space="preserve"> and </w:t>
      </w:r>
      <w:proofErr w:type="spellStart"/>
      <w:r w:rsidRPr="00FB49D4">
        <w:rPr>
          <w:b/>
          <w:i/>
        </w:rPr>
        <w:t>episcleritis</w:t>
      </w:r>
      <w:proofErr w:type="spellEnd"/>
      <w:r w:rsidRPr="00FB49D4">
        <w:t xml:space="preserve"> are defined in the Schedule 1 - Dictionary.</w:t>
      </w:r>
    </w:p>
    <w:p w:rsidR="00FB49D4" w:rsidRDefault="00FB49D4" w:rsidP="00FB49D4">
      <w:pPr>
        <w:pStyle w:val="LV2"/>
      </w:pPr>
      <w:r w:rsidRPr="00FB49D4">
        <w:t>having:</w:t>
      </w:r>
    </w:p>
    <w:p w:rsidR="00FB49D4" w:rsidRDefault="00FB49D4" w:rsidP="00FB49D4">
      <w:pPr>
        <w:pStyle w:val="LV3"/>
      </w:pPr>
      <w:r w:rsidRPr="00FB49D4">
        <w:t>a benign or malignant neoplasm; or</w:t>
      </w:r>
    </w:p>
    <w:p w:rsidR="00FB49D4" w:rsidRDefault="00FB49D4" w:rsidP="00FB49D4">
      <w:pPr>
        <w:pStyle w:val="LV3"/>
      </w:pPr>
      <w:r w:rsidRPr="00FB49D4">
        <w:t>a non-neoplastic lesion;</w:t>
      </w:r>
    </w:p>
    <w:p w:rsidR="00FB49D4" w:rsidRDefault="00FB49D4" w:rsidP="00FB49D4">
      <w:pPr>
        <w:pStyle w:val="LV2"/>
        <w:numPr>
          <w:ilvl w:val="0"/>
          <w:numId w:val="0"/>
        </w:numPr>
        <w:ind w:left="1418"/>
      </w:pPr>
      <w:proofErr w:type="gramStart"/>
      <w:r w:rsidRPr="00FB49D4">
        <w:t>which</w:t>
      </w:r>
      <w:proofErr w:type="gramEnd"/>
      <w:r w:rsidRPr="00FB49D4">
        <w:t xml:space="preserve"> involves the anterior segment of the affected eye at the time of the clinical worsening of angle-closure glaucoma;</w:t>
      </w:r>
    </w:p>
    <w:p w:rsidR="004A5D54" w:rsidRDefault="004A5D54" w:rsidP="004A5D54">
      <w:pPr>
        <w:pStyle w:val="Note2"/>
        <w:ind w:left="1985" w:hanging="567"/>
      </w:pPr>
      <w:r>
        <w:t>Note 1: Examples of a benign or malignant neoplasm include melanoma, retinoblastoma, leukaemia and lymphoma.</w:t>
      </w:r>
    </w:p>
    <w:p w:rsidR="004A5D54" w:rsidRDefault="004A5D54" w:rsidP="004A5D54">
      <w:pPr>
        <w:pStyle w:val="Note2"/>
        <w:ind w:left="1985" w:hanging="567"/>
      </w:pPr>
      <w:r>
        <w:t>Note 2: Examples of a non-neoplastic lesion include amyloidosis, cyst, ocular haemorrhage, retinal detachment and vascular malformation or thrombosis.</w:t>
      </w:r>
    </w:p>
    <w:p w:rsidR="004A5D54" w:rsidRDefault="004A5D54" w:rsidP="004A5D54">
      <w:pPr>
        <w:pStyle w:val="LV2"/>
      </w:pPr>
      <w:r w:rsidRPr="004A5D54">
        <w:t xml:space="preserve">having a disorder </w:t>
      </w:r>
      <w:r>
        <w:t>of the lens of the affected eye</w:t>
      </w:r>
      <w:r w:rsidRPr="004A5D54">
        <w:t xml:space="preserve"> at the time of the clinical worsening of angle-closure glaucoma;</w:t>
      </w:r>
    </w:p>
    <w:p w:rsidR="004A5D54" w:rsidRDefault="004A5D54" w:rsidP="004A5D54">
      <w:pPr>
        <w:pStyle w:val="Note2"/>
        <w:ind w:left="1843" w:hanging="425"/>
      </w:pPr>
      <w:r w:rsidRPr="004A5D54">
        <w:t>Note: Examples of a disorder of the lens include cataract and lens displacement, subluxation or dislocation.</w:t>
      </w:r>
    </w:p>
    <w:p w:rsidR="006C3C60" w:rsidRDefault="006C3C60" w:rsidP="006C3C60">
      <w:pPr>
        <w:pStyle w:val="LV2"/>
      </w:pPr>
      <w:r w:rsidRPr="006C3C60">
        <w:t xml:space="preserve">having growth of new blood vessels (neovascularisation) of the </w:t>
      </w:r>
      <w:proofErr w:type="spellStart"/>
      <w:r w:rsidRPr="006C3C60">
        <w:t>iridocorneal</w:t>
      </w:r>
      <w:proofErr w:type="spellEnd"/>
      <w:r w:rsidRPr="006C3C60">
        <w:t xml:space="preserve"> angle due to a condition or procedure involving the affected eye from the specified list of conditions or procedures, before the clinical worsening of angle-closure glaucoma;</w:t>
      </w:r>
    </w:p>
    <w:p w:rsidR="006C3C60" w:rsidRDefault="006C3C60" w:rsidP="006C3C60">
      <w:pPr>
        <w:pStyle w:val="Note2"/>
      </w:pPr>
      <w:r w:rsidRPr="006C3C60">
        <w:t xml:space="preserve">Note: </w:t>
      </w:r>
      <w:r w:rsidRPr="006C3C60">
        <w:rPr>
          <w:b/>
          <w:i/>
        </w:rPr>
        <w:t>specified list of conditions or procedures</w:t>
      </w:r>
      <w:r w:rsidRPr="006C3C60">
        <w:t xml:space="preserve"> is defined in the Schedule 1 - Dictionary.</w:t>
      </w:r>
    </w:p>
    <w:p w:rsidR="00C0401F" w:rsidRDefault="00C0401F" w:rsidP="00C0401F">
      <w:pPr>
        <w:pStyle w:val="LV2"/>
      </w:pPr>
      <w:r w:rsidRPr="00C0401F">
        <w:t xml:space="preserve">having trauma to the affected eye before the clinical </w:t>
      </w:r>
      <w:r>
        <w:t xml:space="preserve">worsening </w:t>
      </w:r>
      <w:r w:rsidRPr="00C0401F">
        <w:t>of angle-closure glaucoma</w:t>
      </w:r>
      <w:r>
        <w:t>;</w:t>
      </w:r>
    </w:p>
    <w:p w:rsidR="00C0401F" w:rsidRDefault="00C0401F" w:rsidP="00C0401F">
      <w:pPr>
        <w:pStyle w:val="Note2"/>
      </w:pPr>
      <w:r>
        <w:t xml:space="preserve">Note: </w:t>
      </w:r>
      <w:r w:rsidRPr="00C0401F">
        <w:rPr>
          <w:b/>
          <w:i/>
        </w:rPr>
        <w:t>trauma</w:t>
      </w:r>
      <w:r w:rsidRPr="00C0401F">
        <w:t xml:space="preserve"> is defined in the Schedule 1 - Dictionary.</w:t>
      </w:r>
    </w:p>
    <w:p w:rsidR="00C838D7" w:rsidRDefault="00C838D7" w:rsidP="00C838D7">
      <w:pPr>
        <w:pStyle w:val="LV2"/>
      </w:pPr>
      <w:r w:rsidRPr="00C838D7">
        <w:t xml:space="preserve">having sympathetic </w:t>
      </w:r>
      <w:proofErr w:type="spellStart"/>
      <w:r w:rsidRPr="00C838D7">
        <w:t>ophthalmia</w:t>
      </w:r>
      <w:proofErr w:type="spellEnd"/>
      <w:r w:rsidRPr="00C838D7">
        <w:t xml:space="preserve"> at the time of the clinical worsening of angle-closure glaucoma;</w:t>
      </w:r>
    </w:p>
    <w:p w:rsidR="00C838D7" w:rsidRDefault="00C838D7" w:rsidP="00C838D7">
      <w:pPr>
        <w:pStyle w:val="Note2"/>
      </w:pPr>
      <w:r>
        <w:t xml:space="preserve">Note: </w:t>
      </w:r>
      <w:r w:rsidRPr="00C838D7">
        <w:rPr>
          <w:b/>
          <w:i/>
        </w:rPr>
        <w:t xml:space="preserve">sympathetic </w:t>
      </w:r>
      <w:proofErr w:type="spellStart"/>
      <w:r w:rsidRPr="00C838D7">
        <w:rPr>
          <w:b/>
          <w:i/>
        </w:rPr>
        <w:t>ophthalmia</w:t>
      </w:r>
      <w:proofErr w:type="spellEnd"/>
      <w:r w:rsidRPr="00C838D7">
        <w:t xml:space="preserve"> is defined in the Schedule 1 </w:t>
      </w:r>
      <w:r>
        <w:t>-</w:t>
      </w:r>
      <w:r w:rsidRPr="00C838D7">
        <w:t xml:space="preserve"> Dictionary</w:t>
      </w:r>
      <w:r>
        <w:t>.</w:t>
      </w:r>
    </w:p>
    <w:p w:rsidR="00330228" w:rsidRDefault="00330228" w:rsidP="00330228">
      <w:pPr>
        <w:pStyle w:val="LV2"/>
      </w:pPr>
      <w:r w:rsidRPr="00330228">
        <w:t>having surgery to the affected eye, or eyelid of the affected eye, before the clinical worsening of angle-closure glaucoma;</w:t>
      </w:r>
    </w:p>
    <w:p w:rsidR="00330228" w:rsidRDefault="00330228" w:rsidP="00330228">
      <w:pPr>
        <w:pStyle w:val="LV2"/>
      </w:pPr>
      <w:r w:rsidRPr="00330228">
        <w:lastRenderedPageBreak/>
        <w:t xml:space="preserve">having surgery requiring a general anaesthetic, or surgery in the prone position, within the 21 days before the clinical worsening of </w:t>
      </w:r>
      <w:r w:rsidR="00323B59">
        <w:br/>
      </w:r>
      <w:r w:rsidRPr="00330228">
        <w:t>angle-closure glaucoma;</w:t>
      </w:r>
    </w:p>
    <w:p w:rsidR="00323B59" w:rsidRDefault="00323B59" w:rsidP="00323B59">
      <w:pPr>
        <w:pStyle w:val="LV2"/>
      </w:pPr>
      <w:r w:rsidRPr="00323B59">
        <w:t xml:space="preserve">undergoing a course of therapeutic radiation for </w:t>
      </w:r>
      <w:r>
        <w:t xml:space="preserve">cancer, where the affected eye </w:t>
      </w:r>
      <w:r w:rsidRPr="00323B59">
        <w:t>was in the field of radiation, before the clinical worsening of angle-closure glaucoma;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751DF6" w:rsidRPr="00751DF6">
        <w:t>angle-closure glaucoma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58486015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074743">
        <w:t>(12</w:t>
      </w:r>
      <w:r w:rsidR="00FF1D47">
        <w:t>)</w:t>
      </w:r>
      <w:r w:rsidR="00074743">
        <w:t xml:space="preserve"> to 9(23)</w:t>
      </w:r>
      <w:r w:rsidR="00FF1D47">
        <w:t xml:space="preserve"> </w:t>
      </w:r>
      <w:r w:rsidRPr="00187DE1">
        <w:t>appl</w:t>
      </w:r>
      <w:r w:rsidR="00074743">
        <w:t>y</w:t>
      </w:r>
      <w:r w:rsidRPr="00187DE1">
        <w:t xml:space="preserve"> only to material contribution to, or aggravation of, </w:t>
      </w:r>
      <w:r w:rsidR="00751DF6" w:rsidRPr="00751DF6">
        <w:t>angle-closure glaucoma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751DF6" w:rsidRPr="00751DF6">
        <w:t>angle-closure glaucoma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5848601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848601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8486018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CE6A18" w:rsidRPr="00513D05" w:rsidRDefault="00751DF6" w:rsidP="00CE6A18">
      <w:pPr>
        <w:pStyle w:val="SH3"/>
      </w:pPr>
      <w:bookmarkStart w:id="37" w:name="_Ref402530810"/>
      <w:proofErr w:type="gramStart"/>
      <w:r w:rsidRPr="00751DF6">
        <w:rPr>
          <w:b/>
          <w:i/>
        </w:rPr>
        <w:t>angle-closure</w:t>
      </w:r>
      <w:proofErr w:type="gramEnd"/>
      <w:r w:rsidRPr="00751DF6">
        <w:rPr>
          <w:b/>
          <w:i/>
        </w:rPr>
        <w:t xml:space="preserve"> glaucoma</w:t>
      </w:r>
      <w:r w:rsidR="00CE6A18" w:rsidRPr="00513D05">
        <w:t>—see subsection</w:t>
      </w:r>
      <w:r w:rsidR="00CE6A18">
        <w:t xml:space="preserve"> 7(2).</w:t>
      </w:r>
    </w:p>
    <w:p w:rsidR="00FB49D4" w:rsidRDefault="00FB49D4" w:rsidP="00FB49D4">
      <w:pPr>
        <w:pStyle w:val="SH3"/>
      </w:pPr>
      <w:proofErr w:type="spellStart"/>
      <w:proofErr w:type="gramStart"/>
      <w:r w:rsidRPr="00FB49D4">
        <w:rPr>
          <w:b/>
          <w:i/>
        </w:rPr>
        <w:t>episcleritis</w:t>
      </w:r>
      <w:proofErr w:type="spellEnd"/>
      <w:proofErr w:type="gramEnd"/>
      <w:r w:rsidRPr="00FB49D4">
        <w:t xml:space="preserve"> means acute or chronic inflammation of the superficial, </w:t>
      </w:r>
      <w:proofErr w:type="spellStart"/>
      <w:r w:rsidRPr="00FB49D4">
        <w:t>episcleral</w:t>
      </w:r>
      <w:proofErr w:type="spellEnd"/>
      <w:r w:rsidRPr="00FB49D4">
        <w:t xml:space="preserve"> layer of the eye ball.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FB49D4" w:rsidRPr="00FB49D4" w:rsidRDefault="00FB49D4" w:rsidP="00FB49D4">
      <w:pPr>
        <w:pStyle w:val="SH3"/>
      </w:pPr>
      <w:proofErr w:type="spellStart"/>
      <w:proofErr w:type="gramStart"/>
      <w:r w:rsidRPr="00FB49D4">
        <w:rPr>
          <w:b/>
          <w:i/>
        </w:rPr>
        <w:t>scleritis</w:t>
      </w:r>
      <w:proofErr w:type="spellEnd"/>
      <w:proofErr w:type="gramEnd"/>
      <w:r w:rsidRPr="00FB49D4">
        <w:t xml:space="preserve"> means acute or chronic inflammation that affects the white outer coating of the eye ball.</w:t>
      </w:r>
    </w:p>
    <w:p w:rsidR="006C3C60" w:rsidRDefault="006C3C60" w:rsidP="006C3C60">
      <w:pPr>
        <w:pStyle w:val="SH3"/>
      </w:pPr>
      <w:r w:rsidRPr="006C3C60">
        <w:rPr>
          <w:b/>
          <w:i/>
        </w:rPr>
        <w:t>specified list of conditions or procedures</w:t>
      </w:r>
      <w:r w:rsidRPr="006C3C60">
        <w:t xml:space="preserve"> means:</w:t>
      </w:r>
    </w:p>
    <w:p w:rsidR="001573B2" w:rsidRDefault="001573B2" w:rsidP="001573B2">
      <w:pPr>
        <w:pStyle w:val="SH4"/>
      </w:pPr>
      <w:r>
        <w:t>carotid artery disease;</w:t>
      </w:r>
    </w:p>
    <w:p w:rsidR="006C3C60" w:rsidRDefault="006C3C60" w:rsidP="006C3C60">
      <w:pPr>
        <w:pStyle w:val="SH4"/>
      </w:pPr>
      <w:r>
        <w:t xml:space="preserve">carotid endarterectomy; </w:t>
      </w:r>
    </w:p>
    <w:p w:rsidR="006C3C60" w:rsidRDefault="006C3C60" w:rsidP="006C3C60">
      <w:pPr>
        <w:pStyle w:val="SH4"/>
      </w:pPr>
      <w:r>
        <w:t xml:space="preserve">diabetic retinopathy; </w:t>
      </w:r>
    </w:p>
    <w:p w:rsidR="006C3C60" w:rsidRDefault="006C3C60" w:rsidP="006C3C60">
      <w:pPr>
        <w:pStyle w:val="SH4"/>
      </w:pPr>
      <w:r>
        <w:t xml:space="preserve">intraocular surgery; </w:t>
      </w:r>
    </w:p>
    <w:p w:rsidR="006C3C60" w:rsidRDefault="006C3C60" w:rsidP="006C3C60">
      <w:pPr>
        <w:pStyle w:val="SH4"/>
      </w:pPr>
      <w:r>
        <w:t xml:space="preserve">intraocular tumour; </w:t>
      </w:r>
    </w:p>
    <w:p w:rsidR="006C3C60" w:rsidRDefault="006C3C60" w:rsidP="006C3C60">
      <w:pPr>
        <w:pStyle w:val="SH4"/>
      </w:pPr>
      <w:r>
        <w:t xml:space="preserve">radiotherapy; </w:t>
      </w:r>
    </w:p>
    <w:p w:rsidR="006C3C60" w:rsidRDefault="006C3C60" w:rsidP="006C3C60">
      <w:pPr>
        <w:pStyle w:val="SH4"/>
      </w:pPr>
      <w:r>
        <w:t xml:space="preserve">retinal detachment; </w:t>
      </w:r>
    </w:p>
    <w:p w:rsidR="006C3C60" w:rsidRDefault="006C3C60" w:rsidP="006C3C60">
      <w:pPr>
        <w:pStyle w:val="SH4"/>
      </w:pPr>
      <w:r>
        <w:t>retinal vascular occlusion;</w:t>
      </w:r>
    </w:p>
    <w:p w:rsidR="006C3C60" w:rsidRDefault="006C3C60" w:rsidP="006C3C60">
      <w:pPr>
        <w:pStyle w:val="SH4"/>
      </w:pPr>
      <w:r>
        <w:t>retinal vasculitis; or</w:t>
      </w:r>
    </w:p>
    <w:p w:rsidR="006C3C60" w:rsidRPr="006C3C60" w:rsidRDefault="006C3C60" w:rsidP="006C3C60">
      <w:pPr>
        <w:pStyle w:val="SH4"/>
      </w:pPr>
      <w:proofErr w:type="gramStart"/>
      <w:r>
        <w:t>another</w:t>
      </w:r>
      <w:proofErr w:type="gramEnd"/>
      <w:r>
        <w:t xml:space="preserve"> acquired condition causing posterior segment </w:t>
      </w:r>
      <w:proofErr w:type="spellStart"/>
      <w:r>
        <w:t>ischaemia</w:t>
      </w:r>
      <w:proofErr w:type="spellEnd"/>
      <w:r>
        <w:t>.</w:t>
      </w:r>
    </w:p>
    <w:p w:rsidR="00FB49D4" w:rsidRDefault="00FB49D4" w:rsidP="00FB49D4">
      <w:pPr>
        <w:pStyle w:val="SH3"/>
      </w:pPr>
      <w:r w:rsidRPr="00FB49D4">
        <w:rPr>
          <w:b/>
          <w:i/>
        </w:rPr>
        <w:t>specified list of drugs</w:t>
      </w:r>
      <w:r w:rsidRPr="00FB49D4">
        <w:t xml:space="preserve"> means</w:t>
      </w:r>
      <w:r>
        <w:t>:</w:t>
      </w:r>
    </w:p>
    <w:p w:rsidR="00FB49D4" w:rsidRDefault="00FB49D4" w:rsidP="00FB49D4">
      <w:pPr>
        <w:pStyle w:val="SH4"/>
      </w:pPr>
      <w:r>
        <w:t>alpha-</w:t>
      </w:r>
      <w:proofErr w:type="spellStart"/>
      <w:r>
        <w:t>adrenoceptor</w:t>
      </w:r>
      <w:proofErr w:type="spellEnd"/>
      <w:r>
        <w:t xml:space="preserve"> agonists; </w:t>
      </w:r>
    </w:p>
    <w:p w:rsidR="00FB49D4" w:rsidRDefault="00FB49D4" w:rsidP="00FB49D4">
      <w:pPr>
        <w:pStyle w:val="SH4"/>
      </w:pPr>
      <w:r>
        <w:t xml:space="preserve">amphetamines;  </w:t>
      </w:r>
    </w:p>
    <w:p w:rsidR="00FB49D4" w:rsidRDefault="00FB49D4" w:rsidP="00FB49D4">
      <w:pPr>
        <w:pStyle w:val="SH4"/>
      </w:pPr>
      <w:r>
        <w:t xml:space="preserve">anticholinergics;  </w:t>
      </w:r>
    </w:p>
    <w:p w:rsidR="00FB49D4" w:rsidRDefault="00FB49D4" w:rsidP="00FB49D4">
      <w:pPr>
        <w:pStyle w:val="SH4"/>
      </w:pPr>
      <w:r>
        <w:t xml:space="preserve">anticoagulants;  </w:t>
      </w:r>
    </w:p>
    <w:p w:rsidR="00FB49D4" w:rsidRDefault="00FB49D4" w:rsidP="00FB49D4">
      <w:pPr>
        <w:pStyle w:val="SH4"/>
      </w:pPr>
      <w:r>
        <w:t xml:space="preserve">antihistamines;  </w:t>
      </w:r>
    </w:p>
    <w:p w:rsidR="00FB49D4" w:rsidRDefault="00FB49D4" w:rsidP="00FB49D4">
      <w:pPr>
        <w:pStyle w:val="SH4"/>
      </w:pPr>
      <w:r>
        <w:t>benzodiazepines;</w:t>
      </w:r>
    </w:p>
    <w:p w:rsidR="00FB49D4" w:rsidRDefault="00FB49D4" w:rsidP="00FB49D4">
      <w:pPr>
        <w:pStyle w:val="SH4"/>
      </w:pPr>
      <w:r>
        <w:t xml:space="preserve">botulinum toxin;  </w:t>
      </w:r>
    </w:p>
    <w:p w:rsidR="00FB49D4" w:rsidRDefault="00FB49D4" w:rsidP="00FB49D4">
      <w:pPr>
        <w:pStyle w:val="SH4"/>
      </w:pPr>
      <w:proofErr w:type="spellStart"/>
      <w:r>
        <w:t>cabergoline</w:t>
      </w:r>
      <w:proofErr w:type="spellEnd"/>
      <w:r>
        <w:t>;</w:t>
      </w:r>
    </w:p>
    <w:p w:rsidR="00FB49D4" w:rsidRDefault="00FB49D4" w:rsidP="00FB49D4">
      <w:pPr>
        <w:pStyle w:val="SH4"/>
      </w:pPr>
      <w:r>
        <w:t>candesartan;</w:t>
      </w:r>
    </w:p>
    <w:p w:rsidR="00FB49D4" w:rsidRDefault="00FB49D4" w:rsidP="00FB49D4">
      <w:pPr>
        <w:pStyle w:val="SH4"/>
      </w:pPr>
      <w:r>
        <w:t xml:space="preserve">cholinergic agents;  </w:t>
      </w:r>
    </w:p>
    <w:p w:rsidR="00FB49D4" w:rsidRDefault="00FB49D4" w:rsidP="00FB49D4">
      <w:pPr>
        <w:pStyle w:val="SH4"/>
      </w:pPr>
      <w:proofErr w:type="spellStart"/>
      <w:r>
        <w:t>daratumumab</w:t>
      </w:r>
      <w:proofErr w:type="spellEnd"/>
      <w:r>
        <w:t>;</w:t>
      </w:r>
    </w:p>
    <w:p w:rsidR="00FB49D4" w:rsidRDefault="00FB49D4" w:rsidP="00FB49D4">
      <w:pPr>
        <w:pStyle w:val="SH4"/>
      </w:pPr>
      <w:r>
        <w:lastRenderedPageBreak/>
        <w:t xml:space="preserve">furosemide; </w:t>
      </w:r>
    </w:p>
    <w:p w:rsidR="00FB49D4" w:rsidRDefault="00FB49D4" w:rsidP="00FB49D4">
      <w:pPr>
        <w:pStyle w:val="SH4"/>
      </w:pPr>
      <w:r>
        <w:t xml:space="preserve">general anaesthetic; </w:t>
      </w:r>
    </w:p>
    <w:p w:rsidR="00FB49D4" w:rsidRDefault="00FB49D4" w:rsidP="00FB49D4">
      <w:pPr>
        <w:pStyle w:val="SH4"/>
      </w:pPr>
      <w:r>
        <w:t xml:space="preserve">intranasal or intraocular cocaine; </w:t>
      </w:r>
    </w:p>
    <w:p w:rsidR="00FB49D4" w:rsidRDefault="00FB49D4" w:rsidP="00FB49D4">
      <w:pPr>
        <w:pStyle w:val="SH4"/>
      </w:pPr>
      <w:proofErr w:type="spellStart"/>
      <w:r>
        <w:t>intravitreal</w:t>
      </w:r>
      <w:proofErr w:type="spellEnd"/>
      <w:r>
        <w:t xml:space="preserve"> injection; </w:t>
      </w:r>
    </w:p>
    <w:p w:rsidR="00FB49D4" w:rsidRDefault="00FB49D4" w:rsidP="00FB49D4">
      <w:pPr>
        <w:pStyle w:val="SH4"/>
      </w:pPr>
      <w:proofErr w:type="spellStart"/>
      <w:r>
        <w:t>isotretinoin</w:t>
      </w:r>
      <w:proofErr w:type="spellEnd"/>
      <w:r>
        <w:t>;</w:t>
      </w:r>
    </w:p>
    <w:p w:rsidR="00FB49D4" w:rsidRDefault="00FB49D4" w:rsidP="00FB49D4">
      <w:pPr>
        <w:pStyle w:val="SH4"/>
      </w:pPr>
      <w:r>
        <w:t xml:space="preserve">monoamine oxidase inhibitors;  </w:t>
      </w:r>
    </w:p>
    <w:p w:rsidR="00FB49D4" w:rsidRDefault="00FB49D4" w:rsidP="00FB49D4">
      <w:pPr>
        <w:pStyle w:val="SH4"/>
      </w:pPr>
      <w:r>
        <w:t xml:space="preserve">phenothiazine antipsychotics;  </w:t>
      </w:r>
    </w:p>
    <w:p w:rsidR="00FB49D4" w:rsidRDefault="00FB49D4" w:rsidP="00FB49D4">
      <w:pPr>
        <w:pStyle w:val="SH4"/>
      </w:pPr>
      <w:r>
        <w:t xml:space="preserve">pilocarpine;  </w:t>
      </w:r>
    </w:p>
    <w:p w:rsidR="00FB49D4" w:rsidRDefault="00FB49D4" w:rsidP="00FB49D4">
      <w:pPr>
        <w:pStyle w:val="SH4"/>
      </w:pPr>
      <w:r>
        <w:t xml:space="preserve">selective serotonin reuptake inhibitors;  </w:t>
      </w:r>
    </w:p>
    <w:p w:rsidR="00FB49D4" w:rsidRDefault="00FB49D4" w:rsidP="00FB49D4">
      <w:pPr>
        <w:pStyle w:val="SH4"/>
      </w:pPr>
      <w:r>
        <w:t xml:space="preserve">serotonin noradrenaline reuptake inhibitors; </w:t>
      </w:r>
    </w:p>
    <w:p w:rsidR="00FB49D4" w:rsidRDefault="00FB49D4" w:rsidP="00FB49D4">
      <w:pPr>
        <w:pStyle w:val="SH4"/>
      </w:pPr>
      <w:proofErr w:type="spellStart"/>
      <w:r>
        <w:t>sulfa</w:t>
      </w:r>
      <w:proofErr w:type="spellEnd"/>
      <w:r>
        <w:t xml:space="preserve"> containing drugs; </w:t>
      </w:r>
    </w:p>
    <w:p w:rsidR="00FB49D4" w:rsidRDefault="00FB49D4" w:rsidP="00FB49D4">
      <w:pPr>
        <w:pStyle w:val="SH4"/>
      </w:pPr>
      <w:proofErr w:type="spellStart"/>
      <w:r>
        <w:t>sumatriptan</w:t>
      </w:r>
      <w:proofErr w:type="spellEnd"/>
      <w:r>
        <w:t>;</w:t>
      </w:r>
    </w:p>
    <w:p w:rsidR="00FB49D4" w:rsidRDefault="00FB49D4" w:rsidP="00FB49D4">
      <w:pPr>
        <w:pStyle w:val="SH4"/>
      </w:pPr>
      <w:r>
        <w:t xml:space="preserve">tetracyclic antidepressants; </w:t>
      </w:r>
    </w:p>
    <w:p w:rsidR="00FB49D4" w:rsidRDefault="00FB49D4" w:rsidP="00FB49D4">
      <w:pPr>
        <w:pStyle w:val="SH4"/>
      </w:pPr>
      <w:r>
        <w:t>tetracycline; and</w:t>
      </w:r>
    </w:p>
    <w:p w:rsidR="00FB49D4" w:rsidRPr="00FB49D4" w:rsidRDefault="00FB49D4" w:rsidP="00FB49D4">
      <w:pPr>
        <w:pStyle w:val="SH4"/>
      </w:pPr>
      <w:proofErr w:type="gramStart"/>
      <w:r>
        <w:t>tricyclic</w:t>
      </w:r>
      <w:proofErr w:type="gramEnd"/>
      <w:r>
        <w:t xml:space="preserve"> antidepressants.</w:t>
      </w:r>
    </w:p>
    <w:p w:rsidR="00946D90" w:rsidRDefault="00946D90" w:rsidP="00946D90">
      <w:pPr>
        <w:pStyle w:val="SH3"/>
      </w:pPr>
      <w:r w:rsidRPr="00946D90">
        <w:rPr>
          <w:b/>
          <w:i/>
        </w:rPr>
        <w:t xml:space="preserve">sympathetic </w:t>
      </w:r>
      <w:proofErr w:type="spellStart"/>
      <w:r w:rsidRPr="00946D90">
        <w:rPr>
          <w:b/>
          <w:i/>
        </w:rPr>
        <w:t>ophthalmia</w:t>
      </w:r>
      <w:proofErr w:type="spellEnd"/>
      <w:r w:rsidRPr="00946D90">
        <w:t xml:space="preserve"> means the presence of uveitis in both eyes following:</w:t>
      </w:r>
    </w:p>
    <w:p w:rsidR="00946D90" w:rsidRDefault="00946D90" w:rsidP="00946D90">
      <w:pPr>
        <w:pStyle w:val="SH4"/>
      </w:pPr>
      <w:r>
        <w:t xml:space="preserve">intraocular surgery to one eye; or </w:t>
      </w:r>
    </w:p>
    <w:p w:rsidR="00946D90" w:rsidRDefault="00946D90" w:rsidP="00946D90">
      <w:pPr>
        <w:pStyle w:val="SH4"/>
      </w:pPr>
      <w:proofErr w:type="gramStart"/>
      <w:r>
        <w:t>trauma</w:t>
      </w:r>
      <w:proofErr w:type="gramEnd"/>
      <w:r>
        <w:t xml:space="preserve"> to one eye.</w:t>
      </w:r>
    </w:p>
    <w:p w:rsidR="001573B2" w:rsidRPr="001573B2" w:rsidRDefault="001573B2" w:rsidP="001573B2">
      <w:pPr>
        <w:pStyle w:val="ScheduleNote"/>
      </w:pPr>
      <w:r>
        <w:t xml:space="preserve">Note: </w:t>
      </w:r>
      <w:r>
        <w:rPr>
          <w:b/>
          <w:i/>
        </w:rPr>
        <w:t>uveitis</w:t>
      </w:r>
      <w:r>
        <w:t xml:space="preserve"> is also defined in the </w:t>
      </w:r>
      <w:r w:rsidRPr="00A36B1A">
        <w:t xml:space="preserve">Schedule 1 </w:t>
      </w:r>
      <w:r>
        <w:t>-</w:t>
      </w:r>
      <w:r w:rsidRPr="00A36B1A">
        <w:t xml:space="preserve"> Dictionary</w:t>
      </w:r>
      <w:r>
        <w:t>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C0401F" w:rsidRDefault="00C0401F" w:rsidP="00C0401F">
      <w:pPr>
        <w:pStyle w:val="SH3"/>
      </w:pPr>
      <w:r w:rsidRPr="00C0401F">
        <w:rPr>
          <w:b/>
          <w:i/>
        </w:rPr>
        <w:t>trauma</w:t>
      </w:r>
      <w:r w:rsidRPr="00C0401F">
        <w:t xml:space="preserve"> means</w:t>
      </w:r>
      <w:r>
        <w:t>:</w:t>
      </w:r>
    </w:p>
    <w:p w:rsidR="00C0401F" w:rsidRDefault="00C0401F" w:rsidP="00C0401F">
      <w:pPr>
        <w:pStyle w:val="SH4"/>
      </w:pPr>
      <w:r w:rsidRPr="00C0401F">
        <w:tab/>
        <w:t>blunt or penetrating physical injury; or</w:t>
      </w:r>
    </w:p>
    <w:p w:rsidR="00C0401F" w:rsidRDefault="00C0401F" w:rsidP="00C0401F">
      <w:pPr>
        <w:pStyle w:val="SH4"/>
      </w:pPr>
      <w:r w:rsidRPr="00C0401F">
        <w:tab/>
        <w:t>chemical, thermal or radiation injury;</w:t>
      </w:r>
    </w:p>
    <w:p w:rsidR="00C0401F" w:rsidRPr="00C0401F" w:rsidRDefault="00A41FF2" w:rsidP="00A41FF2">
      <w:pPr>
        <w:pStyle w:val="SH3"/>
      </w:pPr>
      <w:proofErr w:type="gramStart"/>
      <w:r w:rsidRPr="00A41FF2">
        <w:t>that</w:t>
      </w:r>
      <w:proofErr w:type="gramEnd"/>
      <w:r w:rsidRPr="00A41FF2">
        <w:t xml:space="preserve"> results in intraocular inflammation, intraocular bleeding or other intraocular tissue disruption.</w:t>
      </w:r>
    </w:p>
    <w:p w:rsidR="00FB49D4" w:rsidRPr="00FB49D4" w:rsidRDefault="00FB49D4" w:rsidP="00FB49D4">
      <w:pPr>
        <w:pStyle w:val="SH3"/>
      </w:pPr>
      <w:proofErr w:type="gramStart"/>
      <w:r w:rsidRPr="00FB49D4">
        <w:rPr>
          <w:b/>
          <w:i/>
        </w:rPr>
        <w:t>uveitis</w:t>
      </w:r>
      <w:proofErr w:type="gramEnd"/>
      <w:r w:rsidRPr="00FB49D4">
        <w:t xml:space="preserve"> means acute or chronic inflammation of the vascular middle coat of the eye ball, comprising the iris, ciliary body and choroid. This definition includes choroidal effusion.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751DF6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51DF6">
            <w:rPr>
              <w:i/>
              <w:sz w:val="18"/>
              <w:szCs w:val="18"/>
            </w:rPr>
            <w:t>Angle-Closure Glaucoma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751DF6">
            <w:rPr>
              <w:i/>
              <w:sz w:val="18"/>
              <w:szCs w:val="18"/>
            </w:rPr>
            <w:t>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751DF6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82771">
            <w:rPr>
              <w:i/>
              <w:noProof/>
              <w:sz w:val="18"/>
            </w:rPr>
            <w:t>9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82771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751DF6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51DF6">
            <w:rPr>
              <w:i/>
              <w:sz w:val="18"/>
              <w:szCs w:val="18"/>
            </w:rPr>
            <w:t>Angle-Closure Glaucoma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751DF6">
            <w:rPr>
              <w:i/>
              <w:sz w:val="18"/>
              <w:szCs w:val="18"/>
            </w:rPr>
            <w:t>5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751DF6">
            <w:rPr>
              <w:i/>
              <w:sz w:val="18"/>
              <w:szCs w:val="18"/>
            </w:rPr>
            <w:t>2021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8277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82771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74743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3B2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23B59"/>
    <w:rsid w:val="00330228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00463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D5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D52CE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3C60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1DF6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1B8E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13E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47DF"/>
    <w:rsid w:val="009056AF"/>
    <w:rsid w:val="00912B55"/>
    <w:rsid w:val="00915DF9"/>
    <w:rsid w:val="009254C3"/>
    <w:rsid w:val="00925CA9"/>
    <w:rsid w:val="00932377"/>
    <w:rsid w:val="00940238"/>
    <w:rsid w:val="00941893"/>
    <w:rsid w:val="00946D90"/>
    <w:rsid w:val="00947D5A"/>
    <w:rsid w:val="00950C80"/>
    <w:rsid w:val="009532A5"/>
    <w:rsid w:val="00956922"/>
    <w:rsid w:val="009612CF"/>
    <w:rsid w:val="009724F4"/>
    <w:rsid w:val="00973808"/>
    <w:rsid w:val="009802F5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41FF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0401F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82771"/>
    <w:rsid w:val="00C838D7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E6A18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5F7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49D4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605B2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1944</Words>
  <Characters>11087</Characters>
  <Application>Microsoft Office Word</Application>
  <DocSecurity>0</DocSecurity>
  <PresentationFormat/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2020-12-11T05:03:00Z</dcterms:modified>
  <cp:category/>
  <cp:contentStatus/>
  <dc:language/>
  <cp:version/>
</cp:coreProperties>
</file>