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8872" w14:textId="77777777" w:rsidR="00715914" w:rsidRPr="00FA33FB" w:rsidRDefault="00997416" w:rsidP="00BA5890">
      <w:pPr>
        <w:pStyle w:val="Plain"/>
        <w:ind w:left="0"/>
        <w:jc w:val="center"/>
        <w:rPr>
          <w:sz w:val="28"/>
        </w:rPr>
      </w:pPr>
      <w:r>
        <w:rPr>
          <w:noProof/>
        </w:rPr>
        <w:drawing>
          <wp:inline distT="0" distB="0" distL="0" distR="0" wp14:anchorId="5437CDD9" wp14:editId="7BE0D33F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762CB" w14:textId="77777777" w:rsidR="00715914" w:rsidRPr="00FA33FB" w:rsidRDefault="00715914" w:rsidP="00715914">
      <w:pPr>
        <w:rPr>
          <w:sz w:val="19"/>
        </w:rPr>
      </w:pPr>
    </w:p>
    <w:p w14:paraId="6875D65E" w14:textId="77777777" w:rsidR="000F76FA" w:rsidRPr="00024911" w:rsidRDefault="00E55F66" w:rsidP="006647B7">
      <w:pPr>
        <w:pStyle w:val="Plainheader"/>
      </w:pPr>
      <w:r w:rsidRPr="00024911">
        <w:t>Statement of Principles</w:t>
      </w:r>
    </w:p>
    <w:p w14:paraId="0BADBF13" w14:textId="77777777"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14:paraId="2387F719" w14:textId="77777777" w:rsidR="00054930" w:rsidRDefault="00E225EC" w:rsidP="006647B7">
      <w:pPr>
        <w:pStyle w:val="Plainheader"/>
      </w:pPr>
      <w:bookmarkStart w:id="0" w:name="SoP_Name_Title"/>
      <w:proofErr w:type="gramStart"/>
      <w:r>
        <w:t>TINNITUS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14:paraId="321F4097" w14:textId="7984732E"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EE4FE8">
        <w:t>84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E225EC">
        <w:t>2020</w:t>
      </w:r>
      <w:bookmarkEnd w:id="2"/>
      <w:r w:rsidRPr="00024911">
        <w:t>)</w:t>
      </w:r>
    </w:p>
    <w:p w14:paraId="73FDB7C5" w14:textId="77777777"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14:paraId="677FF561" w14:textId="77777777" w:rsidR="00F97A62" w:rsidRPr="00F97A62" w:rsidRDefault="00F97A62" w:rsidP="00F97A62">
      <w:pPr>
        <w:rPr>
          <w:lang w:eastAsia="en-AU"/>
        </w:rPr>
      </w:pPr>
    </w:p>
    <w:p w14:paraId="517F683A" w14:textId="194A4A87" w:rsidR="00EE4FE8" w:rsidRPr="00EE4FE8" w:rsidRDefault="00EE4FE8" w:rsidP="00EE4FE8">
      <w:pPr>
        <w:rPr>
          <w:rFonts w:eastAsia="Times New Roman"/>
          <w:sz w:val="24"/>
          <w:szCs w:val="24"/>
          <w:lang w:eastAsia="en-AU"/>
        </w:rPr>
      </w:pPr>
      <w:r w:rsidRPr="00EE4FE8">
        <w:rPr>
          <w:rFonts w:eastAsia="Times New Roman"/>
          <w:sz w:val="24"/>
          <w:szCs w:val="24"/>
          <w:lang w:eastAsia="en-AU"/>
        </w:rPr>
        <w:t>Dated</w:t>
      </w:r>
      <w:r>
        <w:rPr>
          <w:rFonts w:eastAsia="Times New Roman"/>
          <w:sz w:val="24"/>
          <w:szCs w:val="24"/>
          <w:lang w:eastAsia="en-AU"/>
        </w:rPr>
        <w:tab/>
      </w:r>
      <w:r>
        <w:rPr>
          <w:rFonts w:eastAsia="Times New Roman"/>
          <w:sz w:val="24"/>
          <w:szCs w:val="24"/>
          <w:lang w:eastAsia="en-AU"/>
        </w:rPr>
        <w:tab/>
      </w:r>
      <w:r w:rsidRPr="00EE4FE8">
        <w:rPr>
          <w:rFonts w:eastAsia="Times New Roman"/>
          <w:sz w:val="24"/>
          <w:szCs w:val="24"/>
          <w:lang w:eastAsia="en-AU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rFonts w:asciiTheme="minorHAnsi" w:eastAsiaTheme="minorEastAsia" w:hAnsiTheme="minorHAnsi" w:cstheme="minorBidi"/>
          <w:noProof/>
          <w:szCs w:val="22"/>
        </w:rPr>
        <w:tab/>
        <w:t xml:space="preserve">   </w:t>
      </w:r>
      <w:r w:rsidRPr="00EE4FE8">
        <w:rPr>
          <w:rFonts w:eastAsia="Times New Roman"/>
          <w:sz w:val="24"/>
          <w:szCs w:val="24"/>
          <w:lang w:eastAsia="en-AU"/>
        </w:rPr>
        <w:t>30 October 2020</w:t>
      </w:r>
    </w:p>
    <w:p w14:paraId="1FCE621F" w14:textId="77777777" w:rsidR="00EE4FE8" w:rsidRPr="00EE4FE8" w:rsidRDefault="00EE4FE8" w:rsidP="00EE4FE8">
      <w:pPr>
        <w:rPr>
          <w:rFonts w:eastAsia="Times New Roman"/>
          <w:sz w:val="24"/>
          <w:szCs w:val="24"/>
          <w:lang w:eastAsia="en-AU"/>
        </w:rPr>
      </w:pPr>
    </w:p>
    <w:p w14:paraId="4B970C10" w14:textId="77777777" w:rsidR="00EE4FE8" w:rsidRPr="00EE4FE8" w:rsidRDefault="00EE4FE8" w:rsidP="00EE4FE8">
      <w:pPr>
        <w:rPr>
          <w:rFonts w:eastAsia="Times New Roman"/>
          <w:sz w:val="24"/>
          <w:szCs w:val="24"/>
          <w:lang w:eastAsia="en-AU"/>
        </w:rPr>
      </w:pPr>
    </w:p>
    <w:p w14:paraId="7CB6A29E" w14:textId="77777777" w:rsidR="00EE4FE8" w:rsidRPr="00EE4FE8" w:rsidRDefault="00EE4FE8" w:rsidP="00EE4FE8">
      <w:pPr>
        <w:rPr>
          <w:rFonts w:eastAsia="Times New Roman"/>
          <w:sz w:val="24"/>
          <w:szCs w:val="24"/>
          <w:lang w:eastAsia="en-AU"/>
        </w:rPr>
      </w:pPr>
    </w:p>
    <w:p w14:paraId="05897B51" w14:textId="77777777" w:rsidR="00EE4FE8" w:rsidRPr="00EE4FE8" w:rsidRDefault="00EE4FE8" w:rsidP="00EE4FE8">
      <w:pPr>
        <w:rPr>
          <w:rFonts w:eastAsia="Times New Roman"/>
          <w:sz w:val="24"/>
          <w:szCs w:val="24"/>
          <w:lang w:eastAsia="en-AU"/>
        </w:rPr>
      </w:pPr>
    </w:p>
    <w:p w14:paraId="064C85E8" w14:textId="77777777" w:rsidR="00EE4FE8" w:rsidRPr="00EE4FE8" w:rsidRDefault="00EE4FE8" w:rsidP="00EE4FE8">
      <w:pPr>
        <w:rPr>
          <w:rFonts w:eastAsia="Times New Roman"/>
          <w:sz w:val="24"/>
          <w:szCs w:val="24"/>
          <w:lang w:eastAsia="en-AU"/>
        </w:rPr>
      </w:pPr>
    </w:p>
    <w:p w14:paraId="40B9C097" w14:textId="77777777" w:rsidR="00EE4FE8" w:rsidRPr="00EE4FE8" w:rsidRDefault="00EE4FE8" w:rsidP="00EE4FE8">
      <w:pPr>
        <w:rPr>
          <w:rFonts w:eastAsia="Times New Roman"/>
          <w:sz w:val="24"/>
          <w:szCs w:val="24"/>
          <w:lang w:eastAsia="en-AU"/>
        </w:rPr>
      </w:pPr>
      <w:r w:rsidRPr="00EE4FE8">
        <w:rPr>
          <w:rFonts w:eastAsia="Times New Roman"/>
          <w:sz w:val="24"/>
          <w:szCs w:val="24"/>
          <w:lang w:eastAsia="en-AU"/>
        </w:rPr>
        <w:t>The Common Seal of the</w:t>
      </w:r>
    </w:p>
    <w:p w14:paraId="311E3A3F" w14:textId="77777777" w:rsidR="00EE4FE8" w:rsidRPr="00EE4FE8" w:rsidRDefault="00EE4FE8" w:rsidP="00EE4FE8">
      <w:pPr>
        <w:rPr>
          <w:rFonts w:eastAsia="Times New Roman"/>
          <w:sz w:val="24"/>
          <w:szCs w:val="24"/>
          <w:lang w:eastAsia="en-AU"/>
        </w:rPr>
      </w:pPr>
      <w:r w:rsidRPr="00EE4FE8">
        <w:rPr>
          <w:rFonts w:eastAsia="Times New Roman"/>
          <w:sz w:val="24"/>
          <w:szCs w:val="24"/>
          <w:lang w:eastAsia="en-AU"/>
        </w:rPr>
        <w:t>Repatriation Medical Authority</w:t>
      </w:r>
    </w:p>
    <w:p w14:paraId="6FAD511C" w14:textId="77777777" w:rsidR="00EE4FE8" w:rsidRPr="00EE4FE8" w:rsidRDefault="00EE4FE8" w:rsidP="00EE4FE8">
      <w:pPr>
        <w:rPr>
          <w:rFonts w:eastAsia="Times New Roman"/>
          <w:sz w:val="24"/>
          <w:szCs w:val="24"/>
          <w:lang w:eastAsia="en-AU"/>
        </w:rPr>
      </w:pPr>
      <w:proofErr w:type="gramStart"/>
      <w:r w:rsidRPr="00EE4FE8">
        <w:rPr>
          <w:rFonts w:eastAsia="Times New Roman"/>
          <w:sz w:val="24"/>
          <w:szCs w:val="24"/>
          <w:lang w:eastAsia="en-AU"/>
        </w:rPr>
        <w:t>was</w:t>
      </w:r>
      <w:proofErr w:type="gramEnd"/>
      <w:r w:rsidRPr="00EE4FE8">
        <w:rPr>
          <w:rFonts w:eastAsia="Times New Roman"/>
          <w:sz w:val="24"/>
          <w:szCs w:val="24"/>
          <w:lang w:eastAsia="en-AU"/>
        </w:rPr>
        <w:t xml:space="preserve"> affixed to this instrument</w:t>
      </w:r>
    </w:p>
    <w:p w14:paraId="670D9149" w14:textId="77777777" w:rsidR="00EE4FE8" w:rsidRPr="00EE4FE8" w:rsidRDefault="00EE4FE8" w:rsidP="00EE4FE8">
      <w:pPr>
        <w:rPr>
          <w:rFonts w:eastAsia="Times New Roman"/>
          <w:sz w:val="24"/>
          <w:szCs w:val="24"/>
          <w:lang w:eastAsia="en-AU"/>
        </w:rPr>
      </w:pPr>
      <w:proofErr w:type="gramStart"/>
      <w:r w:rsidRPr="00EE4FE8">
        <w:rPr>
          <w:rFonts w:eastAsia="Times New Roman"/>
          <w:sz w:val="24"/>
          <w:szCs w:val="24"/>
          <w:lang w:eastAsia="en-AU"/>
        </w:rPr>
        <w:t>at</w:t>
      </w:r>
      <w:proofErr w:type="gramEnd"/>
      <w:r w:rsidRPr="00EE4FE8">
        <w:rPr>
          <w:rFonts w:eastAsia="Times New Roman"/>
          <w:sz w:val="24"/>
          <w:szCs w:val="24"/>
          <w:lang w:eastAsia="en-AU"/>
        </w:rPr>
        <w:t xml:space="preserve"> the direction of:</w:t>
      </w:r>
    </w:p>
    <w:p w14:paraId="0E8B8FF0" w14:textId="77777777" w:rsidR="00EE4FE8" w:rsidRPr="00EE4FE8" w:rsidRDefault="00EE4FE8" w:rsidP="00EE4FE8">
      <w:pPr>
        <w:rPr>
          <w:rFonts w:eastAsia="Times New Roman"/>
          <w:sz w:val="24"/>
          <w:szCs w:val="24"/>
          <w:lang w:eastAsia="en-AU"/>
        </w:rPr>
      </w:pPr>
    </w:p>
    <w:p w14:paraId="1B1DABAD" w14:textId="78B22C6A" w:rsidR="00EE4FE8" w:rsidRPr="00EE4FE8" w:rsidRDefault="00427759" w:rsidP="00EE4FE8">
      <w:pPr>
        <w:rPr>
          <w:rFonts w:eastAsia="Times New Roman"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665EDE55" wp14:editId="60845E95">
            <wp:extent cx="2463800" cy="533400"/>
            <wp:effectExtent l="0" t="0" r="0" b="0"/>
            <wp:docPr id="3" name="Picture 3" descr="RMA Chairperson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RMA Chairperson signa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5C4FDC3F" w14:textId="77777777" w:rsidR="00EE4FE8" w:rsidRPr="00EE4FE8" w:rsidRDefault="00EE4FE8" w:rsidP="00EE4FE8">
      <w:pPr>
        <w:rPr>
          <w:rFonts w:eastAsia="Times New Roman"/>
          <w:sz w:val="24"/>
          <w:szCs w:val="24"/>
          <w:lang w:eastAsia="en-AU"/>
        </w:rPr>
      </w:pPr>
    </w:p>
    <w:p w14:paraId="7EC132E7" w14:textId="77777777" w:rsidR="00EE4FE8" w:rsidRPr="00EE4FE8" w:rsidRDefault="00EE4FE8" w:rsidP="00EE4FE8">
      <w:pPr>
        <w:rPr>
          <w:rFonts w:eastAsia="Times New Roman"/>
          <w:sz w:val="24"/>
          <w:szCs w:val="24"/>
          <w:lang w:eastAsia="en-AU"/>
        </w:rPr>
      </w:pPr>
      <w:r w:rsidRPr="00EE4FE8">
        <w:rPr>
          <w:rFonts w:eastAsia="Times New Roman"/>
          <w:sz w:val="24"/>
          <w:szCs w:val="24"/>
          <w:lang w:eastAsia="en-AU"/>
        </w:rPr>
        <w:t>Professor Nicholas Saunders AO</w:t>
      </w:r>
    </w:p>
    <w:p w14:paraId="54CAB5D6" w14:textId="77777777" w:rsidR="00EE4FE8" w:rsidRPr="00EE4FE8" w:rsidRDefault="00EE4FE8" w:rsidP="00EE4FE8">
      <w:pPr>
        <w:rPr>
          <w:rFonts w:eastAsia="Times New Roman"/>
          <w:sz w:val="24"/>
          <w:szCs w:val="24"/>
          <w:lang w:eastAsia="en-AU"/>
        </w:rPr>
      </w:pPr>
      <w:r w:rsidRPr="00EE4FE8">
        <w:rPr>
          <w:rFonts w:eastAsia="Times New Roman"/>
          <w:sz w:val="24"/>
          <w:szCs w:val="24"/>
          <w:lang w:eastAsia="en-AU"/>
        </w:rPr>
        <w:t>Chairperson</w:t>
      </w:r>
    </w:p>
    <w:p w14:paraId="370EB259" w14:textId="77777777" w:rsidR="00ED20B7" w:rsidRPr="00FA33FB" w:rsidRDefault="00ED20B7" w:rsidP="00ED20B7"/>
    <w:p w14:paraId="49DCD72C" w14:textId="77777777"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14:paraId="3837A0D4" w14:textId="77777777"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14:paraId="07664BE2" w14:textId="14ECDAB7" w:rsidR="008548A7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8548A7">
        <w:rPr>
          <w:noProof/>
        </w:rPr>
        <w:t>1</w:t>
      </w:r>
      <w:r w:rsidR="008548A7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8548A7">
        <w:rPr>
          <w:noProof/>
        </w:rPr>
        <w:t>Name</w:t>
      </w:r>
      <w:r w:rsidR="008548A7">
        <w:rPr>
          <w:noProof/>
        </w:rPr>
        <w:tab/>
      </w:r>
      <w:r w:rsidR="008548A7">
        <w:rPr>
          <w:noProof/>
        </w:rPr>
        <w:fldChar w:fldCharType="begin"/>
      </w:r>
      <w:r w:rsidR="008548A7">
        <w:rPr>
          <w:noProof/>
        </w:rPr>
        <w:instrText xml:space="preserve"> PAGEREF _Toc54007983 \h </w:instrText>
      </w:r>
      <w:r w:rsidR="008548A7">
        <w:rPr>
          <w:noProof/>
        </w:rPr>
      </w:r>
      <w:r w:rsidR="008548A7">
        <w:rPr>
          <w:noProof/>
        </w:rPr>
        <w:fldChar w:fldCharType="separate"/>
      </w:r>
      <w:r w:rsidR="008548A7">
        <w:rPr>
          <w:noProof/>
        </w:rPr>
        <w:t>3</w:t>
      </w:r>
      <w:r w:rsidR="008548A7">
        <w:rPr>
          <w:noProof/>
        </w:rPr>
        <w:fldChar w:fldCharType="end"/>
      </w:r>
    </w:p>
    <w:p w14:paraId="7A79DB10" w14:textId="784E8B03" w:rsidR="008548A7" w:rsidRDefault="008548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_Toc54007984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FD5FD55" w14:textId="2AF89176" w:rsidR="008548A7" w:rsidRDefault="008548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_Toc54007985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F647DEC" w14:textId="58BAF3C7" w:rsidR="008548A7" w:rsidRDefault="008548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_Toc54007986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D3F8A9F" w14:textId="2B650585" w:rsidR="008548A7" w:rsidRDefault="008548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_Toc54007987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9B5BEF7" w14:textId="1B863CEA" w:rsidR="008548A7" w:rsidRDefault="008548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_Toc54007988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C6BF554" w14:textId="068F4B65" w:rsidR="008548A7" w:rsidRDefault="008548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_Toc54007989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4AF6B10" w14:textId="6C66935E" w:rsidR="008548A7" w:rsidRDefault="008548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_Toc54007990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8AB0C99" w14:textId="59977906" w:rsidR="008548A7" w:rsidRDefault="008548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_Toc54007991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50EFD81" w14:textId="64CE96AC" w:rsidR="008548A7" w:rsidRDefault="008548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_Toc54007992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B203958" w14:textId="0B1ECF44" w:rsidR="008548A7" w:rsidRDefault="008548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_Toc54007993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E44CBFE" w14:textId="78857607" w:rsidR="008548A7" w:rsidRPr="00846A89" w:rsidRDefault="008548A7">
      <w:pPr>
        <w:pStyle w:val="TOC6"/>
        <w:rPr>
          <w:noProof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_Toc54007994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052C61C" w14:textId="05AEF2E7" w:rsidR="008548A7" w:rsidRDefault="008548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_Toc54007995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BEA2925" w14:textId="72782D14"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14:paraId="21394C9B" w14:textId="77777777" w:rsidR="003A2FFE" w:rsidRDefault="003A2FFE" w:rsidP="003A2FFE">
      <w:pPr>
        <w:tabs>
          <w:tab w:val="left" w:pos="3631"/>
        </w:tabs>
      </w:pPr>
    </w:p>
    <w:p w14:paraId="2E3C99D2" w14:textId="77777777"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14:paraId="65E5DA03" w14:textId="77777777" w:rsidR="00877AE3" w:rsidRDefault="00877AE3" w:rsidP="00253D7C">
      <w:pPr>
        <w:pStyle w:val="LV1"/>
      </w:pPr>
      <w:bookmarkStart w:id="5" w:name="_Toc54007983"/>
      <w:r>
        <w:lastRenderedPageBreak/>
        <w:t>Name</w:t>
      </w:r>
      <w:bookmarkEnd w:id="5"/>
    </w:p>
    <w:p w14:paraId="3DE9A54B" w14:textId="5209FCD9"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192B97">
        <w:rPr>
          <w:i/>
        </w:rPr>
        <w:t>tinnitus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EE4FE8">
        <w:t>84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EE4FE8">
        <w:t>2020</w:t>
      </w:r>
      <w:r w:rsidR="00E55F66" w:rsidRPr="00F97A62">
        <w:t>)</w:t>
      </w:r>
      <w:r w:rsidRPr="00F97A62">
        <w:t>.</w:t>
      </w:r>
    </w:p>
    <w:p w14:paraId="4776FFEB" w14:textId="77777777" w:rsidR="00F67B67" w:rsidRPr="00684C0E" w:rsidRDefault="00F67B67" w:rsidP="00253D7C">
      <w:pPr>
        <w:pStyle w:val="LV1"/>
      </w:pPr>
      <w:bookmarkStart w:id="8" w:name="_Toc54007984"/>
      <w:r w:rsidRPr="00684C0E">
        <w:t>Commencement</w:t>
      </w:r>
      <w:bookmarkEnd w:id="8"/>
    </w:p>
    <w:p w14:paraId="3B44B3C3" w14:textId="4810DD41"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EE4FE8">
        <w:t>30 November 2020</w:t>
      </w:r>
      <w:r w:rsidR="00F67B67" w:rsidRPr="007527C1">
        <w:t>.</w:t>
      </w:r>
    </w:p>
    <w:p w14:paraId="55B10E10" w14:textId="77777777" w:rsidR="00F67B67" w:rsidRPr="00684C0E" w:rsidRDefault="00F67B67" w:rsidP="00253D7C">
      <w:pPr>
        <w:pStyle w:val="LV1"/>
      </w:pPr>
      <w:bookmarkStart w:id="9" w:name="_Toc54007985"/>
      <w:r w:rsidRPr="00684C0E">
        <w:t>Authority</w:t>
      </w:r>
      <w:bookmarkEnd w:id="9"/>
    </w:p>
    <w:p w14:paraId="04756DEF" w14:textId="77777777"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14:paraId="28070F71" w14:textId="77777777" w:rsidR="00DA3996" w:rsidRPr="00684C0E" w:rsidRDefault="00DA3996" w:rsidP="00253D7C">
      <w:pPr>
        <w:pStyle w:val="LV1"/>
      </w:pPr>
      <w:bookmarkStart w:id="10" w:name="_Toc54007986"/>
      <w:r>
        <w:t>Re</w:t>
      </w:r>
      <w:r w:rsidR="005962C4">
        <w:t>peal</w:t>
      </w:r>
      <w:bookmarkEnd w:id="10"/>
    </w:p>
    <w:p w14:paraId="31E81C92" w14:textId="349FEEB2"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EE4FE8" w:rsidRPr="00EE4FE8">
        <w:t>tinnitus</w:t>
      </w:r>
      <w:r w:rsidRPr="00DA3996">
        <w:t xml:space="preserve"> No. </w:t>
      </w:r>
      <w:r w:rsidR="00192B97">
        <w:t>33</w:t>
      </w:r>
      <w:r w:rsidRPr="00DA3996">
        <w:t xml:space="preserve"> of </w:t>
      </w:r>
      <w:r w:rsidR="00192B97">
        <w:t>2012</w:t>
      </w:r>
      <w:r w:rsidR="005962C4">
        <w:t xml:space="preserve"> </w:t>
      </w:r>
      <w:r w:rsidR="005962C4" w:rsidRPr="00786DAE">
        <w:t xml:space="preserve">(Federal Register of Legislation No. </w:t>
      </w:r>
      <w:r w:rsidR="00192B97" w:rsidRPr="00192B97">
        <w:t>F2012L00942</w:t>
      </w:r>
      <w:r w:rsidR="005962C4" w:rsidRPr="00786DAE">
        <w:t xml:space="preserve">) </w:t>
      </w:r>
      <w:r w:rsidR="00192B97">
        <w:t xml:space="preserve">made under subsections </w:t>
      </w:r>
      <w:proofErr w:type="gramStart"/>
      <w:r w:rsidR="00192B97">
        <w:t>196B(</w:t>
      </w:r>
      <w:proofErr w:type="gramEnd"/>
      <w:r w:rsidR="00192B97">
        <w:t xml:space="preserve">2) </w:t>
      </w:r>
      <w:r w:rsidR="005962C4" w:rsidRPr="00DA3996">
        <w:t>and (8)</w:t>
      </w:r>
      <w:r w:rsidR="00192B97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14:paraId="309CE18F" w14:textId="77777777" w:rsidR="007C7DEE" w:rsidRPr="00684C0E" w:rsidRDefault="007C7DEE" w:rsidP="00253D7C">
      <w:pPr>
        <w:pStyle w:val="LV1"/>
      </w:pPr>
      <w:bookmarkStart w:id="11" w:name="_Toc54007987"/>
      <w:r w:rsidRPr="00684C0E">
        <w:t>Application</w:t>
      </w:r>
      <w:bookmarkEnd w:id="11"/>
    </w:p>
    <w:p w14:paraId="0D860098" w14:textId="77777777"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14:paraId="68D1924B" w14:textId="77777777" w:rsidR="007C7DEE" w:rsidRPr="00684C0E" w:rsidRDefault="007C7DEE" w:rsidP="00253D7C">
      <w:pPr>
        <w:pStyle w:val="LV1"/>
      </w:pPr>
      <w:bookmarkStart w:id="12" w:name="_Ref410129949"/>
      <w:bookmarkStart w:id="13" w:name="_Toc54007988"/>
      <w:r w:rsidRPr="00684C0E">
        <w:t>Definitions</w:t>
      </w:r>
      <w:bookmarkEnd w:id="12"/>
      <w:bookmarkEnd w:id="13"/>
    </w:p>
    <w:p w14:paraId="4AE64799" w14:textId="77777777"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14:paraId="7F559830" w14:textId="77777777"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4007989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14:paraId="11BC60F4" w14:textId="7AFA2A7B"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EE4FE8" w:rsidRPr="00EE4FE8">
        <w:t>tinnitus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EE4FE8" w:rsidRPr="00EE4FE8">
        <w:t>tinnitus</w:t>
      </w:r>
      <w:r w:rsidRPr="00D5620B">
        <w:t>.</w:t>
      </w:r>
      <w:bookmarkEnd w:id="18"/>
    </w:p>
    <w:p w14:paraId="02E01955" w14:textId="0EF3509F"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EE4FE8" w:rsidRPr="00EE4FE8">
        <w:rPr>
          <w:b/>
        </w:rPr>
        <w:t>tinnitus</w:t>
      </w:r>
    </w:p>
    <w:p w14:paraId="6A387731" w14:textId="69E5DAE8"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EE4FE8" w:rsidRPr="00EE4FE8">
        <w:t>tinnitus</w:t>
      </w:r>
      <w:r w:rsidR="002716E4" w:rsidRPr="00237BAF">
        <w:t>:</w:t>
      </w:r>
      <w:bookmarkEnd w:id="19"/>
    </w:p>
    <w:bookmarkEnd w:id="20"/>
    <w:p w14:paraId="13417E2E" w14:textId="77777777" w:rsidR="00253D7C" w:rsidRDefault="00192B97" w:rsidP="00192B97">
      <w:pPr>
        <w:pStyle w:val="LV3"/>
      </w:pPr>
      <w:r w:rsidRPr="00192B97">
        <w:t>means intermittent or constant perception of sound</w:t>
      </w:r>
      <w:r>
        <w:t>:</w:t>
      </w:r>
    </w:p>
    <w:p w14:paraId="529259FD" w14:textId="77777777" w:rsidR="00192B97" w:rsidRDefault="00192B97" w:rsidP="00192B97">
      <w:pPr>
        <w:pStyle w:val="LV4"/>
      </w:pPr>
      <w:r w:rsidRPr="00192B97">
        <w:t>in one or both ears; or</w:t>
      </w:r>
    </w:p>
    <w:p w14:paraId="5393305A" w14:textId="77777777" w:rsidR="00192B97" w:rsidRDefault="00192B97" w:rsidP="00192B97">
      <w:pPr>
        <w:pStyle w:val="LV4"/>
      </w:pPr>
      <w:r w:rsidRPr="00192B97">
        <w:t>in or around the head</w:t>
      </w:r>
      <w:r>
        <w:t>;</w:t>
      </w:r>
    </w:p>
    <w:p w14:paraId="50B2C6AF" w14:textId="77777777" w:rsidR="00192B97" w:rsidRDefault="00192B97" w:rsidP="00192B97">
      <w:pPr>
        <w:pStyle w:val="LV3"/>
        <w:numPr>
          <w:ilvl w:val="0"/>
          <w:numId w:val="0"/>
        </w:numPr>
        <w:ind w:left="1985"/>
      </w:pPr>
      <w:proofErr w:type="gramStart"/>
      <w:r>
        <w:t>occurring</w:t>
      </w:r>
      <w:proofErr w:type="gramEnd"/>
      <w:r>
        <w:t xml:space="preserve"> </w:t>
      </w:r>
      <w:r w:rsidRPr="00192B97">
        <w:t>without an external source of sound; and</w:t>
      </w:r>
    </w:p>
    <w:p w14:paraId="757D072E" w14:textId="77777777" w:rsidR="00192B97" w:rsidRPr="008E76DC" w:rsidRDefault="00192B97" w:rsidP="00192B97">
      <w:pPr>
        <w:pStyle w:val="LV3"/>
      </w:pPr>
      <w:proofErr w:type="gramStart"/>
      <w:r w:rsidRPr="00192B97">
        <w:t>must</w:t>
      </w:r>
      <w:proofErr w:type="gramEnd"/>
      <w:r w:rsidRPr="00192B97">
        <w:t xml:space="preserve"> have persisted for at least three consecutive months.</w:t>
      </w:r>
    </w:p>
    <w:p w14:paraId="58896738" w14:textId="77777777" w:rsidR="00253D7C" w:rsidRPr="008E76DC" w:rsidRDefault="00253D7C" w:rsidP="00253D7C">
      <w:pPr>
        <w:pStyle w:val="Note2"/>
      </w:pPr>
      <w:r>
        <w:t xml:space="preserve">Note: </w:t>
      </w:r>
      <w:r w:rsidR="00192B97" w:rsidRPr="00192B97">
        <w:t>The sounds of tinnitus include buzzing, hissing, ringing, whistling and clicking.</w:t>
      </w:r>
    </w:p>
    <w:p w14:paraId="2A49C4C2" w14:textId="5C87FE59" w:rsidR="008F572A" w:rsidRPr="00237BAF" w:rsidRDefault="008F572A" w:rsidP="00253D7C">
      <w:pPr>
        <w:pStyle w:val="LV2"/>
      </w:pPr>
      <w:r w:rsidRPr="00237BAF">
        <w:t xml:space="preserve">While </w:t>
      </w:r>
      <w:r w:rsidR="00EE4FE8" w:rsidRPr="00EE4FE8">
        <w:t>tinnitus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192B97">
        <w:t>H93.1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EE4FE8" w:rsidRPr="00EE4FE8">
        <w:t>tinnitus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14:paraId="6B0E1227" w14:textId="77777777" w:rsidR="000F76FA" w:rsidRPr="0053697E" w:rsidRDefault="00CD6358" w:rsidP="00253D7C">
      <w:pPr>
        <w:pStyle w:val="LV2"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14:paraId="15DB4D8B" w14:textId="23F7157B"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EE4FE8" w:rsidRPr="00EE4FE8">
        <w:rPr>
          <w:b/>
        </w:rPr>
        <w:t>tinnitus</w:t>
      </w:r>
    </w:p>
    <w:p w14:paraId="193A8C37" w14:textId="432B0651"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EE4FE8" w:rsidRPr="00EE4FE8">
        <w:t>tinnitus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EE4FE8" w:rsidRPr="00EE4FE8">
        <w:t>tinnitus</w:t>
      </w:r>
      <w:r w:rsidRPr="00D5620B">
        <w:t>.</w:t>
      </w:r>
    </w:p>
    <w:p w14:paraId="7621CEBA" w14:textId="77777777"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192B97">
        <w:t>-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14:paraId="0A04B0FB" w14:textId="77777777" w:rsidR="007C7DEE" w:rsidRPr="00A20CA1" w:rsidRDefault="007C7DEE" w:rsidP="00253D7C">
      <w:pPr>
        <w:pStyle w:val="LV1"/>
      </w:pPr>
      <w:bookmarkStart w:id="21" w:name="_Toc54007990"/>
      <w:r w:rsidRPr="00A20CA1">
        <w:t>Basis for determining the factors</w:t>
      </w:r>
      <w:bookmarkEnd w:id="21"/>
    </w:p>
    <w:p w14:paraId="710646F3" w14:textId="47186EAB"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EE4FE8" w:rsidRPr="00EE4FE8">
        <w:t>tinnitus</w:t>
      </w:r>
      <w:r>
        <w:t xml:space="preserve"> </w:t>
      </w:r>
      <w:r w:rsidRPr="00D5620B">
        <w:t>and death from</w:t>
      </w:r>
      <w:r>
        <w:t xml:space="preserve"> </w:t>
      </w:r>
      <w:r w:rsidR="00EE4FE8" w:rsidRPr="00EE4FE8">
        <w:t>tinnitus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14:paraId="18DCDA35" w14:textId="77777777"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192B97">
        <w:t>-</w:t>
      </w:r>
      <w:r>
        <w:t xml:space="preserve"> </w:t>
      </w:r>
      <w:r w:rsidRPr="00046E67">
        <w:t>Dictionary</w:t>
      </w:r>
      <w:r>
        <w:t>.</w:t>
      </w:r>
    </w:p>
    <w:p w14:paraId="6BABD587" w14:textId="77777777"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4007991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14:paraId="3A2B97AD" w14:textId="26389CD1"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EE4FE8" w:rsidRPr="00EE4FE8">
        <w:t>tinnitus</w:t>
      </w:r>
      <w:r w:rsidR="007A3989">
        <w:t xml:space="preserve"> </w:t>
      </w:r>
      <w:r w:rsidR="007C7DEE" w:rsidRPr="00AA6D8B">
        <w:t xml:space="preserve">or death from </w:t>
      </w:r>
      <w:r w:rsidR="00EE4FE8" w:rsidRPr="00EE4FE8">
        <w:t>tinnitus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14:paraId="35669699" w14:textId="77777777" w:rsidR="00192B97" w:rsidRDefault="00192B97" w:rsidP="00192B97">
      <w:pPr>
        <w:pStyle w:val="LV2"/>
      </w:pPr>
      <w:bookmarkStart w:id="27" w:name="_Ref402530260"/>
      <w:bookmarkStart w:id="28" w:name="_Ref409598844"/>
      <w:r w:rsidRPr="00192B97">
        <w:t>being exposed to a peak sound pressure level at the tympanic membrane of at least 140 dB(C) before the clinical onset of tinnitus;</w:t>
      </w:r>
    </w:p>
    <w:p w14:paraId="3BAC41C0" w14:textId="77777777" w:rsidR="00192B97" w:rsidRDefault="00192B97" w:rsidP="00192B97">
      <w:pPr>
        <w:pStyle w:val="Note2"/>
      </w:pPr>
      <w:r>
        <w:t xml:space="preserve">Note: </w:t>
      </w:r>
      <w:r w:rsidRPr="00192B97">
        <w:rPr>
          <w:b/>
          <w:i/>
        </w:rPr>
        <w:t>dB(C)</w:t>
      </w:r>
      <w:r w:rsidRPr="00192B97">
        <w:t xml:space="preserve"> is defined in the Schedule 1 </w:t>
      </w:r>
      <w:r>
        <w:t>-</w:t>
      </w:r>
      <w:r w:rsidRPr="00192B97">
        <w:t xml:space="preserve"> Dictionary.</w:t>
      </w:r>
    </w:p>
    <w:p w14:paraId="5A63383E" w14:textId="49EEC6BE" w:rsidR="001275AC" w:rsidRDefault="001275AC" w:rsidP="001275AC">
      <w:pPr>
        <w:pStyle w:val="LV2"/>
      </w:pPr>
      <w:r w:rsidRPr="001275AC">
        <w:t>being exposed to a sound pressure level at the tympanic membrane of at least 85 dB(A) as an 8-hour time-weighted average (TWA) with a 3</w:t>
      </w:r>
      <w:r w:rsidR="00B004CA">
        <w:noBreakHyphen/>
      </w:r>
      <w:r w:rsidRPr="001275AC">
        <w:t>dB exchange rate for a cumulative period of at least six months before the clinical onset of tinnitus;</w:t>
      </w:r>
    </w:p>
    <w:p w14:paraId="2B718608" w14:textId="684B5697" w:rsidR="001275AC" w:rsidRPr="001275AC" w:rsidRDefault="001275AC" w:rsidP="001275AC">
      <w:pPr>
        <w:pStyle w:val="Note2"/>
        <w:ind w:left="1843" w:hanging="425"/>
      </w:pPr>
      <w:r>
        <w:t xml:space="preserve">Note: </w:t>
      </w:r>
      <w:proofErr w:type="gramStart"/>
      <w:r w:rsidRPr="001275AC">
        <w:rPr>
          <w:b/>
          <w:i/>
        </w:rPr>
        <w:t>dB(</w:t>
      </w:r>
      <w:proofErr w:type="gramEnd"/>
      <w:r w:rsidRPr="001275AC">
        <w:rPr>
          <w:b/>
          <w:i/>
        </w:rPr>
        <w:t>A)</w:t>
      </w:r>
      <w:r w:rsidRPr="001275AC">
        <w:t xml:space="preserve"> and </w:t>
      </w:r>
      <w:r w:rsidRPr="001275AC">
        <w:rPr>
          <w:b/>
          <w:i/>
        </w:rPr>
        <w:t>time-weighted average (TWA) with</w:t>
      </w:r>
      <w:r w:rsidR="00EC7096">
        <w:rPr>
          <w:b/>
          <w:i/>
        </w:rPr>
        <w:t xml:space="preserve"> a</w:t>
      </w:r>
      <w:r w:rsidRPr="001275AC">
        <w:rPr>
          <w:b/>
          <w:i/>
        </w:rPr>
        <w:t xml:space="preserve"> </w:t>
      </w:r>
      <w:r w:rsidR="00B004CA" w:rsidRPr="001275AC">
        <w:rPr>
          <w:b/>
          <w:i/>
        </w:rPr>
        <w:t>3</w:t>
      </w:r>
      <w:r w:rsidR="00B004CA">
        <w:rPr>
          <w:b/>
          <w:i/>
        </w:rPr>
        <w:t>-</w:t>
      </w:r>
      <w:r w:rsidRPr="001275AC">
        <w:rPr>
          <w:b/>
          <w:i/>
        </w:rPr>
        <w:t>dB exchange rate</w:t>
      </w:r>
      <w:r w:rsidRPr="001275AC">
        <w:t xml:space="preserve"> are defined in the Schedule 1 </w:t>
      </w:r>
      <w:r>
        <w:t>-</w:t>
      </w:r>
      <w:r w:rsidRPr="001275AC">
        <w:t xml:space="preserve"> Dictionary.</w:t>
      </w:r>
    </w:p>
    <w:p w14:paraId="3D2F9CC6" w14:textId="77777777" w:rsidR="001275AC" w:rsidRDefault="001275AC" w:rsidP="001275AC">
      <w:pPr>
        <w:pStyle w:val="LV2"/>
      </w:pPr>
      <w:r w:rsidRPr="001275AC">
        <w:t>having blunt trauma, penetrating trauma or surgery to an auditory structure or central auditory neural pathway, within the five years before the clinical onset of tinnitus;</w:t>
      </w:r>
    </w:p>
    <w:p w14:paraId="669E36C9" w14:textId="77777777" w:rsidR="001275AC" w:rsidRDefault="001275AC" w:rsidP="001275AC">
      <w:pPr>
        <w:pStyle w:val="Note2"/>
      </w:pPr>
      <w:r w:rsidRPr="001275AC">
        <w:t>Note 1: Examples of trauma include temporal bone fracture and basilar skull fracture.</w:t>
      </w:r>
    </w:p>
    <w:p w14:paraId="5EA8BB92" w14:textId="77777777" w:rsidR="001275AC" w:rsidRPr="001275AC" w:rsidRDefault="001275AC" w:rsidP="001275AC">
      <w:pPr>
        <w:pStyle w:val="Note2"/>
      </w:pPr>
      <w:r w:rsidRPr="001275AC">
        <w:t xml:space="preserve">Note 2: </w:t>
      </w:r>
      <w:r w:rsidRPr="001275AC">
        <w:rPr>
          <w:b/>
          <w:i/>
        </w:rPr>
        <w:t>auditory structure</w:t>
      </w:r>
      <w:r w:rsidRPr="001275AC">
        <w:t xml:space="preserve"> is defined in the Schedule 1 </w:t>
      </w:r>
      <w:r>
        <w:t>-</w:t>
      </w:r>
      <w:r w:rsidRPr="001275AC">
        <w:t xml:space="preserve"> Dictionary.</w:t>
      </w:r>
    </w:p>
    <w:p w14:paraId="0A30C83A" w14:textId="77777777" w:rsidR="00B65CB9" w:rsidRPr="00B65CB9" w:rsidRDefault="00B65CB9" w:rsidP="00B65CB9">
      <w:pPr>
        <w:pStyle w:val="LV2"/>
      </w:pPr>
      <w:r w:rsidRPr="00B65CB9">
        <w:t>having sensorineural hearing loss or conductive hearing loss at the time of the clinical onset of tinnitus;</w:t>
      </w:r>
    </w:p>
    <w:p w14:paraId="0C7E1A09" w14:textId="77777777" w:rsidR="00B65CB9" w:rsidRDefault="00B65CB9" w:rsidP="00B65CB9">
      <w:pPr>
        <w:pStyle w:val="LV2"/>
      </w:pPr>
      <w:r w:rsidRPr="00B65CB9">
        <w:lastRenderedPageBreak/>
        <w:t>taking a drug from the specified list of drugs within the 30 days before the clinical onset of tinnitus;</w:t>
      </w:r>
    </w:p>
    <w:p w14:paraId="5CB99140" w14:textId="63717F4C" w:rsidR="00411834" w:rsidRPr="00B65CB9" w:rsidRDefault="00411834" w:rsidP="00411834">
      <w:pPr>
        <w:pStyle w:val="Note2"/>
      </w:pPr>
      <w:r>
        <w:t xml:space="preserve">Note: </w:t>
      </w:r>
      <w:r w:rsidRPr="00411834">
        <w:rPr>
          <w:b/>
          <w:i/>
        </w:rPr>
        <w:t>specified list of drugs</w:t>
      </w:r>
      <w:r w:rsidRPr="00411834">
        <w:t xml:space="preserve"> </w:t>
      </w:r>
      <w:r w:rsidR="00EE4FE8">
        <w:t>is</w:t>
      </w:r>
      <w:r w:rsidRPr="00411834">
        <w:t xml:space="preserve"> defined in the Schedule 1 </w:t>
      </w:r>
      <w:r>
        <w:t>-</w:t>
      </w:r>
      <w:r w:rsidRPr="00411834">
        <w:t xml:space="preserve"> Dictionary.</w:t>
      </w:r>
    </w:p>
    <w:p w14:paraId="5606371D" w14:textId="77777777" w:rsidR="00C23CAA" w:rsidRDefault="00C23CAA" w:rsidP="00C23CAA">
      <w:pPr>
        <w:pStyle w:val="LV2"/>
      </w:pPr>
      <w:r w:rsidRPr="00C23CAA">
        <w:t>taking a drug which is associated in the individual with:</w:t>
      </w:r>
    </w:p>
    <w:p w14:paraId="477D3ED5" w14:textId="77777777" w:rsidR="00C23CAA" w:rsidRDefault="00C23CAA" w:rsidP="00C23CAA">
      <w:pPr>
        <w:pStyle w:val="LV3"/>
      </w:pPr>
      <w:r w:rsidRPr="00C23CAA">
        <w:tab/>
      </w:r>
      <w:r w:rsidRPr="00C23CAA">
        <w:tab/>
        <w:t>the development of tinnitus within 30 days of commencing drug therapy; and</w:t>
      </w:r>
    </w:p>
    <w:p w14:paraId="2AE04F6A" w14:textId="77777777" w:rsidR="00C23CAA" w:rsidRDefault="00C23CAA" w:rsidP="00C23CAA">
      <w:pPr>
        <w:pStyle w:val="LV3"/>
      </w:pPr>
      <w:r w:rsidRPr="00C23CAA">
        <w:tab/>
        <w:t>a decrease in tinnitus within days or weeks of discontinuing or tapering drug therapy; and</w:t>
      </w:r>
    </w:p>
    <w:p w14:paraId="7A536DC5" w14:textId="77777777" w:rsidR="00C23CAA" w:rsidRPr="00C23CAA" w:rsidRDefault="00C23CAA" w:rsidP="00C23CAA">
      <w:pPr>
        <w:pStyle w:val="LV2"/>
        <w:numPr>
          <w:ilvl w:val="0"/>
          <w:numId w:val="0"/>
        </w:numPr>
        <w:ind w:left="1418"/>
      </w:pPr>
      <w:proofErr w:type="gramStart"/>
      <w:r w:rsidRPr="00C23CAA">
        <w:t>where</w:t>
      </w:r>
      <w:proofErr w:type="gramEnd"/>
      <w:r w:rsidRPr="00C23CAA">
        <w:t xml:space="preserve"> treatment with the drug continued for at least the three days before the clinical onset of tinnitus;</w:t>
      </w:r>
    </w:p>
    <w:p w14:paraId="3F2BFF20" w14:textId="77777777" w:rsidR="00F8428B" w:rsidRDefault="00F8428B" w:rsidP="00F8428B">
      <w:pPr>
        <w:pStyle w:val="LV2"/>
      </w:pPr>
      <w:r>
        <w:t>having smoked</w:t>
      </w:r>
      <w:r w:rsidRPr="00F8428B">
        <w:t xml:space="preserve"> at least ten pack-years of tobacco products before the clinical onset of tinnitus, and where smoking has ceased, the clinical onset of tinnitus has occurred within five years of cessation;</w:t>
      </w:r>
    </w:p>
    <w:p w14:paraId="15E73C07" w14:textId="77777777" w:rsidR="00F8428B" w:rsidRDefault="00F8428B" w:rsidP="00F8428B">
      <w:pPr>
        <w:pStyle w:val="Note2"/>
      </w:pPr>
      <w:r>
        <w:t xml:space="preserve">Note: </w:t>
      </w:r>
      <w:r w:rsidRPr="00F8428B">
        <w:rPr>
          <w:b/>
          <w:i/>
        </w:rPr>
        <w:t>pack-year of tobacco products</w:t>
      </w:r>
      <w:r w:rsidRPr="00F8428B">
        <w:t xml:space="preserve"> is defined in the Schedule 1 </w:t>
      </w:r>
      <w:r>
        <w:t>-</w:t>
      </w:r>
      <w:r w:rsidRPr="00F8428B">
        <w:t xml:space="preserve"> Dictionary.</w:t>
      </w:r>
    </w:p>
    <w:p w14:paraId="62F6A45E" w14:textId="77777777" w:rsidR="00344190" w:rsidRDefault="00344190" w:rsidP="00344190">
      <w:pPr>
        <w:pStyle w:val="LV2"/>
      </w:pPr>
      <w:r w:rsidRPr="00344190">
        <w:t>being exposed to second-hand smoke:</w:t>
      </w:r>
    </w:p>
    <w:p w14:paraId="2B0CA375" w14:textId="77777777" w:rsidR="00344190" w:rsidRDefault="00344190" w:rsidP="00344190">
      <w:pPr>
        <w:pStyle w:val="LV3"/>
      </w:pPr>
      <w:r>
        <w:t>for at least 2,500 hours before the clinical onset of tinnitus; and</w:t>
      </w:r>
    </w:p>
    <w:p w14:paraId="1EE79C44" w14:textId="77777777" w:rsidR="00344190" w:rsidRDefault="00344190" w:rsidP="00344190">
      <w:pPr>
        <w:pStyle w:val="LV3"/>
      </w:pPr>
      <w:r>
        <w:t>where the first exposure to second-hand smoke commenced at least five years before the clinical onset of tinnitus; and</w:t>
      </w:r>
    </w:p>
    <w:p w14:paraId="3662B199" w14:textId="77777777" w:rsidR="00344190" w:rsidRDefault="00344190" w:rsidP="00344190">
      <w:pPr>
        <w:pStyle w:val="LV3"/>
      </w:pPr>
      <w:r>
        <w:t>where the last exposure to second-hand smoke occurred within the two years before the clinical onset of tinnitus;</w:t>
      </w:r>
    </w:p>
    <w:p w14:paraId="03440CB5" w14:textId="77777777" w:rsidR="00344190" w:rsidRPr="00344190" w:rsidRDefault="00344190" w:rsidP="00344190">
      <w:pPr>
        <w:pStyle w:val="Note2"/>
        <w:rPr>
          <w:b/>
        </w:rPr>
      </w:pPr>
      <w:r>
        <w:t xml:space="preserve">Note: </w:t>
      </w:r>
      <w:r>
        <w:rPr>
          <w:b/>
          <w:i/>
        </w:rPr>
        <w:t>being exposed to second-hand smoke</w:t>
      </w:r>
      <w:r>
        <w:rPr>
          <w:b/>
        </w:rPr>
        <w:t xml:space="preserve"> </w:t>
      </w:r>
      <w:r w:rsidRPr="00F8428B">
        <w:t xml:space="preserve">is defined in the Schedule 1 </w:t>
      </w:r>
      <w:r>
        <w:t>-</w:t>
      </w:r>
      <w:r w:rsidRPr="00F8428B">
        <w:t xml:space="preserve"> Dictionary.</w:t>
      </w:r>
    </w:p>
    <w:p w14:paraId="64A8323A" w14:textId="77777777" w:rsidR="00EE453C" w:rsidRDefault="00EE453C" w:rsidP="00EE453C">
      <w:pPr>
        <w:pStyle w:val="LV2"/>
      </w:pPr>
      <w:r w:rsidRPr="00EE453C">
        <w:t>having inner ear exposure to a chemical agent from the specified list of chemical agents within the 30 days before the clinical onset of tinnitus;</w:t>
      </w:r>
    </w:p>
    <w:p w14:paraId="239BB6F0" w14:textId="77777777" w:rsidR="00EE453C" w:rsidRDefault="00EE453C" w:rsidP="00EE453C">
      <w:pPr>
        <w:pStyle w:val="Note2"/>
        <w:ind w:left="1985" w:hanging="567"/>
      </w:pPr>
      <w:r>
        <w:t xml:space="preserve">Note 1: </w:t>
      </w:r>
      <w:r w:rsidRPr="00EE453C">
        <w:t>Inner ear exposure to a chemical agent will only occur in the presence of a defect in the tympanic membrane.</w:t>
      </w:r>
    </w:p>
    <w:p w14:paraId="27C5D3D4" w14:textId="77777777" w:rsidR="006F429D" w:rsidRPr="00EE453C" w:rsidRDefault="006F429D" w:rsidP="00EE453C">
      <w:pPr>
        <w:pStyle w:val="Note2"/>
        <w:ind w:left="1985" w:hanging="567"/>
      </w:pPr>
      <w:r>
        <w:t xml:space="preserve">Note 2: </w:t>
      </w:r>
      <w:r w:rsidRPr="006F429D">
        <w:rPr>
          <w:b/>
          <w:i/>
        </w:rPr>
        <w:t>specified list of chemical agents</w:t>
      </w:r>
      <w:r w:rsidRPr="006F429D">
        <w:t xml:space="preserve"> is defined in the Schedule 1 - Dictionary.</w:t>
      </w:r>
    </w:p>
    <w:p w14:paraId="6B5C4028" w14:textId="77777777" w:rsidR="000967CF" w:rsidRDefault="000967CF" w:rsidP="000967CF">
      <w:pPr>
        <w:pStyle w:val="LV2"/>
      </w:pPr>
      <w:r w:rsidRPr="000967CF">
        <w:t>having a vascular, muscular or other anatomical source of sound that can be transmitted to the affected ear at the time of the clinical onset of tinnitus;</w:t>
      </w:r>
    </w:p>
    <w:p w14:paraId="4D163E0F" w14:textId="77777777" w:rsidR="000967CF" w:rsidRPr="000967CF" w:rsidRDefault="000967CF" w:rsidP="000967CF">
      <w:pPr>
        <w:pStyle w:val="Note2"/>
        <w:ind w:left="1843" w:hanging="425"/>
      </w:pPr>
      <w:r>
        <w:t xml:space="preserve">Note: </w:t>
      </w:r>
      <w:r w:rsidRPr="000967CF">
        <w:rPr>
          <w:b/>
          <w:i/>
        </w:rPr>
        <w:t>vascular, muscular or other anatomical source of sound</w:t>
      </w:r>
      <w:r w:rsidRPr="000967CF">
        <w:t xml:space="preserve"> is defined in the Schedule</w:t>
      </w:r>
      <w:r>
        <w:t> </w:t>
      </w:r>
      <w:r w:rsidRPr="000967CF">
        <w:t>1</w:t>
      </w:r>
      <w:r>
        <w:t> </w:t>
      </w:r>
      <w:r w:rsidRPr="000967CF">
        <w:t>-</w:t>
      </w:r>
      <w:r>
        <w:t> </w:t>
      </w:r>
      <w:r w:rsidRPr="000967CF">
        <w:t>Dictionary.</w:t>
      </w:r>
    </w:p>
    <w:p w14:paraId="6957A548" w14:textId="77777777" w:rsidR="00501652" w:rsidRDefault="00501652" w:rsidP="00501652">
      <w:pPr>
        <w:pStyle w:val="LV2"/>
      </w:pPr>
      <w:r w:rsidRPr="00501652">
        <w:t>having a reduced supply of blood to an auditory structure of the affected ear at the time of the clinical onset of tinnitus;</w:t>
      </w:r>
    </w:p>
    <w:p w14:paraId="626CA135" w14:textId="3093556D" w:rsidR="00501652" w:rsidRDefault="00501652" w:rsidP="003838A7">
      <w:pPr>
        <w:pStyle w:val="Note2"/>
        <w:ind w:left="1985" w:hanging="567"/>
      </w:pPr>
      <w:r>
        <w:t>Note</w:t>
      </w:r>
      <w:r w:rsidR="003838A7">
        <w:t xml:space="preserve"> 1</w:t>
      </w:r>
      <w:r>
        <w:t xml:space="preserve">: </w:t>
      </w:r>
      <w:r w:rsidRPr="00501652">
        <w:t xml:space="preserve">Examples of causes of a reduced supply of blood to an auditory structure include coagulation disorders, embolism, thrombosis, haemorrhage or vasospasm of the </w:t>
      </w:r>
      <w:proofErr w:type="spellStart"/>
      <w:r w:rsidRPr="00501652">
        <w:t>vertebro</w:t>
      </w:r>
      <w:proofErr w:type="spellEnd"/>
      <w:r w:rsidRPr="00501652">
        <w:t xml:space="preserve">-basilar circulation, </w:t>
      </w:r>
      <w:proofErr w:type="spellStart"/>
      <w:r w:rsidRPr="00501652">
        <w:t>hyperviscosity</w:t>
      </w:r>
      <w:proofErr w:type="spellEnd"/>
      <w:r w:rsidRPr="00501652">
        <w:t xml:space="preserve">, vasculitis, and </w:t>
      </w:r>
      <w:proofErr w:type="spellStart"/>
      <w:r w:rsidRPr="00501652">
        <w:t>intralabyrinthine</w:t>
      </w:r>
      <w:proofErr w:type="spellEnd"/>
      <w:r w:rsidRPr="00501652">
        <w:t xml:space="preserve"> haemorrhage or infarction.</w:t>
      </w:r>
    </w:p>
    <w:p w14:paraId="1F40F16B" w14:textId="49A3260E" w:rsidR="003838A7" w:rsidRPr="00501652" w:rsidRDefault="003838A7" w:rsidP="00501652">
      <w:pPr>
        <w:pStyle w:val="Note2"/>
        <w:ind w:left="1843" w:hanging="425"/>
      </w:pPr>
      <w:r>
        <w:t xml:space="preserve">Note 2: </w:t>
      </w:r>
      <w:r w:rsidRPr="003838A7">
        <w:rPr>
          <w:b/>
          <w:i/>
        </w:rPr>
        <w:t>auditory structure</w:t>
      </w:r>
      <w:r w:rsidRPr="003838A7">
        <w:t xml:space="preserve"> is defined in the Schedule 1 </w:t>
      </w:r>
      <w:r>
        <w:t>-</w:t>
      </w:r>
      <w:r w:rsidRPr="003838A7">
        <w:t xml:space="preserve"> Dictionary.</w:t>
      </w:r>
    </w:p>
    <w:p w14:paraId="7C71573A" w14:textId="77777777" w:rsidR="00DF2899" w:rsidRDefault="00DF2899" w:rsidP="00DF2899">
      <w:pPr>
        <w:pStyle w:val="LV2"/>
      </w:pPr>
      <w:r w:rsidRPr="00DF2899">
        <w:lastRenderedPageBreak/>
        <w:t xml:space="preserve">having a </w:t>
      </w:r>
      <w:r w:rsidR="000972D7">
        <w:t xml:space="preserve">bone </w:t>
      </w:r>
      <w:r w:rsidRPr="00DF2899">
        <w:t xml:space="preserve">disease from the specified list of bone diseases, affecting the petrous temporal bone or middle ear </w:t>
      </w:r>
      <w:proofErr w:type="spellStart"/>
      <w:r w:rsidRPr="00DF2899">
        <w:t>ossicles</w:t>
      </w:r>
      <w:proofErr w:type="spellEnd"/>
      <w:r w:rsidRPr="00DF2899">
        <w:t xml:space="preserve"> of the affected side, at the time of the clinical onset of tinnitus;</w:t>
      </w:r>
    </w:p>
    <w:p w14:paraId="232C3845" w14:textId="77777777" w:rsidR="00DF2899" w:rsidRPr="00DF2899" w:rsidRDefault="00DF2899" w:rsidP="00DF2899">
      <w:pPr>
        <w:pStyle w:val="Note2"/>
      </w:pPr>
      <w:r>
        <w:t xml:space="preserve">Note: </w:t>
      </w:r>
      <w:r w:rsidRPr="00DF2899">
        <w:rPr>
          <w:b/>
          <w:i/>
        </w:rPr>
        <w:t>specified list of bone diseases</w:t>
      </w:r>
      <w:r w:rsidRPr="00DF2899">
        <w:t xml:space="preserve"> is defined in the Schedule 1 </w:t>
      </w:r>
      <w:r>
        <w:t>-</w:t>
      </w:r>
      <w:r w:rsidRPr="00DF2899">
        <w:t xml:space="preserve"> Dictionary.</w:t>
      </w:r>
    </w:p>
    <w:p w14:paraId="72776DA1" w14:textId="77777777" w:rsidR="00944B77" w:rsidRPr="00944B77" w:rsidRDefault="00944B77" w:rsidP="00944B77">
      <w:pPr>
        <w:pStyle w:val="LV2"/>
      </w:pPr>
      <w:r w:rsidRPr="00944B77">
        <w:t>having osteoporosis at the time of the clinical onset of tinnitus;</w:t>
      </w:r>
    </w:p>
    <w:p w14:paraId="6AB5AD07" w14:textId="77777777" w:rsidR="006E50EF" w:rsidRDefault="006E50EF" w:rsidP="006E50EF">
      <w:pPr>
        <w:pStyle w:val="LV2"/>
      </w:pPr>
      <w:r w:rsidRPr="006E50EF">
        <w:t>having an autoimmune disease at the time of the clinical onset of tinnitus;</w:t>
      </w:r>
    </w:p>
    <w:p w14:paraId="56BBC2FA" w14:textId="77777777" w:rsidR="00B63371" w:rsidRPr="006E50EF" w:rsidRDefault="00BC7E3E" w:rsidP="00BC7E3E">
      <w:pPr>
        <w:pStyle w:val="LV2"/>
      </w:pPr>
      <w:r w:rsidRPr="00BC7E3E">
        <w:t>having multiple sclerosis at the time of the clinical onset of tinnitus;</w:t>
      </w:r>
    </w:p>
    <w:p w14:paraId="7C33DE10" w14:textId="056D702A" w:rsidR="00BC7E3E" w:rsidRDefault="00BC7E3E" w:rsidP="00BC7E3E">
      <w:pPr>
        <w:pStyle w:val="LV2"/>
      </w:pPr>
      <w:r w:rsidRPr="00BC7E3E">
        <w:t xml:space="preserve">having a benign or malignant neoplasm involving the petrous temporal bone, </w:t>
      </w:r>
      <w:r w:rsidR="00BA5890">
        <w:t>an auditory structure</w:t>
      </w:r>
      <w:r w:rsidRPr="00BC7E3E">
        <w:t xml:space="preserve"> or </w:t>
      </w:r>
      <w:r w:rsidR="009D74F6">
        <w:t>central auditory neural pathway</w:t>
      </w:r>
      <w:r w:rsidRPr="00BC7E3E">
        <w:t xml:space="preserve"> of the affected ear at the time of the clinical onset of tinnitus;</w:t>
      </w:r>
    </w:p>
    <w:p w14:paraId="609B5A71" w14:textId="4CE984CA" w:rsidR="003838A7" w:rsidRPr="003838A7" w:rsidRDefault="003838A7" w:rsidP="003838A7">
      <w:pPr>
        <w:pStyle w:val="Note2"/>
      </w:pPr>
      <w:r>
        <w:t xml:space="preserve">Note: </w:t>
      </w:r>
      <w:r>
        <w:rPr>
          <w:b/>
          <w:i/>
        </w:rPr>
        <w:t>auditory structure</w:t>
      </w:r>
      <w:r>
        <w:t xml:space="preserve"> </w:t>
      </w:r>
      <w:r w:rsidRPr="003838A7">
        <w:t>is defined in the Schedule 1 - Dictionary.</w:t>
      </w:r>
    </w:p>
    <w:p w14:paraId="6CDB0592" w14:textId="77777777" w:rsidR="00BC7E3E" w:rsidRDefault="00BC7E3E" w:rsidP="00BC7E3E">
      <w:pPr>
        <w:pStyle w:val="LV2"/>
      </w:pPr>
      <w:r w:rsidRPr="00BC7E3E">
        <w:t xml:space="preserve">having a </w:t>
      </w:r>
      <w:r w:rsidR="000972D7">
        <w:t xml:space="preserve">haematological </w:t>
      </w:r>
      <w:r w:rsidRPr="00BC7E3E">
        <w:t>disease from the specified list of haematological diseases at the time of the clinical onset of tinnitus;</w:t>
      </w:r>
    </w:p>
    <w:p w14:paraId="29719253" w14:textId="77777777" w:rsidR="00BC7E3E" w:rsidRPr="00BC7E3E" w:rsidRDefault="00BC7E3E" w:rsidP="00BC7E3E">
      <w:pPr>
        <w:pStyle w:val="Note2"/>
      </w:pPr>
      <w:r>
        <w:t xml:space="preserve">Note: </w:t>
      </w:r>
      <w:r w:rsidRPr="00BC7E3E">
        <w:rPr>
          <w:b/>
          <w:i/>
        </w:rPr>
        <w:t>specified list of haematological diseases</w:t>
      </w:r>
      <w:r w:rsidRPr="00BC7E3E">
        <w:t xml:space="preserve"> is defined in the Schedule 1 </w:t>
      </w:r>
      <w:r>
        <w:t>-</w:t>
      </w:r>
      <w:r w:rsidRPr="00BC7E3E">
        <w:t xml:space="preserve"> Dictionary.</w:t>
      </w:r>
    </w:p>
    <w:p w14:paraId="05073D5E" w14:textId="77777777" w:rsidR="00F53DD9" w:rsidRDefault="00F53DD9" w:rsidP="00F53DD9">
      <w:pPr>
        <w:pStyle w:val="LV2"/>
      </w:pPr>
      <w:r w:rsidRPr="00F53DD9">
        <w:t>having a cerebrovascular accident within the 30 days before the clinical onset of tinnitus;</w:t>
      </w:r>
    </w:p>
    <w:p w14:paraId="01C9F001" w14:textId="77777777" w:rsidR="00FA58D5" w:rsidRPr="00F53DD9" w:rsidRDefault="00FA58D5" w:rsidP="00FA58D5">
      <w:pPr>
        <w:pStyle w:val="LV2"/>
      </w:pPr>
      <w:r w:rsidRPr="00FA58D5">
        <w:t>having concussion or moderate to severe traumatic brain injury within the three months before the clinical onset of tinnitus;</w:t>
      </w:r>
    </w:p>
    <w:p w14:paraId="3B091A53" w14:textId="77777777" w:rsidR="00066DBE" w:rsidRDefault="00066DBE" w:rsidP="00066DBE">
      <w:pPr>
        <w:pStyle w:val="LV2"/>
      </w:pPr>
      <w:r w:rsidRPr="00066DBE">
        <w:t>being exposed to an explosive blast within the 30 days before the clinical onset of tinnitus;</w:t>
      </w:r>
    </w:p>
    <w:p w14:paraId="6743B253" w14:textId="77777777" w:rsidR="006E4127" w:rsidRDefault="006E4127" w:rsidP="006E4127">
      <w:pPr>
        <w:pStyle w:val="LV2"/>
      </w:pPr>
      <w:r w:rsidRPr="006E4127">
        <w:t xml:space="preserve">being struck by lightning within the 30 </w:t>
      </w:r>
      <w:r>
        <w:t xml:space="preserve">days before the clinical onset </w:t>
      </w:r>
      <w:r w:rsidRPr="006E4127">
        <w:t>of tinnitus;</w:t>
      </w:r>
    </w:p>
    <w:p w14:paraId="2B1D18A2" w14:textId="77777777" w:rsidR="00F8428B" w:rsidRDefault="00F8428B" w:rsidP="00F8428B">
      <w:pPr>
        <w:pStyle w:val="LV2"/>
      </w:pPr>
      <w:r w:rsidRPr="00F8428B">
        <w:t>having temporomandibular disorder at the time of the clinical onse</w:t>
      </w:r>
      <w:r>
        <w:t xml:space="preserve">t </w:t>
      </w:r>
      <w:r w:rsidRPr="00F8428B">
        <w:t>of tinnitus;</w:t>
      </w:r>
    </w:p>
    <w:p w14:paraId="1646C9B5" w14:textId="77777777" w:rsidR="00F8428B" w:rsidRDefault="00F8428B" w:rsidP="00F8428B">
      <w:pPr>
        <w:pStyle w:val="LV2"/>
      </w:pPr>
      <w:r w:rsidRPr="00F8428B">
        <w:t>having trigeminal neuralgia at the time of the clinical onset of tinnitus;</w:t>
      </w:r>
    </w:p>
    <w:p w14:paraId="34B4E9D7" w14:textId="77777777" w:rsidR="00C96675" w:rsidRDefault="00C96675" w:rsidP="00C96675">
      <w:pPr>
        <w:pStyle w:val="LV2"/>
      </w:pPr>
      <w:r w:rsidRPr="00C96675">
        <w:t>having migraine or tension-type head</w:t>
      </w:r>
      <w:r>
        <w:t xml:space="preserve">ache before the clinical onset </w:t>
      </w:r>
      <w:r w:rsidRPr="00C96675">
        <w:t>of tinnitus;</w:t>
      </w:r>
    </w:p>
    <w:p w14:paraId="1B7BA2B7" w14:textId="77777777" w:rsidR="00FD0458" w:rsidRPr="00FD0458" w:rsidRDefault="00FD0458" w:rsidP="00FD0458">
      <w:pPr>
        <w:pStyle w:val="LV2"/>
      </w:pPr>
      <w:r w:rsidRPr="00FD0458">
        <w:t>having Meniere's disease or delayed endolymphatic hydrops at the time of the clinical onset of tinnitus;</w:t>
      </w:r>
    </w:p>
    <w:p w14:paraId="711E1680" w14:textId="77777777" w:rsidR="00B47FBF" w:rsidRDefault="00B47FBF" w:rsidP="00B47FBF">
      <w:pPr>
        <w:pStyle w:val="LV2"/>
      </w:pPr>
      <w:r w:rsidRPr="00B47FBF">
        <w:t>having:</w:t>
      </w:r>
    </w:p>
    <w:p w14:paraId="2A522C67" w14:textId="77777777" w:rsidR="00B47FBF" w:rsidRDefault="00B47FBF" w:rsidP="00B47FBF">
      <w:pPr>
        <w:pStyle w:val="LV3"/>
      </w:pPr>
      <w:r>
        <w:t xml:space="preserve">an episode of </w:t>
      </w:r>
      <w:proofErr w:type="spellStart"/>
      <w:r>
        <w:t>otitic</w:t>
      </w:r>
      <w:proofErr w:type="spellEnd"/>
      <w:r>
        <w:t xml:space="preserve"> barotrauma involving the affected ear; or </w:t>
      </w:r>
    </w:p>
    <w:p w14:paraId="2D7E47A8" w14:textId="77777777" w:rsidR="00B47FBF" w:rsidRDefault="00B47FBF" w:rsidP="00B47FBF">
      <w:pPr>
        <w:pStyle w:val="LV3"/>
      </w:pPr>
      <w:r>
        <w:t>cerebral arterial gas embolism; or</w:t>
      </w:r>
    </w:p>
    <w:p w14:paraId="608FC282" w14:textId="77777777" w:rsidR="00B47FBF" w:rsidRDefault="00B47FBF" w:rsidP="00B47FBF">
      <w:pPr>
        <w:pStyle w:val="LV3"/>
      </w:pPr>
      <w:r>
        <w:t>decompression sickness;</w:t>
      </w:r>
    </w:p>
    <w:p w14:paraId="0625E433" w14:textId="77777777" w:rsidR="00B47FBF" w:rsidRDefault="00B47FBF" w:rsidP="00B47FBF">
      <w:pPr>
        <w:pStyle w:val="LV2"/>
        <w:numPr>
          <w:ilvl w:val="0"/>
          <w:numId w:val="0"/>
        </w:numPr>
        <w:ind w:left="1418"/>
      </w:pPr>
      <w:proofErr w:type="gramStart"/>
      <w:r>
        <w:t>within</w:t>
      </w:r>
      <w:proofErr w:type="gramEnd"/>
      <w:r>
        <w:t xml:space="preserve"> </w:t>
      </w:r>
      <w:r w:rsidRPr="00B47FBF">
        <w:t>the 30 days before the clinical onset of tinnitus;</w:t>
      </w:r>
    </w:p>
    <w:p w14:paraId="76B02C60" w14:textId="77777777" w:rsidR="00B47FBF" w:rsidRPr="00B47FBF" w:rsidRDefault="00B47FBF" w:rsidP="00B47FBF">
      <w:pPr>
        <w:pStyle w:val="Note2"/>
      </w:pPr>
      <w:r>
        <w:t xml:space="preserve">Note: </w:t>
      </w:r>
      <w:proofErr w:type="spellStart"/>
      <w:r w:rsidRPr="00B47FBF">
        <w:t>Otitic</w:t>
      </w:r>
      <w:proofErr w:type="spellEnd"/>
      <w:r w:rsidRPr="00B47FBF">
        <w:t xml:space="preserve"> barotrauma is also known as </w:t>
      </w:r>
      <w:proofErr w:type="spellStart"/>
      <w:r w:rsidRPr="00B47FBF">
        <w:t>otic</w:t>
      </w:r>
      <w:proofErr w:type="spellEnd"/>
      <w:r w:rsidRPr="00B47FBF">
        <w:t xml:space="preserve"> barotrauma.</w:t>
      </w:r>
    </w:p>
    <w:p w14:paraId="5FA35363" w14:textId="7C7135E9" w:rsidR="00056D98" w:rsidRDefault="00056D98" w:rsidP="00056D98">
      <w:pPr>
        <w:pStyle w:val="LV2"/>
      </w:pPr>
      <w:r w:rsidRPr="00056D98">
        <w:lastRenderedPageBreak/>
        <w:t>having acoustic shock at the time of the clinical onset of tinnitus;</w:t>
      </w:r>
    </w:p>
    <w:p w14:paraId="17C2E831" w14:textId="5B83B831" w:rsidR="00056D98" w:rsidRPr="00056D98" w:rsidRDefault="00056D98" w:rsidP="00056D98">
      <w:pPr>
        <w:pStyle w:val="Note2"/>
      </w:pPr>
      <w:r>
        <w:t xml:space="preserve">Note: </w:t>
      </w:r>
      <w:r w:rsidRPr="00056D98">
        <w:rPr>
          <w:b/>
          <w:i/>
        </w:rPr>
        <w:t xml:space="preserve">acoustic shock </w:t>
      </w:r>
      <w:r w:rsidRPr="00056D98">
        <w:t>is defined in the Schedule 1 - Dictionary.</w:t>
      </w:r>
    </w:p>
    <w:p w14:paraId="2B525081" w14:textId="77777777" w:rsidR="000972D7" w:rsidRDefault="000972D7" w:rsidP="000972D7">
      <w:pPr>
        <w:pStyle w:val="LV2"/>
      </w:pPr>
      <w:r w:rsidRPr="000972D7">
        <w:t>having a bacterial infection from the specified list of bacterial infections within the 30 days before the clinical onset of tinnitus;</w:t>
      </w:r>
    </w:p>
    <w:p w14:paraId="0FE74141" w14:textId="77777777" w:rsidR="000972D7" w:rsidRPr="000972D7" w:rsidRDefault="000972D7" w:rsidP="000972D7">
      <w:pPr>
        <w:pStyle w:val="Note2"/>
      </w:pPr>
      <w:r>
        <w:t xml:space="preserve">Note: </w:t>
      </w:r>
      <w:r>
        <w:rPr>
          <w:b/>
          <w:i/>
        </w:rPr>
        <w:t>specified list of bacterial infections</w:t>
      </w:r>
      <w:r>
        <w:t xml:space="preserve"> </w:t>
      </w:r>
      <w:r w:rsidRPr="000972D7">
        <w:t>is defined in the Schedule 1 - Dictionary.</w:t>
      </w:r>
    </w:p>
    <w:p w14:paraId="35BF0CAB" w14:textId="77777777" w:rsidR="002D732D" w:rsidRDefault="002D732D" w:rsidP="002D732D">
      <w:pPr>
        <w:pStyle w:val="LV2"/>
      </w:pPr>
      <w:r w:rsidRPr="002D732D">
        <w:t>having a viral infection from the spe</w:t>
      </w:r>
      <w:r w:rsidR="002813A6">
        <w:t>cified list of viral infections</w:t>
      </w:r>
      <w:r w:rsidRPr="002D732D">
        <w:t xml:space="preserve"> within the 30 days before the clinical onset of tinnitus;</w:t>
      </w:r>
    </w:p>
    <w:p w14:paraId="7D55BC7B" w14:textId="77777777" w:rsidR="002D732D" w:rsidRPr="002D732D" w:rsidRDefault="002D732D" w:rsidP="002D732D">
      <w:pPr>
        <w:pStyle w:val="Note2"/>
      </w:pPr>
      <w:r>
        <w:t xml:space="preserve">Note: </w:t>
      </w:r>
      <w:r w:rsidRPr="002D732D">
        <w:rPr>
          <w:b/>
          <w:i/>
        </w:rPr>
        <w:t>specified list of viral infections</w:t>
      </w:r>
      <w:r w:rsidRPr="002D732D">
        <w:t xml:space="preserve"> is defined in the Schedule 1 - Dictionary.</w:t>
      </w:r>
    </w:p>
    <w:p w14:paraId="5D2CBC02" w14:textId="77777777" w:rsidR="00C754C6" w:rsidRDefault="00C754C6" w:rsidP="00C754C6">
      <w:pPr>
        <w:pStyle w:val="LV2"/>
      </w:pPr>
      <w:r w:rsidRPr="00C754C6">
        <w:t>having meningitis or encephalitis within the one year before the clinical onset of tinnitus;</w:t>
      </w:r>
    </w:p>
    <w:p w14:paraId="18358659" w14:textId="77777777" w:rsidR="004526AC" w:rsidRDefault="004526AC" w:rsidP="004526AC">
      <w:pPr>
        <w:pStyle w:val="LV2"/>
      </w:pPr>
      <w:r w:rsidRPr="004526AC">
        <w:t xml:space="preserve">having </w:t>
      </w:r>
      <w:proofErr w:type="spellStart"/>
      <w:r w:rsidRPr="004526AC">
        <w:t>neurosyphilis</w:t>
      </w:r>
      <w:proofErr w:type="spellEnd"/>
      <w:r w:rsidRPr="004526AC">
        <w:t xml:space="preserve"> before the clinical onset of tinnitus;</w:t>
      </w:r>
    </w:p>
    <w:p w14:paraId="586FD434" w14:textId="77777777" w:rsidR="00505570" w:rsidRPr="00C754C6" w:rsidRDefault="00505570" w:rsidP="00505570">
      <w:pPr>
        <w:pStyle w:val="LV2"/>
      </w:pPr>
      <w:r w:rsidRPr="00505570">
        <w:t>having tuberculosis involving the nasopharynx, meninges, temporal bone, middle ear or</w:t>
      </w:r>
      <w:r>
        <w:t xml:space="preserve"> inner ear of the affected side</w:t>
      </w:r>
      <w:r w:rsidRPr="00505570">
        <w:t xml:space="preserve"> before the clinical onset of tinnitus;</w:t>
      </w:r>
    </w:p>
    <w:p w14:paraId="552CC0DB" w14:textId="77777777" w:rsidR="00505570" w:rsidRPr="00505570" w:rsidRDefault="00505570" w:rsidP="00505570">
      <w:pPr>
        <w:pStyle w:val="LV2"/>
      </w:pPr>
      <w:r w:rsidRPr="00505570">
        <w:t>having typhoid fever within the 30 days before the clinical onset of tinnitus;</w:t>
      </w:r>
    </w:p>
    <w:p w14:paraId="30EF75F7" w14:textId="77777777" w:rsidR="00F752BB" w:rsidRPr="00F752BB" w:rsidRDefault="00F752BB" w:rsidP="00F752BB">
      <w:pPr>
        <w:pStyle w:val="LV2"/>
      </w:pPr>
      <w:r w:rsidRPr="00F752BB">
        <w:t>undergoing a course of therapeutic radiation for cancer, where the auditory apparatus was in the field of radiation, before the clinical onset of tinnitus;</w:t>
      </w:r>
    </w:p>
    <w:p w14:paraId="6D8D477D" w14:textId="77777777" w:rsidR="00F752BB" w:rsidRDefault="00F752BB" w:rsidP="00F752BB">
      <w:pPr>
        <w:pStyle w:val="LV2"/>
        <w:keepNext/>
        <w:keepLines/>
      </w:pPr>
      <w:r w:rsidRPr="00F752BB">
        <w:t>having:</w:t>
      </w:r>
    </w:p>
    <w:p w14:paraId="5FFC808B" w14:textId="77777777" w:rsidR="00F752BB" w:rsidRDefault="00F752BB" w:rsidP="00F752BB">
      <w:pPr>
        <w:pStyle w:val="LV3"/>
        <w:keepNext/>
        <w:keepLines/>
      </w:pPr>
      <w:r w:rsidRPr="00F752BB">
        <w:tab/>
        <w:t>a cobalt-containing metal-on-metal hip prosthesis; or</w:t>
      </w:r>
    </w:p>
    <w:p w14:paraId="74DC3154" w14:textId="77777777" w:rsidR="00F752BB" w:rsidRDefault="00F752BB" w:rsidP="00F752BB">
      <w:pPr>
        <w:pStyle w:val="LV3"/>
        <w:keepNext/>
        <w:keepLines/>
      </w:pPr>
      <w:r w:rsidRPr="00F752BB">
        <w:tab/>
        <w:t>a serum cobalt concentration of at least 200 micrograms per litre;</w:t>
      </w:r>
    </w:p>
    <w:p w14:paraId="3E5D65BE" w14:textId="77777777" w:rsidR="00F752BB" w:rsidRPr="00F752BB" w:rsidRDefault="00F752BB" w:rsidP="00F752BB">
      <w:pPr>
        <w:pStyle w:val="LV2"/>
        <w:keepNext/>
        <w:keepLines/>
        <w:numPr>
          <w:ilvl w:val="0"/>
          <w:numId w:val="0"/>
        </w:numPr>
        <w:ind w:left="1418"/>
      </w:pPr>
      <w:proofErr w:type="gramStart"/>
      <w:r w:rsidRPr="00F752BB">
        <w:t>for</w:t>
      </w:r>
      <w:proofErr w:type="gramEnd"/>
      <w:r w:rsidRPr="00F752BB">
        <w:t xml:space="preserve"> at least the four weeks before the clinical onset of tinnitus;</w:t>
      </w:r>
    </w:p>
    <w:p w14:paraId="2014F82D" w14:textId="77777777" w:rsidR="00F752BB" w:rsidRPr="00F752BB" w:rsidRDefault="00F752BB" w:rsidP="00F752BB">
      <w:pPr>
        <w:pStyle w:val="LV2"/>
      </w:pPr>
      <w:r w:rsidRPr="00F752BB">
        <w:t>having vitamin B1 (thiamine) or vitamin B12 (cobalamin) deficiency at the time of the clinical onset of tinnitus;</w:t>
      </w:r>
    </w:p>
    <w:p w14:paraId="5F819B21" w14:textId="77777777" w:rsidR="0057551D" w:rsidRDefault="0057551D" w:rsidP="0057551D">
      <w:pPr>
        <w:pStyle w:val="LV2"/>
      </w:pPr>
      <w:r w:rsidRPr="0057551D">
        <w:t>having carbon monoxide poisoning within the 48 hours before the clinical onset of tinnitus;</w:t>
      </w:r>
    </w:p>
    <w:p w14:paraId="0A293774" w14:textId="77777777" w:rsidR="007820AB" w:rsidRDefault="007820AB" w:rsidP="007820AB">
      <w:pPr>
        <w:pStyle w:val="LV2"/>
      </w:pPr>
      <w:r w:rsidRPr="007820AB">
        <w:t>having hypothyroidism for at least the three months before the clinical onset of tinnitus;</w:t>
      </w:r>
    </w:p>
    <w:p w14:paraId="6A411748" w14:textId="77777777" w:rsidR="00344190" w:rsidRDefault="00344190" w:rsidP="00344190">
      <w:pPr>
        <w:pStyle w:val="LV2"/>
      </w:pPr>
      <w:r w:rsidRPr="00344190">
        <w:t>having a clinically significant depressive disorder or a clinically significant anxiety disorder at the time of the clinical onset of tinnitus;</w:t>
      </w:r>
    </w:p>
    <w:p w14:paraId="5E27238F" w14:textId="77777777" w:rsidR="00344190" w:rsidRPr="0057551D" w:rsidRDefault="00344190" w:rsidP="00344190">
      <w:pPr>
        <w:pStyle w:val="Note2"/>
      </w:pPr>
      <w:r>
        <w:t xml:space="preserve">Note: </w:t>
      </w:r>
      <w:r w:rsidRPr="00344190">
        <w:rPr>
          <w:b/>
          <w:i/>
        </w:rPr>
        <w:t>clinically significant</w:t>
      </w:r>
      <w:r w:rsidRPr="00344190">
        <w:t xml:space="preserve"> is defined in the Schedule 1 </w:t>
      </w:r>
      <w:r>
        <w:t>-</w:t>
      </w:r>
      <w:r w:rsidRPr="00344190">
        <w:t xml:space="preserve"> Dictionary.</w:t>
      </w:r>
    </w:p>
    <w:p w14:paraId="1E8C0F33" w14:textId="77777777" w:rsidR="00192B97" w:rsidRDefault="00192B97" w:rsidP="00192B97">
      <w:pPr>
        <w:pStyle w:val="LV2"/>
      </w:pPr>
      <w:r w:rsidRPr="00E41C06">
        <w:t>being exposed</w:t>
      </w:r>
      <w:r w:rsidRPr="00192B97">
        <w:t xml:space="preserve"> to a peak sound pressure level at the tympanic membrane of at least 140 dB(C) before the clinical worsening of tinnitus;</w:t>
      </w:r>
    </w:p>
    <w:p w14:paraId="7E2FE0BB" w14:textId="77777777" w:rsidR="00192B97" w:rsidRDefault="00192B97" w:rsidP="00192B97">
      <w:pPr>
        <w:pStyle w:val="Note2"/>
      </w:pPr>
      <w:r w:rsidRPr="00192B97">
        <w:t xml:space="preserve">Note: </w:t>
      </w:r>
      <w:r w:rsidRPr="00192B97">
        <w:rPr>
          <w:b/>
          <w:i/>
        </w:rPr>
        <w:t>dB(C)</w:t>
      </w:r>
      <w:r w:rsidRPr="00192B97">
        <w:t xml:space="preserve"> is defined in the Schedule 1 - Dictionary.</w:t>
      </w:r>
    </w:p>
    <w:p w14:paraId="0DCD5189" w14:textId="2D45CA74" w:rsidR="001275AC" w:rsidRDefault="001275AC" w:rsidP="001275AC">
      <w:pPr>
        <w:pStyle w:val="LV2"/>
      </w:pPr>
      <w:r w:rsidRPr="001275AC">
        <w:lastRenderedPageBreak/>
        <w:t>being exposed to a sound pressure level at the tympanic membrane of at least 85 dB(A) as an 8-hour time-weighted average (TWA) with a 3</w:t>
      </w:r>
      <w:r w:rsidR="00B004CA">
        <w:noBreakHyphen/>
      </w:r>
      <w:r w:rsidRPr="001275AC">
        <w:t>dB exchange rate for a cumulative period of at least six months before the clinical worsening of tinnitus;</w:t>
      </w:r>
    </w:p>
    <w:p w14:paraId="18BDA1F4" w14:textId="697497AF" w:rsidR="001275AC" w:rsidRDefault="001275AC" w:rsidP="001275AC">
      <w:pPr>
        <w:pStyle w:val="Note2"/>
        <w:ind w:left="1843" w:hanging="425"/>
      </w:pPr>
      <w:r w:rsidRPr="001275AC">
        <w:t xml:space="preserve">Note: </w:t>
      </w:r>
      <w:proofErr w:type="gramStart"/>
      <w:r w:rsidRPr="001275AC">
        <w:rPr>
          <w:b/>
          <w:i/>
        </w:rPr>
        <w:t>dB(</w:t>
      </w:r>
      <w:proofErr w:type="gramEnd"/>
      <w:r w:rsidRPr="001275AC">
        <w:rPr>
          <w:b/>
          <w:i/>
        </w:rPr>
        <w:t>A)</w:t>
      </w:r>
      <w:r w:rsidRPr="001275AC">
        <w:t xml:space="preserve"> and </w:t>
      </w:r>
      <w:r w:rsidRPr="001275AC">
        <w:rPr>
          <w:b/>
          <w:i/>
        </w:rPr>
        <w:t>time-weighted average (TWA) with</w:t>
      </w:r>
      <w:r w:rsidR="00EC7096">
        <w:rPr>
          <w:b/>
          <w:i/>
        </w:rPr>
        <w:t xml:space="preserve"> a</w:t>
      </w:r>
      <w:r w:rsidRPr="001275AC">
        <w:rPr>
          <w:b/>
          <w:i/>
        </w:rPr>
        <w:t xml:space="preserve"> 3</w:t>
      </w:r>
      <w:r w:rsidR="00B004CA">
        <w:rPr>
          <w:b/>
          <w:i/>
        </w:rPr>
        <w:t>-</w:t>
      </w:r>
      <w:r w:rsidRPr="001275AC">
        <w:rPr>
          <w:b/>
          <w:i/>
        </w:rPr>
        <w:t>dB exchange rate</w:t>
      </w:r>
      <w:r w:rsidRPr="001275AC">
        <w:t xml:space="preserve"> are defined in the Schedule 1 - Dictionary.</w:t>
      </w:r>
    </w:p>
    <w:p w14:paraId="3DFAD56C" w14:textId="77777777" w:rsidR="001275AC" w:rsidRDefault="001275AC" w:rsidP="001275AC">
      <w:pPr>
        <w:pStyle w:val="LV2"/>
      </w:pPr>
      <w:r w:rsidRPr="001275AC">
        <w:t>having blunt trauma, penetrating trauma or surgery to an auditory structure or central auditory neural pathway, within the five years before the clinical worsening of tinnitus;</w:t>
      </w:r>
    </w:p>
    <w:p w14:paraId="5ADA6A86" w14:textId="77777777" w:rsidR="001275AC" w:rsidRDefault="001275AC" w:rsidP="001275AC">
      <w:pPr>
        <w:pStyle w:val="Note2"/>
      </w:pPr>
      <w:r>
        <w:t>Note 1: Examples of trauma include temporal bone fracture and basilar skull fracture.</w:t>
      </w:r>
    </w:p>
    <w:p w14:paraId="08356BCD" w14:textId="77777777" w:rsidR="001275AC" w:rsidRDefault="001275AC" w:rsidP="001275AC">
      <w:pPr>
        <w:pStyle w:val="Note2"/>
      </w:pPr>
      <w:r>
        <w:t xml:space="preserve">Note 2: </w:t>
      </w:r>
      <w:r w:rsidRPr="001275AC">
        <w:rPr>
          <w:b/>
          <w:i/>
        </w:rPr>
        <w:t>auditory structure</w:t>
      </w:r>
      <w:r>
        <w:t xml:space="preserve"> is defined in the Schedule 1 - Dictionary.</w:t>
      </w:r>
    </w:p>
    <w:p w14:paraId="04755824" w14:textId="77777777" w:rsidR="00B65CB9" w:rsidRDefault="00B65CB9" w:rsidP="00B65CB9">
      <w:pPr>
        <w:pStyle w:val="LV2"/>
      </w:pPr>
      <w:r w:rsidRPr="00B65CB9">
        <w:t>having sensorineural hearing loss or conductive hearing loss at the time of the clinical worsening of tinnitus;</w:t>
      </w:r>
    </w:p>
    <w:p w14:paraId="24C30731" w14:textId="77777777" w:rsidR="00B65CB9" w:rsidRDefault="00B65CB9" w:rsidP="00B65CB9">
      <w:pPr>
        <w:pStyle w:val="LV2"/>
      </w:pPr>
      <w:r w:rsidRPr="00B65CB9">
        <w:t>taking a drug from the specified list of drugs within the 30 days before the clinical worsening of tinnitus;</w:t>
      </w:r>
    </w:p>
    <w:p w14:paraId="68F7996C" w14:textId="39EB872B" w:rsidR="00411834" w:rsidRDefault="00411834" w:rsidP="00411834">
      <w:pPr>
        <w:pStyle w:val="Note2"/>
      </w:pPr>
      <w:r>
        <w:t xml:space="preserve">Note: </w:t>
      </w:r>
      <w:r w:rsidRPr="00411834">
        <w:rPr>
          <w:b/>
          <w:i/>
        </w:rPr>
        <w:t>specified list of drugs</w:t>
      </w:r>
      <w:r w:rsidRPr="00411834">
        <w:t xml:space="preserve"> </w:t>
      </w:r>
      <w:r w:rsidR="00EE4FE8">
        <w:t>is</w:t>
      </w:r>
      <w:r w:rsidRPr="00411834">
        <w:t xml:space="preserve"> defined in the Schedule 1 </w:t>
      </w:r>
      <w:r>
        <w:t>-</w:t>
      </w:r>
      <w:r w:rsidRPr="00411834">
        <w:t xml:space="preserve"> Dictionary.</w:t>
      </w:r>
    </w:p>
    <w:p w14:paraId="7DC5AE08" w14:textId="77777777" w:rsidR="00F8428B" w:rsidRDefault="00F8428B" w:rsidP="00F8428B">
      <w:pPr>
        <w:pStyle w:val="LV2"/>
      </w:pPr>
      <w:r>
        <w:t>having smoked</w:t>
      </w:r>
      <w:r w:rsidRPr="00F8428B">
        <w:t xml:space="preserve"> at least ten pack-years of tobacco products before the clinical worsening of tinnitus, and where smoking has ceased, the clinical worsening of tinnitus has occurred within five years of cessation;</w:t>
      </w:r>
    </w:p>
    <w:p w14:paraId="23B25508" w14:textId="77777777" w:rsidR="00F8428B" w:rsidRDefault="00F8428B" w:rsidP="00F8428B">
      <w:pPr>
        <w:pStyle w:val="Note2"/>
      </w:pPr>
      <w:r w:rsidRPr="00F8428B">
        <w:t xml:space="preserve">Note: </w:t>
      </w:r>
      <w:r w:rsidRPr="00F8428B">
        <w:rPr>
          <w:b/>
          <w:i/>
        </w:rPr>
        <w:t>pack-year of tobacco products</w:t>
      </w:r>
      <w:r w:rsidRPr="00F8428B">
        <w:t xml:space="preserve"> is defined in the Schedule 1 - Dictionary.</w:t>
      </w:r>
    </w:p>
    <w:p w14:paraId="0B74CB95" w14:textId="77777777" w:rsidR="00344190" w:rsidRDefault="00344190" w:rsidP="00344190">
      <w:pPr>
        <w:pStyle w:val="LV2"/>
      </w:pPr>
      <w:r w:rsidRPr="00344190">
        <w:t>being exposed to second-hand smoke:</w:t>
      </w:r>
    </w:p>
    <w:p w14:paraId="1AB2C509" w14:textId="38EC02B8" w:rsidR="00344190" w:rsidRDefault="00344190" w:rsidP="00344190">
      <w:pPr>
        <w:pStyle w:val="LV3"/>
      </w:pPr>
      <w:r>
        <w:t xml:space="preserve">for at least 2,500 hours before the clinical </w:t>
      </w:r>
      <w:r w:rsidR="00AA7A0F">
        <w:t>worse</w:t>
      </w:r>
      <w:r w:rsidR="002E7ED3">
        <w:t xml:space="preserve">ning </w:t>
      </w:r>
      <w:r>
        <w:t>of tinnitus; and</w:t>
      </w:r>
    </w:p>
    <w:p w14:paraId="573D9CB2" w14:textId="51312722" w:rsidR="00344190" w:rsidRDefault="00344190" w:rsidP="00344190">
      <w:pPr>
        <w:pStyle w:val="LV3"/>
      </w:pPr>
      <w:r>
        <w:t xml:space="preserve">where the first exposure to second-hand smoke commenced at least five years before the clinical </w:t>
      </w:r>
      <w:r w:rsidR="002E7ED3">
        <w:t xml:space="preserve">worsening </w:t>
      </w:r>
      <w:r>
        <w:t>of tinnitus; and</w:t>
      </w:r>
    </w:p>
    <w:p w14:paraId="71B13BDE" w14:textId="65B71878" w:rsidR="00344190" w:rsidRDefault="00344190" w:rsidP="00344190">
      <w:pPr>
        <w:pStyle w:val="LV3"/>
      </w:pPr>
      <w:r>
        <w:t xml:space="preserve">where the last exposure to second-hand smoke occurred within the two years before the clinical </w:t>
      </w:r>
      <w:r w:rsidR="002E7ED3">
        <w:t xml:space="preserve">worsening </w:t>
      </w:r>
      <w:r>
        <w:t>of tinnitus;</w:t>
      </w:r>
    </w:p>
    <w:p w14:paraId="3752A05F" w14:textId="77777777" w:rsidR="00344190" w:rsidRDefault="00344190" w:rsidP="00344190">
      <w:pPr>
        <w:pStyle w:val="Note2"/>
      </w:pPr>
      <w:r>
        <w:t xml:space="preserve">Note: </w:t>
      </w:r>
      <w:r>
        <w:rPr>
          <w:b/>
          <w:i/>
        </w:rPr>
        <w:t>being exposed to second-hand smoke</w:t>
      </w:r>
      <w:r>
        <w:rPr>
          <w:b/>
        </w:rPr>
        <w:t xml:space="preserve"> </w:t>
      </w:r>
      <w:r w:rsidRPr="00F8428B">
        <w:t xml:space="preserve">is defined in the Schedule 1 </w:t>
      </w:r>
      <w:r>
        <w:t>-</w:t>
      </w:r>
      <w:r w:rsidRPr="00F8428B">
        <w:t xml:space="preserve"> Dictionary.</w:t>
      </w:r>
    </w:p>
    <w:p w14:paraId="77DF2590" w14:textId="77777777" w:rsidR="00C23CAA" w:rsidRDefault="00EE453C" w:rsidP="00EE453C">
      <w:pPr>
        <w:pStyle w:val="LV2"/>
      </w:pPr>
      <w:r w:rsidRPr="00EE453C">
        <w:t>having inner ear exposure to a chemical agent from the specified list of chemical agents within the 30 days before the clinical worsening of tinnitus;</w:t>
      </w:r>
    </w:p>
    <w:p w14:paraId="46B10956" w14:textId="77777777" w:rsidR="006F429D" w:rsidRDefault="006F429D" w:rsidP="006F429D">
      <w:pPr>
        <w:pStyle w:val="Note2"/>
        <w:ind w:left="1985" w:hanging="567"/>
      </w:pPr>
      <w:r>
        <w:t>Note 1: Inner ear exposure to a chemical agent will only occur in the presence of a defect in the tympanic membrane.</w:t>
      </w:r>
    </w:p>
    <w:p w14:paraId="10C0042F" w14:textId="77777777" w:rsidR="006F429D" w:rsidRDefault="006F429D" w:rsidP="006F429D">
      <w:pPr>
        <w:pStyle w:val="Note2"/>
      </w:pPr>
      <w:r>
        <w:t xml:space="preserve">Note 2: </w:t>
      </w:r>
      <w:r w:rsidRPr="006F429D">
        <w:rPr>
          <w:b/>
          <w:i/>
        </w:rPr>
        <w:t>specified list of chemical agents</w:t>
      </w:r>
      <w:r>
        <w:t xml:space="preserve"> is defined in the Schedule 1 - Dictionary.</w:t>
      </w:r>
    </w:p>
    <w:p w14:paraId="316D2DAE" w14:textId="77777777" w:rsidR="000967CF" w:rsidRDefault="000967CF" w:rsidP="000967CF">
      <w:pPr>
        <w:pStyle w:val="LV2"/>
      </w:pPr>
      <w:r w:rsidRPr="000967CF">
        <w:t>having a vascular, muscular or other anatomical source of sound that can be transmitted to the affected ear at the time of the clinical worsening of tinnitus;</w:t>
      </w:r>
    </w:p>
    <w:p w14:paraId="447E454D" w14:textId="77777777" w:rsidR="000967CF" w:rsidRDefault="000967CF" w:rsidP="000967CF">
      <w:pPr>
        <w:pStyle w:val="Note2"/>
        <w:ind w:left="1843" w:hanging="425"/>
      </w:pPr>
      <w:r>
        <w:t xml:space="preserve">Note: </w:t>
      </w:r>
      <w:r w:rsidRPr="000967CF">
        <w:rPr>
          <w:b/>
          <w:i/>
        </w:rPr>
        <w:t>vascular, muscular or other anatomical source of sound</w:t>
      </w:r>
      <w:r w:rsidRPr="000967CF">
        <w:t xml:space="preserve"> is defined in the Schedule</w:t>
      </w:r>
      <w:r>
        <w:t> </w:t>
      </w:r>
      <w:r w:rsidRPr="000967CF">
        <w:t>1</w:t>
      </w:r>
      <w:r>
        <w:t> </w:t>
      </w:r>
      <w:r w:rsidRPr="000967CF">
        <w:t>-</w:t>
      </w:r>
      <w:r>
        <w:t> </w:t>
      </w:r>
      <w:r w:rsidRPr="000967CF">
        <w:t>Dictionary.</w:t>
      </w:r>
    </w:p>
    <w:p w14:paraId="3B3573B0" w14:textId="77777777" w:rsidR="00501652" w:rsidRDefault="00501652" w:rsidP="00501652">
      <w:pPr>
        <w:pStyle w:val="LV2"/>
      </w:pPr>
      <w:r w:rsidRPr="00501652">
        <w:lastRenderedPageBreak/>
        <w:t>having a reduced supply of blood to an auditory structure of the affected ear at the time of the clinical worsening of tinnitus;</w:t>
      </w:r>
    </w:p>
    <w:p w14:paraId="0CA4032D" w14:textId="19A7DCDE" w:rsidR="00501652" w:rsidRDefault="00501652" w:rsidP="003838A7">
      <w:pPr>
        <w:pStyle w:val="Note2"/>
        <w:ind w:left="1985" w:hanging="567"/>
      </w:pPr>
      <w:r w:rsidRPr="00501652">
        <w:t>Note</w:t>
      </w:r>
      <w:r w:rsidR="003838A7">
        <w:t xml:space="preserve"> 1</w:t>
      </w:r>
      <w:r w:rsidRPr="00501652">
        <w:t xml:space="preserve">: Examples of causes of a reduced supply of blood to an auditory structure include coagulation disorders, embolism, thrombosis, haemorrhage or vasospasm of the </w:t>
      </w:r>
      <w:proofErr w:type="spellStart"/>
      <w:r w:rsidRPr="00501652">
        <w:t>vertebro</w:t>
      </w:r>
      <w:proofErr w:type="spellEnd"/>
      <w:r w:rsidRPr="00501652">
        <w:t xml:space="preserve">-basilar circulation, </w:t>
      </w:r>
      <w:proofErr w:type="spellStart"/>
      <w:r w:rsidRPr="00501652">
        <w:t>hyperviscosity</w:t>
      </w:r>
      <w:proofErr w:type="spellEnd"/>
      <w:r w:rsidRPr="00501652">
        <w:t xml:space="preserve">, vasculitis, and </w:t>
      </w:r>
      <w:proofErr w:type="spellStart"/>
      <w:r w:rsidRPr="00501652">
        <w:t>intralabyrinthine</w:t>
      </w:r>
      <w:proofErr w:type="spellEnd"/>
      <w:r w:rsidRPr="00501652">
        <w:t xml:space="preserve"> haemorrhage or infarction.</w:t>
      </w:r>
    </w:p>
    <w:p w14:paraId="57D0FDE6" w14:textId="375D4476" w:rsidR="003838A7" w:rsidRPr="003838A7" w:rsidRDefault="003838A7" w:rsidP="003838A7">
      <w:pPr>
        <w:pStyle w:val="Note2"/>
        <w:ind w:left="1985" w:hanging="567"/>
      </w:pPr>
      <w:r>
        <w:t xml:space="preserve">Note 2: </w:t>
      </w:r>
      <w:r>
        <w:rPr>
          <w:b/>
          <w:i/>
        </w:rPr>
        <w:t>auditory structure</w:t>
      </w:r>
      <w:r>
        <w:t xml:space="preserve"> </w:t>
      </w:r>
      <w:r w:rsidRPr="003838A7">
        <w:t>is defined in the Schedule 1 - Dictionary.</w:t>
      </w:r>
    </w:p>
    <w:p w14:paraId="0B1A9FD4" w14:textId="77777777" w:rsidR="00DF2899" w:rsidRDefault="00DF2899" w:rsidP="00DF2899">
      <w:pPr>
        <w:pStyle w:val="LV2"/>
      </w:pPr>
      <w:r w:rsidRPr="00DF2899">
        <w:t xml:space="preserve">having a </w:t>
      </w:r>
      <w:r w:rsidR="000972D7">
        <w:t xml:space="preserve">bone </w:t>
      </w:r>
      <w:r w:rsidRPr="00DF2899">
        <w:t xml:space="preserve">disease from the specified list of bone diseases, affecting the petrous temporal bone or middle ear </w:t>
      </w:r>
      <w:proofErr w:type="spellStart"/>
      <w:r w:rsidRPr="00DF2899">
        <w:t>ossicles</w:t>
      </w:r>
      <w:proofErr w:type="spellEnd"/>
      <w:r w:rsidRPr="00DF2899">
        <w:t xml:space="preserve"> of the affected side, at the time of the clinical worsening of tinnitus;</w:t>
      </w:r>
    </w:p>
    <w:p w14:paraId="177250A0" w14:textId="77777777" w:rsidR="00DF2899" w:rsidRDefault="00DF2899" w:rsidP="00DF2899">
      <w:pPr>
        <w:pStyle w:val="Note2"/>
      </w:pPr>
      <w:r>
        <w:t xml:space="preserve">Note: </w:t>
      </w:r>
      <w:r w:rsidRPr="00DF2899">
        <w:rPr>
          <w:b/>
          <w:i/>
        </w:rPr>
        <w:t>specified list of bone diseases</w:t>
      </w:r>
      <w:r w:rsidRPr="00DF2899">
        <w:t xml:space="preserve"> is defined in the Schedule 1 </w:t>
      </w:r>
      <w:r>
        <w:t>-</w:t>
      </w:r>
      <w:r w:rsidRPr="00DF2899">
        <w:t xml:space="preserve"> Dictionary.</w:t>
      </w:r>
    </w:p>
    <w:p w14:paraId="178BBDFA" w14:textId="77777777" w:rsidR="00944B77" w:rsidRDefault="00944B77" w:rsidP="00944B77">
      <w:pPr>
        <w:pStyle w:val="LV2"/>
      </w:pPr>
      <w:r w:rsidRPr="00944B77">
        <w:t>having osteoporosis at the time of the clinical worsening of tinnitus;</w:t>
      </w:r>
    </w:p>
    <w:p w14:paraId="6703EDF8" w14:textId="77777777" w:rsidR="006E50EF" w:rsidRDefault="006E50EF" w:rsidP="006E50EF">
      <w:pPr>
        <w:pStyle w:val="LV2"/>
      </w:pPr>
      <w:r w:rsidRPr="006E50EF">
        <w:t>having an autoimmune disease at the time of the clinical worsening of tinnitus;</w:t>
      </w:r>
    </w:p>
    <w:p w14:paraId="1CCD2E3E" w14:textId="77777777" w:rsidR="00B63371" w:rsidRDefault="00BC7E3E" w:rsidP="00BC7E3E">
      <w:pPr>
        <w:pStyle w:val="LV2"/>
      </w:pPr>
      <w:r w:rsidRPr="00BC7E3E">
        <w:t>having multiple sclerosis at the time of the clinical worsening of tinnitus;</w:t>
      </w:r>
    </w:p>
    <w:p w14:paraId="0673D0A0" w14:textId="10030C50" w:rsidR="00BC7E3E" w:rsidRDefault="00BC7E3E" w:rsidP="00BC7E3E">
      <w:pPr>
        <w:pStyle w:val="LV2"/>
      </w:pPr>
      <w:r w:rsidRPr="00BC7E3E">
        <w:t xml:space="preserve">having a benign or malignant neoplasm involving the petrous temporal bone, </w:t>
      </w:r>
      <w:r w:rsidR="009D74F6">
        <w:t>an auditory structure</w:t>
      </w:r>
      <w:r w:rsidRPr="00BC7E3E">
        <w:t xml:space="preserve"> or </w:t>
      </w:r>
      <w:r w:rsidR="009D74F6">
        <w:t>central auditory neural pathway</w:t>
      </w:r>
      <w:r w:rsidRPr="00BC7E3E">
        <w:t xml:space="preserve"> of the affected ear at the time of the clinical worsening of tinnitus;</w:t>
      </w:r>
    </w:p>
    <w:p w14:paraId="3D452C2D" w14:textId="79D4F695" w:rsidR="003838A7" w:rsidRPr="003838A7" w:rsidRDefault="003838A7" w:rsidP="003838A7">
      <w:pPr>
        <w:pStyle w:val="Note2"/>
      </w:pPr>
      <w:r>
        <w:t xml:space="preserve">Note: </w:t>
      </w:r>
      <w:r>
        <w:rPr>
          <w:b/>
          <w:i/>
        </w:rPr>
        <w:t>auditory structure</w:t>
      </w:r>
      <w:r>
        <w:t xml:space="preserve"> </w:t>
      </w:r>
      <w:r w:rsidRPr="00BC7E3E">
        <w:t xml:space="preserve">is defined in the Schedule 1 </w:t>
      </w:r>
      <w:r>
        <w:t>-</w:t>
      </w:r>
      <w:r w:rsidRPr="00BC7E3E">
        <w:t xml:space="preserve"> Dictionary.</w:t>
      </w:r>
    </w:p>
    <w:p w14:paraId="24174445" w14:textId="77777777" w:rsidR="00BC7E3E" w:rsidRDefault="00BC7E3E" w:rsidP="00BC7E3E">
      <w:pPr>
        <w:pStyle w:val="LV2"/>
      </w:pPr>
      <w:r w:rsidRPr="00BC7E3E">
        <w:t xml:space="preserve">having a </w:t>
      </w:r>
      <w:r w:rsidR="000972D7">
        <w:t xml:space="preserve">haematological </w:t>
      </w:r>
      <w:r w:rsidRPr="00BC7E3E">
        <w:t>disease from the specified list of haematological diseases at the time of the clinical worsening of tinnitus;</w:t>
      </w:r>
    </w:p>
    <w:p w14:paraId="2BA2E31C" w14:textId="77777777" w:rsidR="00BC7E3E" w:rsidRDefault="00BC7E3E" w:rsidP="00BC7E3E">
      <w:pPr>
        <w:pStyle w:val="Note2"/>
      </w:pPr>
      <w:r>
        <w:t xml:space="preserve">Note: </w:t>
      </w:r>
      <w:r w:rsidRPr="00BC7E3E">
        <w:rPr>
          <w:b/>
          <w:i/>
        </w:rPr>
        <w:t>specified list of haematological diseases</w:t>
      </w:r>
      <w:r w:rsidRPr="00BC7E3E">
        <w:t xml:space="preserve"> is defined in the Schedule 1 </w:t>
      </w:r>
      <w:r>
        <w:t>-</w:t>
      </w:r>
      <w:r w:rsidRPr="00BC7E3E">
        <w:t xml:space="preserve"> Dictionary.</w:t>
      </w:r>
    </w:p>
    <w:p w14:paraId="22EF6D0F" w14:textId="77777777" w:rsidR="00F53DD9" w:rsidRDefault="00F53DD9" w:rsidP="00F53DD9">
      <w:pPr>
        <w:pStyle w:val="LV2"/>
      </w:pPr>
      <w:r w:rsidRPr="00F53DD9">
        <w:t>having a cerebrovascular accident within the 30 days before the clinical worsening of tinnitus;</w:t>
      </w:r>
    </w:p>
    <w:p w14:paraId="5637A1A7" w14:textId="77777777" w:rsidR="00FA58D5" w:rsidRDefault="00FA58D5" w:rsidP="00FA58D5">
      <w:pPr>
        <w:pStyle w:val="LV2"/>
      </w:pPr>
      <w:r w:rsidRPr="00FA58D5">
        <w:t>having concussion or moderate to severe traumatic brain injury within the three months before the clinical worsening of tinnitus;</w:t>
      </w:r>
    </w:p>
    <w:p w14:paraId="2F416F44" w14:textId="77777777" w:rsidR="00066DBE" w:rsidRDefault="00066DBE" w:rsidP="00066DBE">
      <w:pPr>
        <w:pStyle w:val="LV2"/>
      </w:pPr>
      <w:r w:rsidRPr="00066DBE">
        <w:t>being exposed to an explosive blast within the 30 days before the clinical worsening of tinnitus;</w:t>
      </w:r>
    </w:p>
    <w:p w14:paraId="7C56573F" w14:textId="77777777" w:rsidR="006E4127" w:rsidRDefault="006E4127" w:rsidP="006E4127">
      <w:pPr>
        <w:pStyle w:val="LV2"/>
      </w:pPr>
      <w:r w:rsidRPr="006E4127">
        <w:t>being struck by lightning within the 30 days before the clinical worsening of tinnitus;</w:t>
      </w:r>
    </w:p>
    <w:p w14:paraId="175DFA09" w14:textId="77777777" w:rsidR="00F8428B" w:rsidRDefault="00F8428B" w:rsidP="00F8428B">
      <w:pPr>
        <w:pStyle w:val="LV2"/>
      </w:pPr>
      <w:r w:rsidRPr="00F8428B">
        <w:t>having temporomandibular disorder at the time of the clinical worsening of tinnitus;</w:t>
      </w:r>
    </w:p>
    <w:p w14:paraId="0B4DDF59" w14:textId="77777777" w:rsidR="00F8428B" w:rsidRDefault="00F8428B" w:rsidP="00F8428B">
      <w:pPr>
        <w:pStyle w:val="LV2"/>
      </w:pPr>
      <w:r w:rsidRPr="00F8428B">
        <w:t>having trigeminal neuralgia at the time of the clinical worsening of tinnitus;</w:t>
      </w:r>
    </w:p>
    <w:p w14:paraId="457E1606" w14:textId="77777777" w:rsidR="00C96675" w:rsidRDefault="00C96675" w:rsidP="00C96675">
      <w:pPr>
        <w:pStyle w:val="LV2"/>
      </w:pPr>
      <w:r w:rsidRPr="00C96675">
        <w:t>having migraine or tension-type headache before the clinical worsening of tinnitus;</w:t>
      </w:r>
    </w:p>
    <w:p w14:paraId="111FC2F8" w14:textId="77777777" w:rsidR="00FD0458" w:rsidRDefault="00FD0458" w:rsidP="00FD0458">
      <w:pPr>
        <w:pStyle w:val="LV2"/>
      </w:pPr>
      <w:r w:rsidRPr="00FD0458">
        <w:lastRenderedPageBreak/>
        <w:t>having Meniere's disease or delayed endolymphatic hydrops at the time of the clinical worsening of tinnitus;</w:t>
      </w:r>
    </w:p>
    <w:p w14:paraId="0A874EF5" w14:textId="77777777" w:rsidR="00B47FBF" w:rsidRDefault="00B47FBF" w:rsidP="00B47FBF">
      <w:pPr>
        <w:pStyle w:val="LV2"/>
      </w:pPr>
      <w:r w:rsidRPr="00B47FBF">
        <w:t>having:</w:t>
      </w:r>
    </w:p>
    <w:p w14:paraId="03ECBC96" w14:textId="77777777" w:rsidR="00B47FBF" w:rsidRDefault="00B47FBF" w:rsidP="00B47FBF">
      <w:pPr>
        <w:pStyle w:val="LV3"/>
      </w:pPr>
      <w:r>
        <w:t xml:space="preserve">an episode of </w:t>
      </w:r>
      <w:proofErr w:type="spellStart"/>
      <w:r>
        <w:t>otitic</w:t>
      </w:r>
      <w:proofErr w:type="spellEnd"/>
      <w:r>
        <w:t xml:space="preserve"> barotrauma involving the affected ear; or </w:t>
      </w:r>
    </w:p>
    <w:p w14:paraId="2C0B8715" w14:textId="77777777" w:rsidR="00B47FBF" w:rsidRDefault="00B47FBF" w:rsidP="00B47FBF">
      <w:pPr>
        <w:pStyle w:val="LV3"/>
      </w:pPr>
      <w:r>
        <w:t>cerebral arterial gas embolism; or</w:t>
      </w:r>
    </w:p>
    <w:p w14:paraId="5149FA22" w14:textId="77777777" w:rsidR="00B47FBF" w:rsidRDefault="00B47FBF" w:rsidP="00B47FBF">
      <w:pPr>
        <w:pStyle w:val="LV3"/>
      </w:pPr>
      <w:r>
        <w:t>decompression sickness;</w:t>
      </w:r>
    </w:p>
    <w:p w14:paraId="1E0DCB76" w14:textId="77777777" w:rsidR="00B47FBF" w:rsidRDefault="00B47FBF" w:rsidP="00B47FBF">
      <w:pPr>
        <w:pStyle w:val="LV2"/>
        <w:numPr>
          <w:ilvl w:val="0"/>
          <w:numId w:val="0"/>
        </w:numPr>
        <w:ind w:left="1418"/>
      </w:pPr>
      <w:proofErr w:type="gramStart"/>
      <w:r>
        <w:t>within</w:t>
      </w:r>
      <w:proofErr w:type="gramEnd"/>
      <w:r>
        <w:t xml:space="preserve"> </w:t>
      </w:r>
      <w:r w:rsidRPr="00B47FBF">
        <w:t>the 30 days before the clinical worsening of tinnitus;</w:t>
      </w:r>
    </w:p>
    <w:p w14:paraId="124330EE" w14:textId="77777777" w:rsidR="00B47FBF" w:rsidRDefault="00B47FBF" w:rsidP="00B47FBF">
      <w:pPr>
        <w:pStyle w:val="Note2"/>
      </w:pPr>
      <w:r>
        <w:t xml:space="preserve">Note: </w:t>
      </w:r>
      <w:proofErr w:type="spellStart"/>
      <w:r w:rsidRPr="00B47FBF">
        <w:t>Otitic</w:t>
      </w:r>
      <w:proofErr w:type="spellEnd"/>
      <w:r w:rsidRPr="00B47FBF">
        <w:t xml:space="preserve"> barotrauma is also known as </w:t>
      </w:r>
      <w:proofErr w:type="spellStart"/>
      <w:r w:rsidRPr="00B47FBF">
        <w:t>otic</w:t>
      </w:r>
      <w:proofErr w:type="spellEnd"/>
      <w:r w:rsidRPr="00B47FBF">
        <w:t xml:space="preserve"> barotrauma.</w:t>
      </w:r>
    </w:p>
    <w:p w14:paraId="36B8E3BE" w14:textId="6D31BF82" w:rsidR="00056D98" w:rsidRDefault="00056D98" w:rsidP="00056D98">
      <w:pPr>
        <w:pStyle w:val="LV2"/>
      </w:pPr>
      <w:r w:rsidRPr="00056D98">
        <w:t>having acoustic shock at the time of the clinical worsening of tinnitus;</w:t>
      </w:r>
    </w:p>
    <w:p w14:paraId="6E05BC39" w14:textId="77736109" w:rsidR="00056D98" w:rsidRDefault="00056D98" w:rsidP="00056D98">
      <w:pPr>
        <w:pStyle w:val="Note2"/>
      </w:pPr>
      <w:r>
        <w:t xml:space="preserve">Note: </w:t>
      </w:r>
      <w:r w:rsidRPr="00056D98">
        <w:rPr>
          <w:b/>
          <w:i/>
        </w:rPr>
        <w:t xml:space="preserve">acoustic shock </w:t>
      </w:r>
      <w:r w:rsidRPr="00056D98">
        <w:t xml:space="preserve">is defined in the Schedule 1 </w:t>
      </w:r>
      <w:r>
        <w:t>-</w:t>
      </w:r>
      <w:r w:rsidRPr="00056D98">
        <w:t xml:space="preserve"> Dictionary.</w:t>
      </w:r>
    </w:p>
    <w:p w14:paraId="6D12CC7E" w14:textId="77777777" w:rsidR="000972D7" w:rsidRDefault="000972D7" w:rsidP="000972D7">
      <w:pPr>
        <w:pStyle w:val="LV2"/>
      </w:pPr>
      <w:r w:rsidRPr="000972D7">
        <w:t xml:space="preserve">having a bacterial infection from the specified list of bacterial infections within the 30 days before the clinical </w:t>
      </w:r>
      <w:r w:rsidR="002D732D">
        <w:t>worsening</w:t>
      </w:r>
      <w:r w:rsidRPr="000972D7">
        <w:t xml:space="preserve"> of tinnitus;</w:t>
      </w:r>
    </w:p>
    <w:p w14:paraId="053BEC4C" w14:textId="77777777" w:rsidR="000972D7" w:rsidRPr="000972D7" w:rsidRDefault="000972D7" w:rsidP="000972D7">
      <w:pPr>
        <w:pStyle w:val="Note2"/>
      </w:pPr>
      <w:r>
        <w:t xml:space="preserve">Note: </w:t>
      </w:r>
      <w:r>
        <w:rPr>
          <w:b/>
          <w:i/>
        </w:rPr>
        <w:t>specified list of bacterial infections</w:t>
      </w:r>
      <w:r>
        <w:t xml:space="preserve"> </w:t>
      </w:r>
      <w:r w:rsidRPr="000972D7">
        <w:t>is defined in the Schedule 1 - Dictionary.</w:t>
      </w:r>
    </w:p>
    <w:p w14:paraId="66E4D016" w14:textId="77777777" w:rsidR="002D732D" w:rsidRDefault="002D732D" w:rsidP="002D732D">
      <w:pPr>
        <w:pStyle w:val="LV2"/>
      </w:pPr>
      <w:r w:rsidRPr="002D732D">
        <w:t>having a viral infection from the spe</w:t>
      </w:r>
      <w:r w:rsidR="002813A6">
        <w:t>cified list of viral infections</w:t>
      </w:r>
      <w:r w:rsidRPr="002D732D">
        <w:t xml:space="preserve"> within the 30 days before the clinical worsening of tinnitus;</w:t>
      </w:r>
    </w:p>
    <w:p w14:paraId="730FC9D6" w14:textId="77777777" w:rsidR="002D732D" w:rsidRDefault="002D732D" w:rsidP="002D732D">
      <w:pPr>
        <w:pStyle w:val="Note2"/>
      </w:pPr>
      <w:r>
        <w:t xml:space="preserve">Note: </w:t>
      </w:r>
      <w:r w:rsidRPr="002D732D">
        <w:rPr>
          <w:b/>
          <w:i/>
        </w:rPr>
        <w:t>specified list of viral infections</w:t>
      </w:r>
      <w:r w:rsidRPr="002D732D">
        <w:t xml:space="preserve"> is defined in the Schedule 1 - Dictionary.</w:t>
      </w:r>
    </w:p>
    <w:p w14:paraId="3FBEFB85" w14:textId="77777777" w:rsidR="00C754C6" w:rsidRDefault="00C754C6" w:rsidP="00C754C6">
      <w:pPr>
        <w:pStyle w:val="LV2"/>
      </w:pPr>
      <w:r w:rsidRPr="00C754C6">
        <w:t>having meningitis or encephalitis within the one year before the clinical worsening of tinnitus;</w:t>
      </w:r>
    </w:p>
    <w:p w14:paraId="1CC402FF" w14:textId="77777777" w:rsidR="004526AC" w:rsidRDefault="004526AC" w:rsidP="004526AC">
      <w:pPr>
        <w:pStyle w:val="LV2"/>
      </w:pPr>
      <w:r w:rsidRPr="004526AC">
        <w:t xml:space="preserve">having </w:t>
      </w:r>
      <w:proofErr w:type="spellStart"/>
      <w:r w:rsidRPr="004526AC">
        <w:t>neurosyphilis</w:t>
      </w:r>
      <w:proofErr w:type="spellEnd"/>
      <w:r w:rsidRPr="004526AC">
        <w:t xml:space="preserve"> before the clinical worsening of tinnitus;</w:t>
      </w:r>
    </w:p>
    <w:p w14:paraId="26B3B6C5" w14:textId="77777777" w:rsidR="00505570" w:rsidRDefault="00505570" w:rsidP="00505570">
      <w:pPr>
        <w:pStyle w:val="LV2"/>
      </w:pPr>
      <w:r w:rsidRPr="00505570">
        <w:t>having tuberculosis involving the nasopharynx, meninges, temporal bone, middle ear or</w:t>
      </w:r>
      <w:r>
        <w:t xml:space="preserve"> inner ear of the affected side</w:t>
      </w:r>
      <w:r w:rsidRPr="00505570">
        <w:t xml:space="preserve"> before the clinical worsening of tinnitus;</w:t>
      </w:r>
    </w:p>
    <w:p w14:paraId="57777E01" w14:textId="77777777" w:rsidR="00505570" w:rsidRDefault="00505570" w:rsidP="00505570">
      <w:pPr>
        <w:pStyle w:val="LV2"/>
      </w:pPr>
      <w:r w:rsidRPr="00505570">
        <w:t>having typhoid fever within the 30 days before the clinical worsening of tinnitus;</w:t>
      </w:r>
    </w:p>
    <w:p w14:paraId="1E29CF6C" w14:textId="77777777" w:rsidR="00F752BB" w:rsidRDefault="00F752BB" w:rsidP="00F752BB">
      <w:pPr>
        <w:pStyle w:val="LV2"/>
      </w:pPr>
      <w:r w:rsidRPr="00F752BB">
        <w:t>undergoing a course of therapeutic radiation for cancer, where the auditory apparatus was in the field of radiation, before the clinical worsening of tinnitus;</w:t>
      </w:r>
    </w:p>
    <w:p w14:paraId="45071AA8" w14:textId="77777777" w:rsidR="00F752BB" w:rsidRDefault="00F752BB" w:rsidP="00F752BB">
      <w:pPr>
        <w:pStyle w:val="LV2"/>
        <w:keepNext/>
        <w:keepLines/>
      </w:pPr>
      <w:r w:rsidRPr="00F752BB">
        <w:t>having:</w:t>
      </w:r>
    </w:p>
    <w:p w14:paraId="3C967041" w14:textId="77777777" w:rsidR="00F752BB" w:rsidRDefault="00F752BB" w:rsidP="00F752BB">
      <w:pPr>
        <w:pStyle w:val="LV3"/>
        <w:keepNext/>
        <w:keepLines/>
      </w:pPr>
      <w:r w:rsidRPr="00F752BB">
        <w:tab/>
        <w:t>a cobalt-containing metal-on-metal hip prosthesis; or</w:t>
      </w:r>
    </w:p>
    <w:p w14:paraId="725D438E" w14:textId="77777777" w:rsidR="00F752BB" w:rsidRDefault="00F752BB" w:rsidP="00F752BB">
      <w:pPr>
        <w:pStyle w:val="LV3"/>
        <w:keepNext/>
        <w:keepLines/>
      </w:pPr>
      <w:r w:rsidRPr="00F752BB">
        <w:tab/>
        <w:t>a serum cobalt concentration of at least 200 micrograms per litre;</w:t>
      </w:r>
    </w:p>
    <w:p w14:paraId="7EF58589" w14:textId="77777777" w:rsidR="00F752BB" w:rsidRDefault="00F752BB" w:rsidP="00F752BB">
      <w:pPr>
        <w:pStyle w:val="LV2"/>
        <w:numPr>
          <w:ilvl w:val="0"/>
          <w:numId w:val="0"/>
        </w:numPr>
        <w:ind w:left="1418"/>
      </w:pPr>
      <w:proofErr w:type="gramStart"/>
      <w:r w:rsidRPr="00F752BB">
        <w:t>for</w:t>
      </w:r>
      <w:proofErr w:type="gramEnd"/>
      <w:r w:rsidRPr="00F752BB">
        <w:t xml:space="preserve"> at least the four weeks before the clinical </w:t>
      </w:r>
      <w:r>
        <w:t>worsening</w:t>
      </w:r>
      <w:r w:rsidRPr="00F752BB">
        <w:t xml:space="preserve"> of tinnitus;</w:t>
      </w:r>
    </w:p>
    <w:p w14:paraId="2C10C8CA" w14:textId="77777777" w:rsidR="00F752BB" w:rsidRDefault="00F752BB" w:rsidP="00F752BB">
      <w:pPr>
        <w:pStyle w:val="LV2"/>
      </w:pPr>
      <w:r w:rsidRPr="00F752BB">
        <w:t>having vitamin B1 (thiamine) or vitamin B12 (cobalamin) deficiency at the time of the clinical worsening of tinnitus;</w:t>
      </w:r>
    </w:p>
    <w:p w14:paraId="1AF3B624" w14:textId="77777777" w:rsidR="0057551D" w:rsidRDefault="0057551D" w:rsidP="0057551D">
      <w:pPr>
        <w:pStyle w:val="LV2"/>
      </w:pPr>
      <w:r w:rsidRPr="0057551D">
        <w:t>having carbon monoxide poisoning within the 48 hours before the clinical worsening of tinnitus;</w:t>
      </w:r>
    </w:p>
    <w:p w14:paraId="129F44DE" w14:textId="77777777" w:rsidR="007820AB" w:rsidRDefault="007820AB" w:rsidP="007820AB">
      <w:pPr>
        <w:pStyle w:val="LV2"/>
      </w:pPr>
      <w:r w:rsidRPr="007820AB">
        <w:lastRenderedPageBreak/>
        <w:t>having hypothyroidism for at least the three months before the clinical worsening of tinnitus;</w:t>
      </w:r>
    </w:p>
    <w:p w14:paraId="0321BE90" w14:textId="77777777" w:rsidR="00344190" w:rsidRDefault="00344190" w:rsidP="00344190">
      <w:pPr>
        <w:pStyle w:val="LV2"/>
      </w:pPr>
      <w:r w:rsidRPr="00344190">
        <w:t>having a clinically significant depressive disorder or a clinically significant anxiety disorder at the time of the clinical worsening of tinnitus;</w:t>
      </w:r>
    </w:p>
    <w:p w14:paraId="4098397C" w14:textId="77777777" w:rsidR="00344190" w:rsidRDefault="00344190" w:rsidP="00344190">
      <w:pPr>
        <w:pStyle w:val="Note2"/>
      </w:pPr>
      <w:r>
        <w:t xml:space="preserve">Note: </w:t>
      </w:r>
      <w:r w:rsidRPr="00344190">
        <w:rPr>
          <w:b/>
          <w:i/>
        </w:rPr>
        <w:t>clinically significant</w:t>
      </w:r>
      <w:r w:rsidRPr="00344190">
        <w:t xml:space="preserve"> is defined in the Schedule 1 </w:t>
      </w:r>
      <w:r>
        <w:t xml:space="preserve">- </w:t>
      </w:r>
      <w:r w:rsidRPr="00344190">
        <w:t>Dictionary.</w:t>
      </w:r>
    </w:p>
    <w:p w14:paraId="2AE2131B" w14:textId="3613FC18"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EE4FE8" w:rsidRPr="00EE4FE8">
        <w:t>tinnitus</w:t>
      </w:r>
      <w:r w:rsidR="00D5620B" w:rsidRPr="008D1B8B">
        <w:t>.</w:t>
      </w:r>
      <w:bookmarkEnd w:id="28"/>
    </w:p>
    <w:p w14:paraId="3E03C11C" w14:textId="77777777" w:rsidR="000C21A3" w:rsidRPr="00684C0E" w:rsidRDefault="00D32F71" w:rsidP="00253D7C">
      <w:pPr>
        <w:pStyle w:val="LV1"/>
      </w:pPr>
      <w:bookmarkStart w:id="29" w:name="_Toc54007992"/>
      <w:bookmarkStart w:id="30" w:name="_Ref402530057"/>
      <w:r>
        <w:t>Relationship to s</w:t>
      </w:r>
      <w:r w:rsidR="000C21A3" w:rsidRPr="00684C0E">
        <w:t>ervice</w:t>
      </w:r>
      <w:bookmarkEnd w:id="29"/>
    </w:p>
    <w:p w14:paraId="311421E5" w14:textId="77777777"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14:paraId="6C65160C" w14:textId="00B4134D"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1A7D22">
        <w:t>subsection</w:t>
      </w:r>
      <w:r w:rsidR="009056AF">
        <w:t>s</w:t>
      </w:r>
      <w:r w:rsidR="00FF1D47">
        <w:t xml:space="preserve"> </w:t>
      </w:r>
      <w:r w:rsidR="00DA3996">
        <w:t>9</w:t>
      </w:r>
      <w:r w:rsidR="00FF1D47">
        <w:t>(</w:t>
      </w:r>
      <w:r w:rsidR="001A7D22">
        <w:t>40</w:t>
      </w:r>
      <w:r w:rsidR="00FF1D47">
        <w:t>)</w:t>
      </w:r>
      <w:r w:rsidR="001A7D22">
        <w:t xml:space="preserve"> to 9(78)</w:t>
      </w:r>
      <w:r w:rsidR="00FF1D47">
        <w:t xml:space="preserve"> </w:t>
      </w:r>
      <w:r w:rsidRPr="00187DE1">
        <w:t>appl</w:t>
      </w:r>
      <w:r w:rsidR="001A7D22">
        <w:t>y</w:t>
      </w:r>
      <w:r w:rsidRPr="00187DE1">
        <w:t xml:space="preserve"> only to material contribution to, or aggravation of, </w:t>
      </w:r>
      <w:r w:rsidR="00EE4FE8" w:rsidRPr="00EE4FE8">
        <w:t>tinnitus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EE4FE8" w:rsidRPr="00EE4FE8">
        <w:t>tinnitus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14:paraId="7D0BAB9D" w14:textId="77777777" w:rsidR="00774897" w:rsidRPr="00301C54" w:rsidRDefault="00774897" w:rsidP="00253D7C">
      <w:pPr>
        <w:pStyle w:val="LV1"/>
      </w:pPr>
      <w:bookmarkStart w:id="31" w:name="_Toc54007993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14:paraId="43C39D8C" w14:textId="77777777" w:rsidR="00F03C06" w:rsidRPr="00E64EE4" w:rsidRDefault="00F03C06" w:rsidP="00253D7C">
      <w:pPr>
        <w:pStyle w:val="PlainIndent"/>
      </w:pPr>
      <w:r w:rsidRPr="00E64EE4">
        <w:t>In this Statement of Principles:</w:t>
      </w:r>
    </w:p>
    <w:p w14:paraId="427FD2E9" w14:textId="77777777"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14:paraId="3CCB0053" w14:textId="77777777"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14:paraId="52D83529" w14:textId="77777777"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14:paraId="4B7C4AE6" w14:textId="77777777" w:rsidR="00782F4E" w:rsidRPr="00E64EE4" w:rsidRDefault="00782F4E" w:rsidP="00253D7C">
      <w:pPr>
        <w:pStyle w:val="PlainIndent"/>
      </w:pPr>
    </w:p>
    <w:p w14:paraId="7A522DB2" w14:textId="77777777"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14:paraId="3DB00531" w14:textId="77777777" w:rsidR="00F03C06" w:rsidRDefault="00F03C06" w:rsidP="00253D7C">
      <w:pPr>
        <w:pStyle w:val="PlainIndent"/>
      </w:pPr>
    </w:p>
    <w:p w14:paraId="24C408A3" w14:textId="77777777"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4007994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14:paraId="0F8C14E8" w14:textId="77777777"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14:paraId="0C0ACAE5" w14:textId="77777777" w:rsidR="00BD3334" w:rsidRDefault="00702C42" w:rsidP="00516768">
      <w:pPr>
        <w:pStyle w:val="SH1"/>
      </w:pPr>
      <w:bookmarkStart w:id="35" w:name="_Toc405472918"/>
      <w:bookmarkStart w:id="36" w:name="_Toc54007995"/>
      <w:r w:rsidRPr="00D97BB3">
        <w:t>Definitions</w:t>
      </w:r>
      <w:bookmarkEnd w:id="35"/>
      <w:bookmarkEnd w:id="36"/>
    </w:p>
    <w:p w14:paraId="15167907" w14:textId="77777777" w:rsidR="00702C42" w:rsidRPr="00516768" w:rsidRDefault="00702C42" w:rsidP="00253D7C">
      <w:pPr>
        <w:pStyle w:val="SH2"/>
      </w:pPr>
      <w:r w:rsidRPr="00516768">
        <w:t>In this instrument:</w:t>
      </w:r>
    </w:p>
    <w:p w14:paraId="5DC6B706" w14:textId="61E98DA4" w:rsidR="00402772" w:rsidRDefault="00551C62" w:rsidP="00402772">
      <w:pPr>
        <w:pStyle w:val="SH3"/>
      </w:pPr>
      <w:bookmarkStart w:id="37" w:name="_Ref402530810"/>
      <w:proofErr w:type="gramStart"/>
      <w:r w:rsidRPr="00551C62">
        <w:rPr>
          <w:b/>
          <w:i/>
        </w:rPr>
        <w:t>acoustic</w:t>
      </w:r>
      <w:proofErr w:type="gramEnd"/>
      <w:r w:rsidRPr="00551C62">
        <w:rPr>
          <w:b/>
          <w:i/>
        </w:rPr>
        <w:t xml:space="preserve"> shock </w:t>
      </w:r>
      <w:r w:rsidR="00402772" w:rsidRPr="00402772">
        <w:t>means the development of acoustic shock symptoms within 30 days of being exposed to a brief, sudden, unexpected, loud sound.</w:t>
      </w:r>
    </w:p>
    <w:p w14:paraId="57EBAA2A" w14:textId="00265B2E" w:rsidR="00402772" w:rsidRPr="00402772" w:rsidRDefault="00402772" w:rsidP="00402772">
      <w:pPr>
        <w:pStyle w:val="ScheduleNote"/>
      </w:pPr>
      <w:r>
        <w:t xml:space="preserve">Note: </w:t>
      </w:r>
      <w:r>
        <w:rPr>
          <w:b/>
          <w:i/>
        </w:rPr>
        <w:t>acoustic shock symptoms</w:t>
      </w:r>
      <w:r>
        <w:t xml:space="preserve"> is also defined in the Schedule 1 - Dictionary.</w:t>
      </w:r>
    </w:p>
    <w:p w14:paraId="1A2DC01C" w14:textId="5DD26C40" w:rsidR="00551C62" w:rsidRDefault="00402772" w:rsidP="00551C62">
      <w:pPr>
        <w:pStyle w:val="SH3"/>
      </w:pPr>
      <w:r>
        <w:rPr>
          <w:b/>
          <w:i/>
        </w:rPr>
        <w:t xml:space="preserve">acoustic shock symptoms </w:t>
      </w:r>
      <w:r w:rsidR="00551C62" w:rsidRPr="00551C62">
        <w:t xml:space="preserve">means the acoustic shock symptoms identified in </w:t>
      </w:r>
      <w:r w:rsidR="00551C62" w:rsidRPr="00145A2D">
        <w:rPr>
          <w:i/>
        </w:rPr>
        <w:t>Work Health and Safety (Managing Noise and Preventing Hearing Loss at Work) Code of Practice 2015</w:t>
      </w:r>
      <w:r w:rsidR="00145A2D">
        <w:t>, as in force on 17 December 2015</w:t>
      </w:r>
      <w:r w:rsidR="00551C62" w:rsidRPr="00551C62">
        <w:t>, including:</w:t>
      </w:r>
    </w:p>
    <w:p w14:paraId="682FBF59" w14:textId="77777777" w:rsidR="00551C62" w:rsidRDefault="00551C62" w:rsidP="00BF50FA">
      <w:pPr>
        <w:pStyle w:val="SH4"/>
      </w:pPr>
      <w:r>
        <w:t>a feeling of fullness in the ear;</w:t>
      </w:r>
    </w:p>
    <w:p w14:paraId="65BB0AB5" w14:textId="346EAA27" w:rsidR="00551C62" w:rsidRDefault="00551C62" w:rsidP="008E5672">
      <w:pPr>
        <w:pStyle w:val="SH4"/>
      </w:pPr>
      <w:r>
        <w:t>burning sensations or sharp pain around or in the ear;</w:t>
      </w:r>
    </w:p>
    <w:p w14:paraId="53969D64" w14:textId="77777777" w:rsidR="00551C62" w:rsidRDefault="00551C62">
      <w:pPr>
        <w:pStyle w:val="SH4"/>
      </w:pPr>
      <w:r>
        <w:t>dizziness;</w:t>
      </w:r>
    </w:p>
    <w:p w14:paraId="5420E4C9" w14:textId="06EF128E" w:rsidR="00551C62" w:rsidRDefault="00551C62">
      <w:pPr>
        <w:pStyle w:val="SH4"/>
      </w:pPr>
      <w:r>
        <w:t xml:space="preserve">hypersensitivity (sensitivity to previously tolerated sounds such as loud voices, television and radio); </w:t>
      </w:r>
    </w:p>
    <w:p w14:paraId="0CF5DC99" w14:textId="77777777" w:rsidR="002E7ED3" w:rsidRDefault="00551C62">
      <w:pPr>
        <w:pStyle w:val="SH4"/>
      </w:pPr>
      <w:r>
        <w:t>hypervigilance</w:t>
      </w:r>
      <w:r w:rsidR="002E7ED3">
        <w:t>; and</w:t>
      </w:r>
    </w:p>
    <w:p w14:paraId="4F1C8A6F" w14:textId="1CA775EE" w:rsidR="00551C62" w:rsidRDefault="002E7ED3">
      <w:pPr>
        <w:pStyle w:val="SH4"/>
      </w:pPr>
      <w:proofErr w:type="gramStart"/>
      <w:r>
        <w:t>numbness</w:t>
      </w:r>
      <w:proofErr w:type="gramEnd"/>
      <w:r>
        <w:t>, tingling or soreness down the side of face, neck or shoulder</w:t>
      </w:r>
      <w:r w:rsidR="00551C62">
        <w:t>.</w:t>
      </w:r>
    </w:p>
    <w:p w14:paraId="14F7AEA7" w14:textId="77777777" w:rsidR="00551C62" w:rsidRPr="00551C62" w:rsidRDefault="00551C62" w:rsidP="00551C62">
      <w:pPr>
        <w:pStyle w:val="ScheduleNote"/>
        <w:ind w:left="1276" w:hanging="425"/>
      </w:pPr>
      <w:r>
        <w:t xml:space="preserve">Note: </w:t>
      </w:r>
      <w:r w:rsidRPr="00551C62">
        <w:t>The sounds associated with the development of acoustic shock symptoms include crackles, hisses, whistles, shrieks and high-pitched noises.</w:t>
      </w:r>
    </w:p>
    <w:p w14:paraId="7CF3E679" w14:textId="56914DCA" w:rsidR="001275AC" w:rsidRPr="001275AC" w:rsidRDefault="001275AC" w:rsidP="00EE4FE8">
      <w:pPr>
        <w:pStyle w:val="SH3"/>
      </w:pPr>
      <w:proofErr w:type="gramStart"/>
      <w:r w:rsidRPr="000205EA">
        <w:rPr>
          <w:b/>
          <w:i/>
        </w:rPr>
        <w:t>auditory</w:t>
      </w:r>
      <w:proofErr w:type="gramEnd"/>
      <w:r w:rsidRPr="000205EA">
        <w:rPr>
          <w:b/>
          <w:i/>
        </w:rPr>
        <w:t xml:space="preserve"> structure</w:t>
      </w:r>
      <w:r w:rsidRPr="001275AC">
        <w:t xml:space="preserve"> </w:t>
      </w:r>
      <w:r w:rsidR="00EE4FE8" w:rsidRPr="00EE4FE8">
        <w:t>means the inner ear, middle ear, cochlear nerve or vestibulocochlear nerve.</w:t>
      </w:r>
    </w:p>
    <w:p w14:paraId="33DDBDCC" w14:textId="77777777" w:rsidR="00344190" w:rsidRPr="00344190" w:rsidRDefault="00344190" w:rsidP="00344190">
      <w:pPr>
        <w:pStyle w:val="SH3"/>
      </w:pPr>
      <w:proofErr w:type="gramStart"/>
      <w:r>
        <w:rPr>
          <w:b/>
          <w:i/>
        </w:rPr>
        <w:t>being</w:t>
      </w:r>
      <w:proofErr w:type="gramEnd"/>
      <w:r>
        <w:rPr>
          <w:b/>
          <w:i/>
        </w:rPr>
        <w:t xml:space="preserve"> exposed to second-hand smoke</w:t>
      </w:r>
      <w:r>
        <w:t xml:space="preserve"> means </w:t>
      </w:r>
      <w:r w:rsidRPr="00344190">
        <w:t>being in an enclosed space and inhaling smoke from burning tobacco products or smoke that has been exhaled by another person who is smoking.</w:t>
      </w:r>
    </w:p>
    <w:p w14:paraId="5CC70F1A" w14:textId="77777777" w:rsidR="00BF50FA" w:rsidRPr="00DA0F68" w:rsidRDefault="00BF50FA" w:rsidP="00C94B58">
      <w:pPr>
        <w:pStyle w:val="SH3"/>
      </w:pPr>
      <w:proofErr w:type="gramStart"/>
      <w:r w:rsidRPr="002E0413">
        <w:rPr>
          <w:b/>
          <w:i/>
        </w:rPr>
        <w:t>chronic</w:t>
      </w:r>
      <w:proofErr w:type="gramEnd"/>
      <w:r w:rsidRPr="002E0413">
        <w:rPr>
          <w:b/>
          <w:i/>
        </w:rPr>
        <w:t xml:space="preserve"> </w:t>
      </w:r>
      <w:proofErr w:type="spellStart"/>
      <w:r w:rsidRPr="002E0413">
        <w:rPr>
          <w:b/>
          <w:i/>
        </w:rPr>
        <w:t>suppurative</w:t>
      </w:r>
      <w:proofErr w:type="spellEnd"/>
      <w:r w:rsidRPr="002E0413">
        <w:rPr>
          <w:b/>
          <w:i/>
        </w:rPr>
        <w:t xml:space="preserve"> otitis media</w:t>
      </w:r>
      <w:r w:rsidRPr="002E0413">
        <w:rPr>
          <w:rFonts w:ascii="TimesNewRomanPS-BoldMT" w:hAnsi="TimesNewRomanPS-BoldMT" w:cs="TimesNewRomanPS-BoldMT"/>
          <w:bCs/>
        </w:rPr>
        <w:t xml:space="preserve"> </w:t>
      </w:r>
      <w:r w:rsidRPr="002E0413">
        <w:rPr>
          <w:rFonts w:eastAsia="TimesNewRomanPSMT" w:hAnsi="TimesNewRomanPS-BoldMT"/>
        </w:rPr>
        <w:t>means a recurrent or continuous infective disorder of the middle ear characterised by perforation of the tympanic membrane and aural discharge.</w:t>
      </w:r>
    </w:p>
    <w:p w14:paraId="5B9B4A09" w14:textId="77777777" w:rsidR="00C94B58" w:rsidRDefault="00C94B58" w:rsidP="00C94B58">
      <w:pPr>
        <w:pStyle w:val="SH3"/>
      </w:pPr>
      <w:proofErr w:type="gramStart"/>
      <w:r w:rsidRPr="00C94B58">
        <w:rPr>
          <w:b/>
          <w:i/>
        </w:rPr>
        <w:t>clinically</w:t>
      </w:r>
      <w:proofErr w:type="gramEnd"/>
      <w:r w:rsidRPr="00C94B58">
        <w:rPr>
          <w:b/>
          <w:i/>
        </w:rPr>
        <w:t xml:space="preserve"> significant</w:t>
      </w:r>
      <w:r w:rsidRPr="00C94B58">
        <w:t xml:space="preserve"> means sufficient to warrant ongoing management, which may involve regular visits (for example, at least monthly), to a psychiatrist, counsellor or general practitioner.</w:t>
      </w:r>
    </w:p>
    <w:p w14:paraId="6F742331" w14:textId="77777777" w:rsidR="00692C6B" w:rsidRPr="00C94B58" w:rsidRDefault="00692C6B" w:rsidP="00692C6B">
      <w:pPr>
        <w:pStyle w:val="ScheduleNote"/>
        <w:ind w:left="1276" w:hanging="425"/>
      </w:pPr>
      <w:r>
        <w:t xml:space="preserve">Note: </w:t>
      </w:r>
      <w:r w:rsidRPr="00692C6B">
        <w:t>To warrant ongoing management does not require that any actual management was received or given for the condition.</w:t>
      </w:r>
    </w:p>
    <w:p w14:paraId="55770C88" w14:textId="77777777" w:rsidR="001275AC" w:rsidRPr="001275AC" w:rsidRDefault="001275AC" w:rsidP="001275AC">
      <w:pPr>
        <w:pStyle w:val="SH3"/>
      </w:pPr>
      <w:proofErr w:type="gramStart"/>
      <w:r w:rsidRPr="001275AC">
        <w:rPr>
          <w:b/>
          <w:i/>
        </w:rPr>
        <w:t>dB(</w:t>
      </w:r>
      <w:proofErr w:type="gramEnd"/>
      <w:r w:rsidRPr="001275AC">
        <w:rPr>
          <w:b/>
          <w:i/>
        </w:rPr>
        <w:t>A)</w:t>
      </w:r>
      <w:r w:rsidRPr="001275AC">
        <w:t xml:space="preserve"> means the sound pressure level in decibels measured by a sound level meter using a type A electronic filter.</w:t>
      </w:r>
    </w:p>
    <w:p w14:paraId="53288F74" w14:textId="4E5323C1" w:rsidR="0046232B" w:rsidRDefault="0046232B" w:rsidP="0046232B">
      <w:pPr>
        <w:pStyle w:val="SH3"/>
      </w:pPr>
      <w:proofErr w:type="gramStart"/>
      <w:r w:rsidRPr="0046232B">
        <w:rPr>
          <w:b/>
          <w:i/>
        </w:rPr>
        <w:t>dB(</w:t>
      </w:r>
      <w:proofErr w:type="gramEnd"/>
      <w:r w:rsidRPr="0046232B">
        <w:rPr>
          <w:b/>
          <w:i/>
        </w:rPr>
        <w:t>C)</w:t>
      </w:r>
      <w:r w:rsidRPr="0046232B">
        <w:t xml:space="preserve"> means the sound pressure level in decibels measured by a sound level meter usi</w:t>
      </w:r>
      <w:r w:rsidR="008548A7">
        <w:t xml:space="preserve">ng a type C electronic filter. </w:t>
      </w:r>
      <w:r w:rsidRPr="0046232B">
        <w:t>The type C filter is used to measure peak or impact sound pressure levels.</w:t>
      </w:r>
    </w:p>
    <w:p w14:paraId="56142B02" w14:textId="77777777" w:rsidR="00BC7E3E" w:rsidRDefault="00BC7E3E" w:rsidP="00BC7E3E">
      <w:pPr>
        <w:pStyle w:val="SH3"/>
      </w:pPr>
      <w:proofErr w:type="spellStart"/>
      <w:proofErr w:type="gramStart"/>
      <w:r w:rsidRPr="00BC7E3E">
        <w:rPr>
          <w:b/>
          <w:i/>
        </w:rPr>
        <w:t>hyperviscosity</w:t>
      </w:r>
      <w:proofErr w:type="spellEnd"/>
      <w:proofErr w:type="gramEnd"/>
      <w:r w:rsidRPr="00BC7E3E">
        <w:rPr>
          <w:b/>
          <w:i/>
        </w:rPr>
        <w:t xml:space="preserve"> syndrome</w:t>
      </w:r>
      <w:r w:rsidRPr="00BC7E3E">
        <w:t xml:space="preserve"> means a disorder causing an increased viscosity of the blood.</w:t>
      </w:r>
    </w:p>
    <w:p w14:paraId="5EC2CBB5" w14:textId="77777777" w:rsidR="00C3358D" w:rsidRDefault="00C3358D" w:rsidP="00C3358D">
      <w:pPr>
        <w:pStyle w:val="ScheduleNote"/>
        <w:ind w:left="1276" w:hanging="425"/>
      </w:pPr>
      <w:r>
        <w:t xml:space="preserve">Note: </w:t>
      </w:r>
      <w:r w:rsidRPr="00C3358D">
        <w:t xml:space="preserve">Examples of disorders causing an increased viscosity of the blood include polycythaemia and </w:t>
      </w:r>
      <w:proofErr w:type="spellStart"/>
      <w:r w:rsidRPr="00C3358D">
        <w:t>Waldenstrom</w:t>
      </w:r>
      <w:proofErr w:type="spellEnd"/>
      <w:r w:rsidRPr="00C3358D">
        <w:t xml:space="preserve"> </w:t>
      </w:r>
      <w:proofErr w:type="spellStart"/>
      <w:r w:rsidRPr="00C3358D">
        <w:t>macroglobulinaemia</w:t>
      </w:r>
      <w:proofErr w:type="spellEnd"/>
      <w:r w:rsidRPr="00C3358D">
        <w:t>.</w:t>
      </w:r>
    </w:p>
    <w:p w14:paraId="720DD2BD" w14:textId="77777777" w:rsidR="00885EAB" w:rsidRPr="009C404D" w:rsidRDefault="007B52F6" w:rsidP="00FA58D5">
      <w:pPr>
        <w:pStyle w:val="SH3"/>
      </w:pPr>
      <w:r w:rsidRPr="007B52F6">
        <w:lastRenderedPageBreak/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14:paraId="175AA3C2" w14:textId="77777777" w:rsidR="00344190" w:rsidRDefault="00344190" w:rsidP="00344190">
      <w:pPr>
        <w:pStyle w:val="SH3"/>
      </w:pPr>
      <w:bookmarkStart w:id="38" w:name="_Ref402529607"/>
      <w:bookmarkEnd w:id="37"/>
      <w:r w:rsidRPr="00344190">
        <w:rPr>
          <w:b/>
          <w:i/>
        </w:rPr>
        <w:t>pack-year of tobacco products</w:t>
      </w:r>
      <w:r w:rsidRPr="00344190">
        <w:t xml:space="preserve"> means:</w:t>
      </w:r>
    </w:p>
    <w:p w14:paraId="0B491023" w14:textId="77777777" w:rsidR="00344190" w:rsidRDefault="00344190" w:rsidP="00BF50FA">
      <w:pPr>
        <w:pStyle w:val="SH4"/>
      </w:pPr>
      <w:r>
        <w:t>20 cigarettes per day for a period of one calendar year; or</w:t>
      </w:r>
    </w:p>
    <w:p w14:paraId="0CFCCD35" w14:textId="77777777" w:rsidR="00344190" w:rsidRDefault="00344190" w:rsidP="00BF50FA">
      <w:pPr>
        <w:pStyle w:val="SH4"/>
      </w:pPr>
      <w:r>
        <w:t>7,300 cigarettes in a period of one calendar year; or</w:t>
      </w:r>
    </w:p>
    <w:p w14:paraId="59593076" w14:textId="77777777" w:rsidR="00344190" w:rsidRPr="00344190" w:rsidRDefault="00344190">
      <w:pPr>
        <w:pStyle w:val="SH4"/>
      </w:pPr>
      <w:r>
        <w:t>7,300 grams of smoking tobacco by weight, either in cigarettes, pipe tobacco or cigars, or a combination of same, in a period of one calendar year.</w:t>
      </w:r>
    </w:p>
    <w:p w14:paraId="4DA50046" w14:textId="77777777" w:rsidR="0090262E" w:rsidRPr="0090262E" w:rsidRDefault="0090262E" w:rsidP="00576E99">
      <w:pPr>
        <w:pStyle w:val="SH3"/>
      </w:pPr>
      <w:r w:rsidRPr="00E424C8">
        <w:rPr>
          <w:b/>
          <w:i/>
        </w:rPr>
        <w:t>relevant service</w:t>
      </w:r>
      <w:r w:rsidRPr="0090262E">
        <w:t xml:space="preserve"> means:</w:t>
      </w:r>
    </w:p>
    <w:p w14:paraId="4E085C5D" w14:textId="77777777" w:rsidR="0090262E" w:rsidRPr="0090262E" w:rsidRDefault="0090262E" w:rsidP="00BF50FA">
      <w:pPr>
        <w:pStyle w:val="SH4"/>
      </w:pPr>
      <w:r w:rsidRPr="0090262E">
        <w:t xml:space="preserve">operational service under the VEA; </w:t>
      </w:r>
    </w:p>
    <w:p w14:paraId="31CC3AF2" w14:textId="77777777" w:rsidR="0090262E" w:rsidRPr="0090262E" w:rsidRDefault="0090262E" w:rsidP="00AA7A0F">
      <w:pPr>
        <w:pStyle w:val="SH4"/>
      </w:pPr>
      <w:r w:rsidRPr="0090262E">
        <w:t xml:space="preserve">peacekeeping service under the VEA; </w:t>
      </w:r>
    </w:p>
    <w:p w14:paraId="02FE239E" w14:textId="77777777" w:rsidR="0090262E" w:rsidRPr="0090262E" w:rsidRDefault="0090262E">
      <w:pPr>
        <w:pStyle w:val="SH4"/>
      </w:pPr>
      <w:r w:rsidRPr="0090262E">
        <w:t xml:space="preserve">hazardous service under the VEA; </w:t>
      </w:r>
    </w:p>
    <w:p w14:paraId="6AA925BC" w14:textId="77777777" w:rsidR="0090262E" w:rsidRPr="0090262E" w:rsidRDefault="0090262E">
      <w:pPr>
        <w:pStyle w:val="SH4"/>
      </w:pPr>
      <w:r w:rsidRPr="0090262E">
        <w:t>British nuclear test defence service under the VEA;</w:t>
      </w:r>
    </w:p>
    <w:p w14:paraId="7619861F" w14:textId="77777777" w:rsidR="0090262E" w:rsidRPr="0090262E" w:rsidRDefault="0090262E">
      <w:pPr>
        <w:pStyle w:val="SH4"/>
      </w:pPr>
      <w:r w:rsidRPr="0090262E">
        <w:t>warlike service under the MRCA; or</w:t>
      </w:r>
    </w:p>
    <w:p w14:paraId="4C3B4886" w14:textId="77777777" w:rsidR="00885EAB" w:rsidRPr="0090262E" w:rsidRDefault="0090262E">
      <w:pPr>
        <w:pStyle w:val="SH4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14:paraId="195A20DD" w14:textId="77777777"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14:paraId="31AB6C24" w14:textId="77777777" w:rsidR="00D11D5F" w:rsidRDefault="00D11D5F" w:rsidP="00D11D5F">
      <w:pPr>
        <w:pStyle w:val="SH3"/>
      </w:pPr>
      <w:r w:rsidRPr="00D11D5F">
        <w:rPr>
          <w:b/>
          <w:i/>
        </w:rPr>
        <w:t>specified list of bacterial infections</w:t>
      </w:r>
      <w:r w:rsidRPr="00D11D5F">
        <w:t xml:space="preserve"> means:</w:t>
      </w:r>
    </w:p>
    <w:p w14:paraId="18608137" w14:textId="77777777" w:rsidR="00D11D5F" w:rsidRDefault="00D11D5F" w:rsidP="00BF50FA">
      <w:pPr>
        <w:pStyle w:val="SH4"/>
      </w:pPr>
      <w:r>
        <w:t>acute otitis media of the affected side;</w:t>
      </w:r>
    </w:p>
    <w:p w14:paraId="4949D02E" w14:textId="77777777" w:rsidR="00D11D5F" w:rsidRDefault="00D11D5F" w:rsidP="00AA7A0F">
      <w:pPr>
        <w:pStyle w:val="SH4"/>
      </w:pPr>
      <w:r>
        <w:t xml:space="preserve">chronic </w:t>
      </w:r>
      <w:proofErr w:type="spellStart"/>
      <w:r>
        <w:t>suppurative</w:t>
      </w:r>
      <w:proofErr w:type="spellEnd"/>
      <w:r>
        <w:t xml:space="preserve"> otitis media of the affected side; </w:t>
      </w:r>
    </w:p>
    <w:p w14:paraId="2FC44D34" w14:textId="77777777" w:rsidR="00D11D5F" w:rsidRDefault="00D11D5F">
      <w:pPr>
        <w:pStyle w:val="SH4"/>
      </w:pPr>
      <w:r>
        <w:t>Lyme disease; or</w:t>
      </w:r>
    </w:p>
    <w:p w14:paraId="18D28B3A" w14:textId="77777777" w:rsidR="00D11D5F" w:rsidRPr="00D11D5F" w:rsidRDefault="00D11D5F">
      <w:pPr>
        <w:pStyle w:val="SH4"/>
      </w:pPr>
      <w:proofErr w:type="spellStart"/>
      <w:proofErr w:type="gramStart"/>
      <w:r>
        <w:t>suppurative</w:t>
      </w:r>
      <w:proofErr w:type="spellEnd"/>
      <w:proofErr w:type="gramEnd"/>
      <w:r>
        <w:t xml:space="preserve"> </w:t>
      </w:r>
      <w:proofErr w:type="spellStart"/>
      <w:r>
        <w:t>labyrinthitis</w:t>
      </w:r>
      <w:proofErr w:type="spellEnd"/>
      <w:r>
        <w:t xml:space="preserve"> of the affected side.</w:t>
      </w:r>
    </w:p>
    <w:p w14:paraId="6033E08C" w14:textId="610C65C7" w:rsidR="00BF50FA" w:rsidRPr="00BF50FA" w:rsidRDefault="00BF50FA" w:rsidP="009D74F6">
      <w:pPr>
        <w:pStyle w:val="ScheduleNote"/>
        <w:ind w:left="1276" w:hanging="425"/>
      </w:pPr>
      <w:r w:rsidRPr="00BF50FA">
        <w:t xml:space="preserve">Note: </w:t>
      </w:r>
      <w:r w:rsidR="009D74F6">
        <w:rPr>
          <w:b/>
          <w:i/>
        </w:rPr>
        <w:t xml:space="preserve">chronic </w:t>
      </w:r>
      <w:proofErr w:type="spellStart"/>
      <w:r w:rsidR="009D74F6">
        <w:rPr>
          <w:b/>
          <w:i/>
        </w:rPr>
        <w:t>suppurative</w:t>
      </w:r>
      <w:proofErr w:type="spellEnd"/>
      <w:r w:rsidRPr="00BF50FA">
        <w:rPr>
          <w:b/>
          <w:i/>
        </w:rPr>
        <w:t xml:space="preserve"> otitis media</w:t>
      </w:r>
      <w:r>
        <w:t xml:space="preserve"> and </w:t>
      </w:r>
      <w:r w:rsidRPr="00BF50FA">
        <w:rPr>
          <w:b/>
          <w:i/>
        </w:rPr>
        <w:tab/>
      </w:r>
      <w:proofErr w:type="spellStart"/>
      <w:r w:rsidR="009D74F6">
        <w:rPr>
          <w:b/>
          <w:i/>
        </w:rPr>
        <w:t>suppurative</w:t>
      </w:r>
      <w:proofErr w:type="spellEnd"/>
      <w:r w:rsidR="009D74F6">
        <w:rPr>
          <w:b/>
          <w:i/>
        </w:rPr>
        <w:t xml:space="preserve"> </w:t>
      </w:r>
      <w:proofErr w:type="spellStart"/>
      <w:r w:rsidR="009D74F6">
        <w:rPr>
          <w:b/>
          <w:i/>
        </w:rPr>
        <w:t>labyrinthitis</w:t>
      </w:r>
      <w:proofErr w:type="spellEnd"/>
      <w:r w:rsidRPr="00BF50FA">
        <w:t xml:space="preserve"> </w:t>
      </w:r>
      <w:r>
        <w:t>are</w:t>
      </w:r>
      <w:r w:rsidRPr="00BF50FA">
        <w:t xml:space="preserve"> also defined in the Schedule</w:t>
      </w:r>
      <w:r w:rsidR="009D74F6">
        <w:t> </w:t>
      </w:r>
      <w:r w:rsidRPr="00BF50FA">
        <w:t>1 - Dictionary.</w:t>
      </w:r>
    </w:p>
    <w:p w14:paraId="413A48B4" w14:textId="77777777" w:rsidR="00DF2899" w:rsidRDefault="00DF2899" w:rsidP="00DF2899">
      <w:pPr>
        <w:pStyle w:val="SH3"/>
      </w:pPr>
      <w:r w:rsidRPr="00DF2899">
        <w:rPr>
          <w:b/>
          <w:i/>
        </w:rPr>
        <w:t>specified list of bone diseases</w:t>
      </w:r>
      <w:r w:rsidRPr="00DF2899">
        <w:t xml:space="preserve"> means:</w:t>
      </w:r>
    </w:p>
    <w:p w14:paraId="7404062B" w14:textId="77777777" w:rsidR="00DF2899" w:rsidRDefault="00DF2899" w:rsidP="00BF50FA">
      <w:pPr>
        <w:pStyle w:val="SH4"/>
      </w:pPr>
      <w:r>
        <w:t>acromegaly;</w:t>
      </w:r>
    </w:p>
    <w:p w14:paraId="596D8539" w14:textId="77777777" w:rsidR="00DF2899" w:rsidRDefault="00DF2899" w:rsidP="00AA7A0F">
      <w:pPr>
        <w:pStyle w:val="SH4"/>
      </w:pPr>
      <w:proofErr w:type="spellStart"/>
      <w:r>
        <w:t>otosclerosis</w:t>
      </w:r>
      <w:proofErr w:type="spellEnd"/>
      <w:r>
        <w:t xml:space="preserve">; or </w:t>
      </w:r>
    </w:p>
    <w:p w14:paraId="599CC13C" w14:textId="77777777" w:rsidR="00DF2899" w:rsidRPr="00DF2899" w:rsidRDefault="00DF2899">
      <w:pPr>
        <w:pStyle w:val="SH4"/>
      </w:pPr>
      <w:r>
        <w:t>Paget's disease of bone.</w:t>
      </w:r>
    </w:p>
    <w:p w14:paraId="6DADF95B" w14:textId="77777777" w:rsidR="006F429D" w:rsidRDefault="006F429D" w:rsidP="006F429D">
      <w:pPr>
        <w:pStyle w:val="SH3"/>
      </w:pPr>
      <w:r w:rsidRPr="006F429D">
        <w:rPr>
          <w:b/>
          <w:i/>
        </w:rPr>
        <w:t>specified list of chemical agents</w:t>
      </w:r>
      <w:r w:rsidRPr="006F429D">
        <w:t xml:space="preserve"> means:</w:t>
      </w:r>
    </w:p>
    <w:p w14:paraId="4643FABD" w14:textId="77777777" w:rsidR="006F429D" w:rsidRDefault="006F429D" w:rsidP="00BF50FA">
      <w:pPr>
        <w:pStyle w:val="SH4"/>
      </w:pPr>
      <w:r>
        <w:t xml:space="preserve">aminoglycoside-containing ear drops;  </w:t>
      </w:r>
    </w:p>
    <w:p w14:paraId="38F7070B" w14:textId="77777777" w:rsidR="006F429D" w:rsidRDefault="006F429D" w:rsidP="00AA7A0F">
      <w:pPr>
        <w:pStyle w:val="SH4"/>
      </w:pPr>
      <w:proofErr w:type="spellStart"/>
      <w:r>
        <w:t>Burow's</w:t>
      </w:r>
      <w:proofErr w:type="spellEnd"/>
      <w:r>
        <w:t xml:space="preserve"> solution (5% aluminium </w:t>
      </w:r>
      <w:proofErr w:type="spellStart"/>
      <w:r>
        <w:t>subacetate</w:t>
      </w:r>
      <w:proofErr w:type="spellEnd"/>
      <w:r>
        <w:t>);</w:t>
      </w:r>
    </w:p>
    <w:p w14:paraId="77D5F76D" w14:textId="77777777" w:rsidR="006F429D" w:rsidRDefault="006F429D">
      <w:pPr>
        <w:pStyle w:val="SH4"/>
      </w:pPr>
      <w:r>
        <w:t>chloramphenicol-containing ear drops; or</w:t>
      </w:r>
    </w:p>
    <w:p w14:paraId="668206E8" w14:textId="77777777" w:rsidR="006F429D" w:rsidRPr="006F429D" w:rsidRDefault="006F429D">
      <w:pPr>
        <w:pStyle w:val="SH4"/>
      </w:pPr>
      <w:proofErr w:type="gramStart"/>
      <w:r>
        <w:t>surgical</w:t>
      </w:r>
      <w:proofErr w:type="gramEnd"/>
      <w:r>
        <w:t xml:space="preserve"> antiseptics.</w:t>
      </w:r>
    </w:p>
    <w:p w14:paraId="254FEB4B" w14:textId="77777777" w:rsidR="00411834" w:rsidRDefault="00411834" w:rsidP="00411834">
      <w:pPr>
        <w:pStyle w:val="SH3"/>
      </w:pPr>
      <w:r w:rsidRPr="00411834">
        <w:rPr>
          <w:b/>
          <w:i/>
        </w:rPr>
        <w:t>specified list of drugs</w:t>
      </w:r>
      <w:r w:rsidRPr="00411834">
        <w:t xml:space="preserve"> means:</w:t>
      </w:r>
    </w:p>
    <w:p w14:paraId="06025D23" w14:textId="77777777" w:rsidR="00411834" w:rsidRDefault="00411834" w:rsidP="00BF50FA">
      <w:pPr>
        <w:pStyle w:val="SH4"/>
      </w:pPr>
      <w:r>
        <w:t>α-</w:t>
      </w:r>
      <w:proofErr w:type="spellStart"/>
      <w:r>
        <w:t>difluoromethylornithine</w:t>
      </w:r>
      <w:proofErr w:type="spellEnd"/>
      <w:r>
        <w:t xml:space="preserve"> (</w:t>
      </w:r>
      <w:proofErr w:type="spellStart"/>
      <w:r>
        <w:t>eflornithine</w:t>
      </w:r>
      <w:proofErr w:type="spellEnd"/>
      <w:r>
        <w:t>);</w:t>
      </w:r>
    </w:p>
    <w:p w14:paraId="23BBC6BB" w14:textId="77777777" w:rsidR="00411834" w:rsidRDefault="00411834" w:rsidP="00AA7A0F">
      <w:pPr>
        <w:pStyle w:val="SH4"/>
      </w:pPr>
      <w:r>
        <w:t>2-hydroxypropyl- b-</w:t>
      </w:r>
      <w:proofErr w:type="spellStart"/>
      <w:r>
        <w:t>cyclodextrin</w:t>
      </w:r>
      <w:proofErr w:type="spellEnd"/>
      <w:r>
        <w:t xml:space="preserve"> (</w:t>
      </w:r>
      <w:proofErr w:type="spellStart"/>
      <w:r>
        <w:t>HPbCD</w:t>
      </w:r>
      <w:proofErr w:type="spellEnd"/>
      <w:r>
        <w:t>);</w:t>
      </w:r>
    </w:p>
    <w:p w14:paraId="75C3C48E" w14:textId="77777777" w:rsidR="00411834" w:rsidRDefault="00411834">
      <w:pPr>
        <w:pStyle w:val="SH4"/>
      </w:pPr>
      <w:r>
        <w:t>aminoglycoside antibiotics;</w:t>
      </w:r>
    </w:p>
    <w:p w14:paraId="72586682" w14:textId="77777777" w:rsidR="00411834" w:rsidRDefault="00411834">
      <w:pPr>
        <w:pStyle w:val="SH4"/>
      </w:pPr>
      <w:proofErr w:type="spellStart"/>
      <w:r>
        <w:t>carbimazole</w:t>
      </w:r>
      <w:proofErr w:type="spellEnd"/>
      <w:r>
        <w:t>;</w:t>
      </w:r>
    </w:p>
    <w:p w14:paraId="44616ADC" w14:textId="77777777" w:rsidR="00411834" w:rsidRDefault="00411834">
      <w:pPr>
        <w:pStyle w:val="SH4"/>
      </w:pPr>
      <w:r>
        <w:t>carboplatin;</w:t>
      </w:r>
    </w:p>
    <w:p w14:paraId="684D4778" w14:textId="77777777" w:rsidR="00411834" w:rsidRDefault="00411834">
      <w:pPr>
        <w:pStyle w:val="SH4"/>
      </w:pPr>
      <w:r>
        <w:t>cisplatin;</w:t>
      </w:r>
    </w:p>
    <w:p w14:paraId="77BBC6B8" w14:textId="77777777" w:rsidR="00411834" w:rsidRDefault="00411834">
      <w:pPr>
        <w:pStyle w:val="SH4"/>
      </w:pPr>
      <w:r>
        <w:t xml:space="preserve">loop diuretics;    </w:t>
      </w:r>
    </w:p>
    <w:p w14:paraId="79C371E8" w14:textId="77777777" w:rsidR="00411834" w:rsidRDefault="00411834">
      <w:pPr>
        <w:pStyle w:val="SH4"/>
      </w:pPr>
      <w:r>
        <w:t xml:space="preserve">macrolide antibiotics;  </w:t>
      </w:r>
    </w:p>
    <w:p w14:paraId="59F5D53B" w14:textId="77777777" w:rsidR="00411834" w:rsidRDefault="00411834">
      <w:pPr>
        <w:pStyle w:val="SH4"/>
      </w:pPr>
      <w:r>
        <w:t>opioids;</w:t>
      </w:r>
    </w:p>
    <w:p w14:paraId="47020D54" w14:textId="77777777" w:rsidR="00411834" w:rsidRDefault="00411834">
      <w:pPr>
        <w:pStyle w:val="SH4"/>
      </w:pPr>
      <w:proofErr w:type="spellStart"/>
      <w:r>
        <w:t>oxaliplatin</w:t>
      </w:r>
      <w:proofErr w:type="spellEnd"/>
      <w:r>
        <w:t>;</w:t>
      </w:r>
    </w:p>
    <w:p w14:paraId="34C621A3" w14:textId="77777777" w:rsidR="00411834" w:rsidRDefault="00411834">
      <w:pPr>
        <w:pStyle w:val="SH4"/>
      </w:pPr>
      <w:r>
        <w:t xml:space="preserve">phosphodiesterase 5 inhibitors; </w:t>
      </w:r>
    </w:p>
    <w:p w14:paraId="3005470D" w14:textId="77777777" w:rsidR="00411834" w:rsidRDefault="00C23CAA">
      <w:pPr>
        <w:pStyle w:val="SH4"/>
      </w:pPr>
      <w:proofErr w:type="spellStart"/>
      <w:r>
        <w:t>propylthiouracil</w:t>
      </w:r>
      <w:proofErr w:type="spellEnd"/>
      <w:r>
        <w:t>;</w:t>
      </w:r>
    </w:p>
    <w:p w14:paraId="55839995" w14:textId="77777777" w:rsidR="00411834" w:rsidRDefault="00411834">
      <w:pPr>
        <w:pStyle w:val="SH4"/>
      </w:pPr>
      <w:r>
        <w:lastRenderedPageBreak/>
        <w:t>quinidine;</w:t>
      </w:r>
    </w:p>
    <w:p w14:paraId="34A7DD7E" w14:textId="77777777" w:rsidR="00411834" w:rsidRDefault="00411834">
      <w:pPr>
        <w:pStyle w:val="SH4"/>
      </w:pPr>
      <w:r>
        <w:t xml:space="preserve">quinine and quinine derivatives, including </w:t>
      </w:r>
      <w:proofErr w:type="spellStart"/>
      <w:r>
        <w:t>mefloquine</w:t>
      </w:r>
      <w:proofErr w:type="spellEnd"/>
      <w:r>
        <w:t xml:space="preserve">; </w:t>
      </w:r>
    </w:p>
    <w:p w14:paraId="26E907FC" w14:textId="77777777" w:rsidR="00411834" w:rsidRDefault="00411834">
      <w:pPr>
        <w:pStyle w:val="SH4"/>
      </w:pPr>
      <w:r>
        <w:t>vancomycin; or</w:t>
      </w:r>
    </w:p>
    <w:p w14:paraId="54E426E3" w14:textId="77777777" w:rsidR="00411834" w:rsidRPr="00411834" w:rsidRDefault="00C23CAA">
      <w:pPr>
        <w:pStyle w:val="SH4"/>
      </w:pPr>
      <w:proofErr w:type="spellStart"/>
      <w:proofErr w:type="gramStart"/>
      <w:r>
        <w:t>vinca</w:t>
      </w:r>
      <w:proofErr w:type="spellEnd"/>
      <w:proofErr w:type="gramEnd"/>
      <w:r>
        <w:t xml:space="preserve"> alkaloids.</w:t>
      </w:r>
    </w:p>
    <w:p w14:paraId="4FB4B239" w14:textId="77777777" w:rsidR="00BC7E3E" w:rsidRDefault="00BC7E3E" w:rsidP="00BF50FA">
      <w:pPr>
        <w:pStyle w:val="SH3"/>
      </w:pPr>
      <w:r w:rsidRPr="00BC7E3E">
        <w:rPr>
          <w:b/>
          <w:i/>
        </w:rPr>
        <w:t>specified list of haematological diseases</w:t>
      </w:r>
      <w:r w:rsidRPr="00BC7E3E">
        <w:t xml:space="preserve"> means:</w:t>
      </w:r>
    </w:p>
    <w:p w14:paraId="622613CA" w14:textId="77777777" w:rsidR="00BC7E3E" w:rsidRDefault="00BC7E3E" w:rsidP="00BF50FA">
      <w:pPr>
        <w:pStyle w:val="SH4"/>
      </w:pPr>
      <w:r>
        <w:t>aplastic anaemia;</w:t>
      </w:r>
    </w:p>
    <w:p w14:paraId="69D2197A" w14:textId="77777777" w:rsidR="00BC7E3E" w:rsidRDefault="00BC7E3E" w:rsidP="00AA7A0F">
      <w:pPr>
        <w:pStyle w:val="SH4"/>
      </w:pPr>
      <w:proofErr w:type="spellStart"/>
      <w:r>
        <w:t>hyperviscosity</w:t>
      </w:r>
      <w:proofErr w:type="spellEnd"/>
      <w:r>
        <w:t xml:space="preserve"> syndrome;</w:t>
      </w:r>
    </w:p>
    <w:p w14:paraId="3C284925" w14:textId="77777777" w:rsidR="00BC7E3E" w:rsidRDefault="00BC7E3E">
      <w:pPr>
        <w:pStyle w:val="SH4"/>
      </w:pPr>
      <w:proofErr w:type="spellStart"/>
      <w:r>
        <w:t>Langerhan</w:t>
      </w:r>
      <w:proofErr w:type="spellEnd"/>
      <w:r>
        <w:t xml:space="preserve"> cell </w:t>
      </w:r>
      <w:proofErr w:type="spellStart"/>
      <w:r>
        <w:t>histiocytosis</w:t>
      </w:r>
      <w:proofErr w:type="spellEnd"/>
      <w:r>
        <w:t>;</w:t>
      </w:r>
    </w:p>
    <w:p w14:paraId="708AD287" w14:textId="77777777" w:rsidR="00BC7E3E" w:rsidRDefault="00BC7E3E">
      <w:pPr>
        <w:pStyle w:val="SH4"/>
      </w:pPr>
      <w:r>
        <w:t>leukaemia;</w:t>
      </w:r>
    </w:p>
    <w:p w14:paraId="18BB66D4" w14:textId="77777777" w:rsidR="00BC7E3E" w:rsidRDefault="00BC7E3E">
      <w:pPr>
        <w:pStyle w:val="SH4"/>
      </w:pPr>
      <w:r>
        <w:t>myelodysplastic syndrome; or</w:t>
      </w:r>
    </w:p>
    <w:p w14:paraId="68648823" w14:textId="77777777" w:rsidR="00BC7E3E" w:rsidRDefault="00BC7E3E">
      <w:pPr>
        <w:pStyle w:val="SH4"/>
      </w:pPr>
      <w:proofErr w:type="gramStart"/>
      <w:r>
        <w:t>sickle-cell</w:t>
      </w:r>
      <w:proofErr w:type="gramEnd"/>
      <w:r>
        <w:t xml:space="preserve"> disorder.</w:t>
      </w:r>
    </w:p>
    <w:p w14:paraId="73C79E99" w14:textId="77777777" w:rsidR="00BC7E3E" w:rsidRDefault="00BC7E3E" w:rsidP="00BC7E3E">
      <w:pPr>
        <w:pStyle w:val="ScheduleNote"/>
      </w:pPr>
      <w:r>
        <w:t xml:space="preserve">Note: </w:t>
      </w:r>
      <w:r w:rsidRPr="00BC7E3E">
        <w:tab/>
      </w:r>
      <w:proofErr w:type="spellStart"/>
      <w:r w:rsidRPr="00BC7E3E">
        <w:rPr>
          <w:b/>
          <w:i/>
        </w:rPr>
        <w:t>hyperviscosity</w:t>
      </w:r>
      <w:proofErr w:type="spellEnd"/>
      <w:r w:rsidRPr="00BC7E3E">
        <w:rPr>
          <w:b/>
          <w:i/>
        </w:rPr>
        <w:t xml:space="preserve"> syndrome</w:t>
      </w:r>
      <w:r>
        <w:t xml:space="preserve"> is also </w:t>
      </w:r>
      <w:r w:rsidRPr="00BC7E3E">
        <w:t>defined in the Schedule 1 - Dictionary.</w:t>
      </w:r>
    </w:p>
    <w:p w14:paraId="4C1C4566" w14:textId="77777777" w:rsidR="002813A6" w:rsidRDefault="002813A6" w:rsidP="002813A6">
      <w:pPr>
        <w:pStyle w:val="SH3"/>
      </w:pPr>
      <w:r w:rsidRPr="002813A6">
        <w:rPr>
          <w:b/>
          <w:i/>
        </w:rPr>
        <w:t>specified list of viral infections</w:t>
      </w:r>
      <w:r w:rsidRPr="002813A6">
        <w:t xml:space="preserve"> means:</w:t>
      </w:r>
    </w:p>
    <w:p w14:paraId="739F3098" w14:textId="77777777" w:rsidR="002813A6" w:rsidRDefault="002813A6" w:rsidP="00BF50FA">
      <w:pPr>
        <w:pStyle w:val="SH4"/>
      </w:pPr>
      <w:r>
        <w:t xml:space="preserve">coronavirus disease 2019 (COVID-19); </w:t>
      </w:r>
    </w:p>
    <w:p w14:paraId="3D182F8E" w14:textId="77777777" w:rsidR="002813A6" w:rsidRDefault="002813A6" w:rsidP="00AA7A0F">
      <w:pPr>
        <w:pStyle w:val="SH4"/>
      </w:pPr>
      <w:r>
        <w:t>cytomegalovirus infection of the vestibulocochlear nerve of the affected side;</w:t>
      </w:r>
    </w:p>
    <w:p w14:paraId="63E529A2" w14:textId="77777777" w:rsidR="002813A6" w:rsidRDefault="002813A6">
      <w:pPr>
        <w:pStyle w:val="SH4"/>
      </w:pPr>
      <w:r>
        <w:t>hepatitis B;</w:t>
      </w:r>
    </w:p>
    <w:p w14:paraId="697B1DE4" w14:textId="77777777" w:rsidR="002813A6" w:rsidRDefault="002813A6">
      <w:pPr>
        <w:pStyle w:val="SH4"/>
      </w:pPr>
      <w:r>
        <w:t>hepatitis C;</w:t>
      </w:r>
    </w:p>
    <w:p w14:paraId="33369F34" w14:textId="77777777" w:rsidR="002813A6" w:rsidRDefault="002813A6">
      <w:pPr>
        <w:pStyle w:val="SH4"/>
      </w:pPr>
      <w:r>
        <w:t>herpes simplex;</w:t>
      </w:r>
    </w:p>
    <w:p w14:paraId="51864C88" w14:textId="77777777" w:rsidR="002813A6" w:rsidRDefault="002813A6">
      <w:pPr>
        <w:pStyle w:val="SH4"/>
      </w:pPr>
      <w:r>
        <w:t>human immunodeficiency virus infection;</w:t>
      </w:r>
    </w:p>
    <w:p w14:paraId="2832D18D" w14:textId="77777777" w:rsidR="002813A6" w:rsidRDefault="002813A6">
      <w:pPr>
        <w:pStyle w:val="SH4"/>
      </w:pPr>
      <w:r>
        <w:t>Lassa fever;</w:t>
      </w:r>
    </w:p>
    <w:p w14:paraId="409DE763" w14:textId="77777777" w:rsidR="002813A6" w:rsidRDefault="002813A6">
      <w:pPr>
        <w:pStyle w:val="SH4"/>
      </w:pPr>
      <w:r>
        <w:t>measles;</w:t>
      </w:r>
    </w:p>
    <w:p w14:paraId="04C2A0A7" w14:textId="77777777" w:rsidR="002813A6" w:rsidRDefault="002813A6">
      <w:pPr>
        <w:pStyle w:val="SH4"/>
      </w:pPr>
      <w:r>
        <w:t xml:space="preserve">mumps; </w:t>
      </w:r>
    </w:p>
    <w:p w14:paraId="3999D86C" w14:textId="77777777" w:rsidR="002813A6" w:rsidRDefault="002813A6">
      <w:pPr>
        <w:pStyle w:val="SH4"/>
      </w:pPr>
      <w:r>
        <w:t>herpes zoster of the geniculate ganglion on the affected side; or</w:t>
      </w:r>
    </w:p>
    <w:p w14:paraId="5E107216" w14:textId="77777777" w:rsidR="002813A6" w:rsidRDefault="002813A6">
      <w:pPr>
        <w:pStyle w:val="SH4"/>
      </w:pPr>
      <w:proofErr w:type="gramStart"/>
      <w:r>
        <w:t>viral</w:t>
      </w:r>
      <w:proofErr w:type="gramEnd"/>
      <w:r>
        <w:t xml:space="preserve"> </w:t>
      </w:r>
      <w:proofErr w:type="spellStart"/>
      <w:r>
        <w:t>labyrinthitis</w:t>
      </w:r>
      <w:proofErr w:type="spellEnd"/>
      <w:r>
        <w:t xml:space="preserve"> of the affected ear.</w:t>
      </w:r>
    </w:p>
    <w:p w14:paraId="37F5A171" w14:textId="77777777" w:rsidR="002813A6" w:rsidRDefault="002813A6" w:rsidP="002813A6">
      <w:pPr>
        <w:pStyle w:val="ScheduleNote"/>
        <w:ind w:left="1276" w:hanging="425"/>
      </w:pPr>
      <w:r>
        <w:t xml:space="preserve">Note: </w:t>
      </w:r>
      <w:r w:rsidRPr="002813A6">
        <w:t xml:space="preserve">Herpes zoster of the geniculate ganglion is also known as herpes zoster </w:t>
      </w:r>
      <w:proofErr w:type="spellStart"/>
      <w:r w:rsidRPr="002813A6">
        <w:t>oticus</w:t>
      </w:r>
      <w:proofErr w:type="spellEnd"/>
      <w:r w:rsidRPr="002813A6">
        <w:t xml:space="preserve"> or Ramsay-Hunt syndrome.</w:t>
      </w:r>
    </w:p>
    <w:p w14:paraId="653F31A8" w14:textId="77777777" w:rsidR="00BF50FA" w:rsidRDefault="00BF50FA" w:rsidP="00C23CAA">
      <w:pPr>
        <w:pStyle w:val="SH3"/>
      </w:pPr>
      <w:proofErr w:type="spellStart"/>
      <w:proofErr w:type="gramStart"/>
      <w:r w:rsidRPr="005246E2">
        <w:rPr>
          <w:b/>
          <w:i/>
        </w:rPr>
        <w:t>suppurative</w:t>
      </w:r>
      <w:proofErr w:type="spellEnd"/>
      <w:proofErr w:type="gramEnd"/>
      <w:r w:rsidRPr="005246E2">
        <w:rPr>
          <w:b/>
          <w:i/>
        </w:rPr>
        <w:t xml:space="preserve"> </w:t>
      </w:r>
      <w:proofErr w:type="spellStart"/>
      <w:r w:rsidRPr="005246E2">
        <w:rPr>
          <w:b/>
          <w:i/>
        </w:rPr>
        <w:t>labyrinthitis</w:t>
      </w:r>
      <w:proofErr w:type="spellEnd"/>
      <w:r w:rsidRPr="005246E2">
        <w:t xml:space="preserve"> </w:t>
      </w:r>
      <w:r w:rsidRPr="005246E2">
        <w:rPr>
          <w:rFonts w:eastAsia="TimesNewRomanPSMT"/>
        </w:rPr>
        <w:t>means inflammation of the inner ear characterised by the presence of pus.</w:t>
      </w:r>
    </w:p>
    <w:p w14:paraId="55F41269" w14:textId="2F3F49ED"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14:paraId="0F73224F" w14:textId="77777777" w:rsidR="00885EAB" w:rsidRPr="00513D05" w:rsidRDefault="00513D05" w:rsidP="00BF50FA">
      <w:pPr>
        <w:pStyle w:val="SH4"/>
      </w:pPr>
      <w:r>
        <w:tab/>
      </w:r>
      <w:r w:rsidR="00885EAB" w:rsidRPr="00513D05">
        <w:t>pneumonia;</w:t>
      </w:r>
    </w:p>
    <w:p w14:paraId="4EF7F436" w14:textId="77777777" w:rsidR="00885EAB" w:rsidRPr="00513D05" w:rsidRDefault="00885EAB" w:rsidP="00AA7A0F">
      <w:pPr>
        <w:pStyle w:val="SH4"/>
      </w:pPr>
      <w:r w:rsidRPr="00513D05">
        <w:tab/>
        <w:t>respiratory failure;</w:t>
      </w:r>
    </w:p>
    <w:p w14:paraId="19608859" w14:textId="77777777" w:rsidR="00885EAB" w:rsidRPr="00513D05" w:rsidRDefault="00885EAB">
      <w:pPr>
        <w:pStyle w:val="SH4"/>
      </w:pPr>
      <w:r w:rsidRPr="00513D05">
        <w:tab/>
        <w:t>cardiac arrest;</w:t>
      </w:r>
    </w:p>
    <w:p w14:paraId="275B71CF" w14:textId="77777777" w:rsidR="00885EAB" w:rsidRPr="00513D05" w:rsidRDefault="00885EAB">
      <w:pPr>
        <w:pStyle w:val="SH4"/>
      </w:pPr>
      <w:r w:rsidRPr="00513D05">
        <w:tab/>
        <w:t>circulatory failure;</w:t>
      </w:r>
      <w:r w:rsidR="002376A0">
        <w:t xml:space="preserve"> or</w:t>
      </w:r>
    </w:p>
    <w:p w14:paraId="7A29E3DE" w14:textId="77777777" w:rsidR="00BD3334" w:rsidRPr="00BD3334" w:rsidRDefault="00885EAB">
      <w:pPr>
        <w:pStyle w:val="SH4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14:paraId="3417BB67" w14:textId="573C679B" w:rsidR="001275AC" w:rsidRDefault="001275AC" w:rsidP="000967CF">
      <w:pPr>
        <w:pStyle w:val="SH3"/>
        <w:keepNext/>
        <w:keepLines/>
      </w:pPr>
      <w:r w:rsidRPr="001275AC">
        <w:rPr>
          <w:b/>
          <w:i/>
        </w:rPr>
        <w:lastRenderedPageBreak/>
        <w:t>time-weighted average (TWA) with</w:t>
      </w:r>
      <w:r w:rsidR="00EC7096">
        <w:rPr>
          <w:b/>
          <w:i/>
        </w:rPr>
        <w:t xml:space="preserve"> a</w:t>
      </w:r>
      <w:r w:rsidRPr="001275AC">
        <w:rPr>
          <w:b/>
          <w:i/>
        </w:rPr>
        <w:t xml:space="preserve"> 3</w:t>
      </w:r>
      <w:r w:rsidR="00896C17">
        <w:rPr>
          <w:b/>
          <w:i/>
        </w:rPr>
        <w:t>-</w:t>
      </w:r>
      <w:r w:rsidRPr="001275AC">
        <w:rPr>
          <w:b/>
          <w:i/>
        </w:rPr>
        <w:t>dB exchange rate</w:t>
      </w:r>
      <w:r w:rsidRPr="001275AC">
        <w:t xml:space="preserve"> means the time-weighted average noise exposure level calculated according to the following formulae and shown in the table:</w:t>
      </w:r>
    </w:p>
    <w:p w14:paraId="0D7D2CB9" w14:textId="77777777" w:rsidR="001275AC" w:rsidRDefault="001275AC" w:rsidP="000967CF">
      <w:pPr>
        <w:keepNext/>
        <w:keepLines/>
        <w:spacing w:line="120" w:lineRule="atLeast"/>
        <w:ind w:left="1560" w:hanging="284"/>
        <w:rPr>
          <w:sz w:val="24"/>
          <w:szCs w:val="24"/>
        </w:rPr>
      </w:pPr>
    </w:p>
    <w:p w14:paraId="16296191" w14:textId="77777777" w:rsidR="001275AC" w:rsidRPr="001275AC" w:rsidRDefault="001275AC" w:rsidP="000967CF">
      <w:pPr>
        <w:keepNext/>
        <w:keepLines/>
        <w:spacing w:line="120" w:lineRule="atLeast"/>
        <w:ind w:left="1560" w:hanging="284"/>
        <w:rPr>
          <w:sz w:val="24"/>
          <w:szCs w:val="24"/>
        </w:rPr>
      </w:pPr>
      <w:r w:rsidRPr="001275AC">
        <w:rPr>
          <w:sz w:val="24"/>
          <w:szCs w:val="24"/>
        </w:rPr>
        <w:t xml:space="preserve">TWA = 10.0 </w:t>
      </w:r>
      <w:r w:rsidRPr="001275AC">
        <w:rPr>
          <w:sz w:val="24"/>
          <w:szCs w:val="24"/>
        </w:rPr>
        <w:sym w:font="Symbol" w:char="F0B4"/>
      </w:r>
      <w:r w:rsidRPr="001275AC">
        <w:rPr>
          <w:sz w:val="24"/>
          <w:szCs w:val="24"/>
        </w:rPr>
        <w:t xml:space="preserve"> </w:t>
      </w:r>
      <w:proofErr w:type="gramStart"/>
      <w:r w:rsidRPr="001275AC">
        <w:rPr>
          <w:sz w:val="24"/>
          <w:szCs w:val="24"/>
        </w:rPr>
        <w:t>Log(</w:t>
      </w:r>
      <w:proofErr w:type="gramEnd"/>
      <w:r w:rsidRPr="001275AC">
        <w:rPr>
          <w:sz w:val="24"/>
          <w:szCs w:val="24"/>
        </w:rPr>
        <w:t>D/100) + 85</w:t>
      </w:r>
    </w:p>
    <w:p w14:paraId="4C90BF88" w14:textId="77777777" w:rsidR="001275AC" w:rsidRPr="001275AC" w:rsidRDefault="001275AC" w:rsidP="000967CF">
      <w:pPr>
        <w:keepNext/>
        <w:keepLines/>
        <w:spacing w:after="120" w:line="120" w:lineRule="atLeast"/>
        <w:ind w:left="1276"/>
        <w:rPr>
          <w:sz w:val="24"/>
          <w:szCs w:val="24"/>
        </w:rPr>
      </w:pPr>
      <w:proofErr w:type="gramStart"/>
      <w:r w:rsidRPr="001275AC">
        <w:rPr>
          <w:sz w:val="24"/>
          <w:szCs w:val="24"/>
        </w:rPr>
        <w:t>where</w:t>
      </w:r>
      <w:proofErr w:type="gramEnd"/>
      <w:r w:rsidRPr="001275AC">
        <w:rPr>
          <w:sz w:val="24"/>
          <w:szCs w:val="24"/>
        </w:rPr>
        <w:t xml:space="preserve"> D = daily dose; and</w:t>
      </w:r>
    </w:p>
    <w:p w14:paraId="6810A5A9" w14:textId="2B9B1239" w:rsidR="001275AC" w:rsidRPr="001275AC" w:rsidRDefault="00AB7D48" w:rsidP="000967CF">
      <w:pPr>
        <w:keepNext/>
        <w:keepLines/>
        <w:ind w:left="1276"/>
        <w:rPr>
          <w:sz w:val="24"/>
          <w:szCs w:val="24"/>
        </w:rPr>
      </w:pPr>
      <w:r>
        <w:rPr>
          <w:sz w:val="24"/>
          <w:szCs w:val="24"/>
        </w:rPr>
        <w:t>D = [</w:t>
      </w:r>
      <w:r w:rsidR="001275AC" w:rsidRPr="001275AC">
        <w:rPr>
          <w:sz w:val="24"/>
          <w:szCs w:val="24"/>
        </w:rPr>
        <w:t>C</w:t>
      </w:r>
      <w:r w:rsidR="001275AC" w:rsidRPr="001275AC">
        <w:rPr>
          <w:sz w:val="24"/>
          <w:szCs w:val="24"/>
          <w:vertAlign w:val="subscript"/>
        </w:rPr>
        <w:t>1</w:t>
      </w:r>
      <w:r w:rsidR="001275AC" w:rsidRPr="001275AC">
        <w:rPr>
          <w:sz w:val="24"/>
          <w:szCs w:val="24"/>
        </w:rPr>
        <w:t>/T</w:t>
      </w:r>
      <w:r w:rsidR="001275AC" w:rsidRPr="001275AC">
        <w:rPr>
          <w:sz w:val="24"/>
          <w:szCs w:val="24"/>
          <w:vertAlign w:val="subscript"/>
        </w:rPr>
        <w:t>1</w:t>
      </w:r>
      <w:r w:rsidR="001275AC" w:rsidRPr="001275AC">
        <w:rPr>
          <w:sz w:val="24"/>
          <w:szCs w:val="24"/>
        </w:rPr>
        <w:t xml:space="preserve"> + C</w:t>
      </w:r>
      <w:r w:rsidR="001275AC" w:rsidRPr="001275AC">
        <w:rPr>
          <w:sz w:val="24"/>
          <w:szCs w:val="24"/>
          <w:vertAlign w:val="subscript"/>
        </w:rPr>
        <w:t>2</w:t>
      </w:r>
      <w:r w:rsidR="001275AC" w:rsidRPr="001275AC">
        <w:rPr>
          <w:sz w:val="24"/>
          <w:szCs w:val="24"/>
        </w:rPr>
        <w:t>/T</w:t>
      </w:r>
      <w:r w:rsidR="001275AC" w:rsidRPr="001275AC">
        <w:rPr>
          <w:sz w:val="24"/>
          <w:szCs w:val="24"/>
          <w:vertAlign w:val="subscript"/>
        </w:rPr>
        <w:t>2</w:t>
      </w:r>
      <w:r w:rsidR="001275AC" w:rsidRPr="001275AC">
        <w:rPr>
          <w:sz w:val="24"/>
          <w:szCs w:val="24"/>
        </w:rPr>
        <w:t xml:space="preserve"> + …..+ C</w:t>
      </w:r>
      <w:r w:rsidR="001275AC" w:rsidRPr="001275AC">
        <w:rPr>
          <w:sz w:val="24"/>
          <w:szCs w:val="24"/>
          <w:vertAlign w:val="subscript"/>
        </w:rPr>
        <w:t>n</w:t>
      </w:r>
      <w:r w:rsidR="001275AC" w:rsidRPr="001275AC">
        <w:rPr>
          <w:sz w:val="24"/>
          <w:szCs w:val="24"/>
        </w:rPr>
        <w:t>/</w:t>
      </w:r>
      <w:proofErr w:type="spellStart"/>
      <w:r w:rsidR="001275AC" w:rsidRPr="001275AC">
        <w:rPr>
          <w:sz w:val="24"/>
          <w:szCs w:val="24"/>
        </w:rPr>
        <w:t>T</w:t>
      </w:r>
      <w:r w:rsidR="001275AC" w:rsidRPr="001275AC">
        <w:rPr>
          <w:sz w:val="24"/>
          <w:szCs w:val="24"/>
          <w:vertAlign w:val="subscript"/>
        </w:rPr>
        <w:t>n</w:t>
      </w:r>
      <w:proofErr w:type="spellEnd"/>
      <w:r w:rsidR="001275AC" w:rsidRPr="001275AC">
        <w:rPr>
          <w:sz w:val="24"/>
          <w:szCs w:val="24"/>
        </w:rPr>
        <w:t xml:space="preserve">] </w:t>
      </w:r>
      <w:r w:rsidR="001275AC" w:rsidRPr="001275AC">
        <w:rPr>
          <w:sz w:val="24"/>
          <w:szCs w:val="24"/>
        </w:rPr>
        <w:sym w:font="Symbol" w:char="F0B4"/>
      </w:r>
      <w:r w:rsidR="001275AC" w:rsidRPr="001275AC">
        <w:rPr>
          <w:sz w:val="24"/>
          <w:szCs w:val="24"/>
        </w:rPr>
        <w:t xml:space="preserve"> 100</w:t>
      </w:r>
    </w:p>
    <w:p w14:paraId="61B03BC1" w14:textId="46DCF155" w:rsidR="001275AC" w:rsidRPr="001275AC" w:rsidRDefault="001275AC" w:rsidP="000967CF">
      <w:pPr>
        <w:keepNext/>
        <w:keepLines/>
        <w:spacing w:after="120"/>
        <w:ind w:left="1276"/>
        <w:rPr>
          <w:sz w:val="24"/>
          <w:szCs w:val="24"/>
        </w:rPr>
      </w:pPr>
      <w:proofErr w:type="gramStart"/>
      <w:r w:rsidRPr="001275AC">
        <w:rPr>
          <w:sz w:val="24"/>
          <w:szCs w:val="24"/>
        </w:rPr>
        <w:t>where</w:t>
      </w:r>
      <w:proofErr w:type="gramEnd"/>
      <w:r w:rsidRPr="001275AC">
        <w:rPr>
          <w:sz w:val="24"/>
          <w:szCs w:val="24"/>
        </w:rPr>
        <w:t xml:space="preserve"> </w:t>
      </w:r>
      <w:r w:rsidRPr="001275AC">
        <w:rPr>
          <w:sz w:val="24"/>
          <w:szCs w:val="24"/>
        </w:rPr>
        <w:tab/>
        <w:t>C</w:t>
      </w:r>
      <w:r w:rsidRPr="001275AC">
        <w:rPr>
          <w:sz w:val="24"/>
          <w:szCs w:val="24"/>
          <w:vertAlign w:val="subscript"/>
        </w:rPr>
        <w:t>n</w:t>
      </w:r>
      <w:r w:rsidRPr="001275AC">
        <w:rPr>
          <w:sz w:val="24"/>
          <w:szCs w:val="24"/>
        </w:rPr>
        <w:t xml:space="preserve"> = total time of expo</w:t>
      </w:r>
      <w:r w:rsidR="009D74F6">
        <w:rPr>
          <w:sz w:val="24"/>
          <w:szCs w:val="24"/>
        </w:rPr>
        <w:t>sure at a specified noise level; and</w:t>
      </w:r>
      <w:r w:rsidRPr="001275AC">
        <w:rPr>
          <w:sz w:val="24"/>
          <w:szCs w:val="24"/>
        </w:rPr>
        <w:t xml:space="preserve"> </w:t>
      </w:r>
    </w:p>
    <w:p w14:paraId="40F14284" w14:textId="77777777" w:rsidR="001275AC" w:rsidRDefault="001275AC" w:rsidP="000967CF">
      <w:pPr>
        <w:pStyle w:val="SH3"/>
        <w:keepNext/>
        <w:keepLines/>
        <w:ind w:left="1276" w:firstLine="0"/>
      </w:pPr>
      <w:proofErr w:type="spellStart"/>
      <w:r w:rsidRPr="001275AC">
        <w:t>T</w:t>
      </w:r>
      <w:r w:rsidRPr="001275AC">
        <w:rPr>
          <w:vertAlign w:val="subscript"/>
        </w:rPr>
        <w:t>n</w:t>
      </w:r>
      <w:proofErr w:type="spellEnd"/>
      <w:r w:rsidRPr="001275AC">
        <w:t xml:space="preserve"> = exposure duration for which noise at this level becomes hazardous</w:t>
      </w:r>
    </w:p>
    <w:p w14:paraId="02918EE9" w14:textId="77777777" w:rsidR="001275AC" w:rsidRDefault="001275AC" w:rsidP="000967CF">
      <w:pPr>
        <w:keepNext/>
        <w:keepLines/>
        <w:jc w:val="center"/>
        <w:rPr>
          <w:u w:val="single"/>
        </w:rPr>
      </w:pPr>
    </w:p>
    <w:p w14:paraId="252422AA" w14:textId="77777777" w:rsidR="00896C17" w:rsidRPr="00EB7C18" w:rsidRDefault="00896C17" w:rsidP="00896C17">
      <w:pPr>
        <w:keepNext/>
        <w:keepLines/>
        <w:jc w:val="center"/>
        <w:rPr>
          <w:szCs w:val="24"/>
        </w:rPr>
      </w:pPr>
      <w:r w:rsidRPr="008733B5">
        <w:rPr>
          <w:sz w:val="24"/>
          <w:szCs w:val="24"/>
        </w:rPr>
        <w:t>Table of noise exposure levels and</w:t>
      </w:r>
    </w:p>
    <w:p w14:paraId="76529911" w14:textId="77777777" w:rsidR="00896C17" w:rsidRPr="00EB7C18" w:rsidRDefault="00896C17" w:rsidP="00896C17">
      <w:pPr>
        <w:keepNext/>
        <w:keepLines/>
        <w:jc w:val="center"/>
        <w:rPr>
          <w:szCs w:val="24"/>
        </w:rPr>
      </w:pPr>
      <w:proofErr w:type="gramStart"/>
      <w:r w:rsidRPr="008733B5">
        <w:rPr>
          <w:sz w:val="24"/>
          <w:szCs w:val="24"/>
        </w:rPr>
        <w:t>durations</w:t>
      </w:r>
      <w:proofErr w:type="gramEnd"/>
      <w:r w:rsidRPr="008733B5">
        <w:rPr>
          <w:sz w:val="24"/>
          <w:szCs w:val="24"/>
        </w:rPr>
        <w:t xml:space="preserve"> based on 3-dB(A) exchange rate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992"/>
        <w:gridCol w:w="992"/>
        <w:gridCol w:w="1134"/>
        <w:gridCol w:w="851"/>
        <w:gridCol w:w="992"/>
        <w:gridCol w:w="992"/>
      </w:tblGrid>
      <w:tr w:rsidR="00896C17" w14:paraId="6F1C01C4" w14:textId="77777777" w:rsidTr="00896C17">
        <w:trPr>
          <w:cantSplit/>
          <w:trHeight w:val="472"/>
        </w:trPr>
        <w:tc>
          <w:tcPr>
            <w:tcW w:w="1134" w:type="dxa"/>
          </w:tcPr>
          <w:p w14:paraId="59C712B1" w14:textId="77777777" w:rsidR="00896C17" w:rsidRDefault="00896C17" w:rsidP="00896C17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524F155" w14:textId="77777777" w:rsidR="00896C17" w:rsidRDefault="00896C17" w:rsidP="00896C17">
            <w:pPr>
              <w:keepNext/>
              <w:keepLines/>
              <w:jc w:val="center"/>
            </w:pPr>
            <w:r>
              <w:t xml:space="preserve">Duration, </w:t>
            </w:r>
            <w:r>
              <w:rPr>
                <w:i/>
              </w:rPr>
              <w:t>T</w:t>
            </w:r>
          </w:p>
        </w:tc>
        <w:tc>
          <w:tcPr>
            <w:tcW w:w="1134" w:type="dxa"/>
            <w:vAlign w:val="center"/>
          </w:tcPr>
          <w:p w14:paraId="354B2C56" w14:textId="77777777" w:rsidR="00896C17" w:rsidRDefault="00896C17" w:rsidP="00896C17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FF0ACA5" w14:textId="77777777" w:rsidR="00896C17" w:rsidRDefault="00896C17" w:rsidP="00896C17">
            <w:pPr>
              <w:keepNext/>
              <w:keepLines/>
              <w:jc w:val="center"/>
            </w:pPr>
            <w:r>
              <w:t xml:space="preserve">Duration, </w:t>
            </w:r>
            <w:r>
              <w:rPr>
                <w:i/>
              </w:rPr>
              <w:t>T</w:t>
            </w:r>
          </w:p>
        </w:tc>
      </w:tr>
      <w:tr w:rsidR="00896C17" w14:paraId="07683754" w14:textId="77777777" w:rsidTr="00896C17">
        <w:trPr>
          <w:cantSplit/>
          <w:trHeight w:val="675"/>
        </w:trPr>
        <w:tc>
          <w:tcPr>
            <w:tcW w:w="1134" w:type="dxa"/>
          </w:tcPr>
          <w:p w14:paraId="207CB584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Exposure</w:t>
            </w:r>
          </w:p>
          <w:p w14:paraId="6B4C3F6C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 xml:space="preserve">Level, </w:t>
            </w:r>
            <w:r>
              <w:rPr>
                <w:i/>
              </w:rPr>
              <w:t>L</w:t>
            </w:r>
          </w:p>
          <w:p w14:paraId="672A1475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(dB(A))</w:t>
            </w:r>
          </w:p>
        </w:tc>
        <w:tc>
          <w:tcPr>
            <w:tcW w:w="851" w:type="dxa"/>
            <w:vAlign w:val="bottom"/>
          </w:tcPr>
          <w:p w14:paraId="545FC104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Hours</w:t>
            </w:r>
          </w:p>
        </w:tc>
        <w:tc>
          <w:tcPr>
            <w:tcW w:w="992" w:type="dxa"/>
            <w:vAlign w:val="bottom"/>
          </w:tcPr>
          <w:p w14:paraId="787CA199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Minutes</w:t>
            </w:r>
          </w:p>
        </w:tc>
        <w:tc>
          <w:tcPr>
            <w:tcW w:w="992" w:type="dxa"/>
            <w:vAlign w:val="bottom"/>
          </w:tcPr>
          <w:p w14:paraId="6050610B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Seconds</w:t>
            </w:r>
          </w:p>
        </w:tc>
        <w:tc>
          <w:tcPr>
            <w:tcW w:w="1134" w:type="dxa"/>
          </w:tcPr>
          <w:p w14:paraId="06A7C395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Exposure</w:t>
            </w:r>
          </w:p>
          <w:p w14:paraId="6D06E3C6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 xml:space="preserve">Level, </w:t>
            </w:r>
            <w:r>
              <w:rPr>
                <w:i/>
              </w:rPr>
              <w:t>L</w:t>
            </w:r>
          </w:p>
          <w:p w14:paraId="3C5D090F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(dB(A))</w:t>
            </w:r>
          </w:p>
        </w:tc>
        <w:tc>
          <w:tcPr>
            <w:tcW w:w="851" w:type="dxa"/>
            <w:vAlign w:val="bottom"/>
          </w:tcPr>
          <w:p w14:paraId="58314E1A" w14:textId="77777777" w:rsidR="00896C17" w:rsidRDefault="00896C17" w:rsidP="00896C17">
            <w:pPr>
              <w:keepNext/>
              <w:keepLines/>
              <w:jc w:val="center"/>
            </w:pPr>
            <w:r>
              <w:t>Hours</w:t>
            </w:r>
          </w:p>
        </w:tc>
        <w:tc>
          <w:tcPr>
            <w:tcW w:w="992" w:type="dxa"/>
            <w:vAlign w:val="bottom"/>
          </w:tcPr>
          <w:p w14:paraId="768E2A7C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Minutes</w:t>
            </w:r>
          </w:p>
        </w:tc>
        <w:tc>
          <w:tcPr>
            <w:tcW w:w="992" w:type="dxa"/>
            <w:vAlign w:val="bottom"/>
          </w:tcPr>
          <w:p w14:paraId="4700DE98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Seconds</w:t>
            </w:r>
          </w:p>
        </w:tc>
      </w:tr>
      <w:tr w:rsidR="00896C17" w14:paraId="3D44D439" w14:textId="77777777" w:rsidTr="00896C17">
        <w:tc>
          <w:tcPr>
            <w:tcW w:w="1134" w:type="dxa"/>
          </w:tcPr>
          <w:p w14:paraId="441F3748" w14:textId="77777777" w:rsidR="00896C17" w:rsidRDefault="00896C17" w:rsidP="00896C17">
            <w:pPr>
              <w:keepNext/>
              <w:keepLines/>
              <w:ind w:left="34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C988D9C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37D8C51" w14:textId="77777777" w:rsidR="00896C17" w:rsidRDefault="00896C17" w:rsidP="00896C17">
            <w:pPr>
              <w:keepNext/>
              <w:keepLines/>
              <w:ind w:left="33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27CAF9C" w14:textId="77777777" w:rsidR="00896C17" w:rsidRDefault="00896C17" w:rsidP="00896C17">
            <w:pPr>
              <w:keepNext/>
              <w:keepLines/>
              <w:ind w:left="34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4699F49" w14:textId="77777777" w:rsidR="00896C17" w:rsidRDefault="00896C17" w:rsidP="00896C17">
            <w:pPr>
              <w:keepNext/>
              <w:keepLines/>
              <w:ind w:left="34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3105C0E" w14:textId="77777777" w:rsidR="00896C17" w:rsidRDefault="00896C17" w:rsidP="00896C17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5A88030" w14:textId="77777777" w:rsidR="00896C17" w:rsidRDefault="00896C17" w:rsidP="00896C17">
            <w:pPr>
              <w:keepNext/>
              <w:keepLines/>
              <w:ind w:left="33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C4A6657" w14:textId="77777777" w:rsidR="00896C17" w:rsidRDefault="00896C17" w:rsidP="00896C17">
            <w:pPr>
              <w:keepNext/>
              <w:keepLines/>
              <w:ind w:left="34"/>
              <w:jc w:val="center"/>
              <w:rPr>
                <w:b/>
              </w:rPr>
            </w:pPr>
          </w:p>
        </w:tc>
      </w:tr>
      <w:tr w:rsidR="00896C17" w14:paraId="2CF9B1B1" w14:textId="77777777" w:rsidTr="00896C17">
        <w:trPr>
          <w:trHeight w:hRule="exact" w:val="260"/>
        </w:trPr>
        <w:tc>
          <w:tcPr>
            <w:tcW w:w="1134" w:type="dxa"/>
          </w:tcPr>
          <w:p w14:paraId="148E6687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80</w:t>
            </w:r>
          </w:p>
        </w:tc>
        <w:tc>
          <w:tcPr>
            <w:tcW w:w="851" w:type="dxa"/>
          </w:tcPr>
          <w:p w14:paraId="35FFF806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25</w:t>
            </w:r>
          </w:p>
        </w:tc>
        <w:tc>
          <w:tcPr>
            <w:tcW w:w="992" w:type="dxa"/>
          </w:tcPr>
          <w:p w14:paraId="37DAD3C0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24</w:t>
            </w:r>
          </w:p>
        </w:tc>
        <w:tc>
          <w:tcPr>
            <w:tcW w:w="992" w:type="dxa"/>
          </w:tcPr>
          <w:p w14:paraId="60FA30DC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79314607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106</w:t>
            </w:r>
          </w:p>
        </w:tc>
        <w:tc>
          <w:tcPr>
            <w:tcW w:w="851" w:type="dxa"/>
          </w:tcPr>
          <w:p w14:paraId="72588023" w14:textId="77777777" w:rsidR="00896C17" w:rsidRDefault="00896C17" w:rsidP="00896C17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4838B9D2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433D97EA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45</w:t>
            </w:r>
          </w:p>
        </w:tc>
      </w:tr>
      <w:tr w:rsidR="00896C17" w14:paraId="20467678" w14:textId="77777777" w:rsidTr="00896C17">
        <w:trPr>
          <w:trHeight w:hRule="exact" w:val="260"/>
        </w:trPr>
        <w:tc>
          <w:tcPr>
            <w:tcW w:w="1134" w:type="dxa"/>
          </w:tcPr>
          <w:p w14:paraId="0222AA4C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81</w:t>
            </w:r>
          </w:p>
        </w:tc>
        <w:tc>
          <w:tcPr>
            <w:tcW w:w="851" w:type="dxa"/>
          </w:tcPr>
          <w:p w14:paraId="06EBD4AB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20</w:t>
            </w:r>
          </w:p>
        </w:tc>
        <w:tc>
          <w:tcPr>
            <w:tcW w:w="992" w:type="dxa"/>
          </w:tcPr>
          <w:p w14:paraId="204A5A4D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5F76EC97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705F4963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107</w:t>
            </w:r>
          </w:p>
        </w:tc>
        <w:tc>
          <w:tcPr>
            <w:tcW w:w="851" w:type="dxa"/>
          </w:tcPr>
          <w:p w14:paraId="128F4C1C" w14:textId="77777777" w:rsidR="00896C17" w:rsidRDefault="00896C17" w:rsidP="00896C17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1E678C71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5837C5C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59</w:t>
            </w:r>
          </w:p>
        </w:tc>
      </w:tr>
      <w:tr w:rsidR="00896C17" w14:paraId="0F49AA13" w14:textId="77777777" w:rsidTr="00896C17">
        <w:trPr>
          <w:trHeight w:hRule="exact" w:val="260"/>
        </w:trPr>
        <w:tc>
          <w:tcPr>
            <w:tcW w:w="1134" w:type="dxa"/>
          </w:tcPr>
          <w:p w14:paraId="4A3B910A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82</w:t>
            </w:r>
          </w:p>
        </w:tc>
        <w:tc>
          <w:tcPr>
            <w:tcW w:w="851" w:type="dxa"/>
          </w:tcPr>
          <w:p w14:paraId="6A38165B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04BE8637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1C2FA7B3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6B414EF3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108</w:t>
            </w:r>
          </w:p>
        </w:tc>
        <w:tc>
          <w:tcPr>
            <w:tcW w:w="851" w:type="dxa"/>
          </w:tcPr>
          <w:p w14:paraId="437EA0B6" w14:textId="77777777" w:rsidR="00896C17" w:rsidRDefault="00896C17" w:rsidP="00896C17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6BE83743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469CFAAD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22</w:t>
            </w:r>
          </w:p>
        </w:tc>
      </w:tr>
      <w:tr w:rsidR="00896C17" w14:paraId="1A77B0E9" w14:textId="77777777" w:rsidTr="00896C17">
        <w:trPr>
          <w:trHeight w:hRule="exact" w:val="260"/>
        </w:trPr>
        <w:tc>
          <w:tcPr>
            <w:tcW w:w="1134" w:type="dxa"/>
          </w:tcPr>
          <w:p w14:paraId="180E4B9C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83</w:t>
            </w:r>
          </w:p>
        </w:tc>
        <w:tc>
          <w:tcPr>
            <w:tcW w:w="851" w:type="dxa"/>
          </w:tcPr>
          <w:p w14:paraId="777755B1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381F6615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42</w:t>
            </w:r>
          </w:p>
        </w:tc>
        <w:tc>
          <w:tcPr>
            <w:tcW w:w="992" w:type="dxa"/>
          </w:tcPr>
          <w:p w14:paraId="279BF3FE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24EC323D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109</w:t>
            </w:r>
          </w:p>
        </w:tc>
        <w:tc>
          <w:tcPr>
            <w:tcW w:w="851" w:type="dxa"/>
          </w:tcPr>
          <w:p w14:paraId="14501545" w14:textId="77777777" w:rsidR="00896C17" w:rsidRDefault="00896C17" w:rsidP="00896C17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5F4CBA00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D888C36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53</w:t>
            </w:r>
          </w:p>
        </w:tc>
      </w:tr>
      <w:tr w:rsidR="00896C17" w14:paraId="48D587C4" w14:textId="77777777" w:rsidTr="00896C17">
        <w:trPr>
          <w:trHeight w:hRule="exact" w:val="260"/>
        </w:trPr>
        <w:tc>
          <w:tcPr>
            <w:tcW w:w="1134" w:type="dxa"/>
          </w:tcPr>
          <w:p w14:paraId="7CCAA472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84</w:t>
            </w:r>
          </w:p>
        </w:tc>
        <w:tc>
          <w:tcPr>
            <w:tcW w:w="851" w:type="dxa"/>
          </w:tcPr>
          <w:p w14:paraId="0513A666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5DE349A1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738C96A1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737B82F7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110</w:t>
            </w:r>
          </w:p>
        </w:tc>
        <w:tc>
          <w:tcPr>
            <w:tcW w:w="851" w:type="dxa"/>
          </w:tcPr>
          <w:p w14:paraId="645C2DE5" w14:textId="77777777" w:rsidR="00896C17" w:rsidRDefault="00896C17" w:rsidP="00896C17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3F59A73F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6D71FBCB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29</w:t>
            </w:r>
          </w:p>
        </w:tc>
      </w:tr>
      <w:tr w:rsidR="00896C17" w14:paraId="48ACB16C" w14:textId="77777777" w:rsidTr="00896C17">
        <w:trPr>
          <w:trHeight w:hRule="exact" w:val="260"/>
        </w:trPr>
        <w:tc>
          <w:tcPr>
            <w:tcW w:w="1134" w:type="dxa"/>
          </w:tcPr>
          <w:p w14:paraId="42C64F22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85</w:t>
            </w:r>
          </w:p>
        </w:tc>
        <w:tc>
          <w:tcPr>
            <w:tcW w:w="851" w:type="dxa"/>
          </w:tcPr>
          <w:p w14:paraId="4CD69887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5FA65054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0A6485D4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4D6ECB4A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111</w:t>
            </w:r>
          </w:p>
        </w:tc>
        <w:tc>
          <w:tcPr>
            <w:tcW w:w="851" w:type="dxa"/>
          </w:tcPr>
          <w:p w14:paraId="2E79B558" w14:textId="77777777" w:rsidR="00896C17" w:rsidRDefault="00896C17" w:rsidP="00896C17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0E2EB42F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0C31FEE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11</w:t>
            </w:r>
          </w:p>
        </w:tc>
      </w:tr>
      <w:tr w:rsidR="00896C17" w14:paraId="77718C57" w14:textId="77777777" w:rsidTr="00896C17">
        <w:trPr>
          <w:trHeight w:hRule="exact" w:val="260"/>
        </w:trPr>
        <w:tc>
          <w:tcPr>
            <w:tcW w:w="1134" w:type="dxa"/>
          </w:tcPr>
          <w:p w14:paraId="241F4C69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86</w:t>
            </w:r>
          </w:p>
        </w:tc>
        <w:tc>
          <w:tcPr>
            <w:tcW w:w="851" w:type="dxa"/>
          </w:tcPr>
          <w:p w14:paraId="5FC31941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5AACCCE5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21</w:t>
            </w:r>
          </w:p>
        </w:tc>
        <w:tc>
          <w:tcPr>
            <w:tcW w:w="992" w:type="dxa"/>
          </w:tcPr>
          <w:p w14:paraId="323D57D1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765EB29B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112</w:t>
            </w:r>
          </w:p>
        </w:tc>
        <w:tc>
          <w:tcPr>
            <w:tcW w:w="851" w:type="dxa"/>
          </w:tcPr>
          <w:p w14:paraId="29F6E1AA" w14:textId="77777777" w:rsidR="00896C17" w:rsidRDefault="00896C17" w:rsidP="00896C17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7F3C0C3F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3DAED6C1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56</w:t>
            </w:r>
          </w:p>
        </w:tc>
      </w:tr>
      <w:tr w:rsidR="00896C17" w14:paraId="2D96997B" w14:textId="77777777" w:rsidTr="00896C17">
        <w:trPr>
          <w:trHeight w:hRule="exact" w:val="260"/>
        </w:trPr>
        <w:tc>
          <w:tcPr>
            <w:tcW w:w="1134" w:type="dxa"/>
          </w:tcPr>
          <w:p w14:paraId="5A21EAD4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87</w:t>
            </w:r>
          </w:p>
        </w:tc>
        <w:tc>
          <w:tcPr>
            <w:tcW w:w="851" w:type="dxa"/>
          </w:tcPr>
          <w:p w14:paraId="623A9F5B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7E0045D0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B834202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258833E6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113</w:t>
            </w:r>
          </w:p>
        </w:tc>
        <w:tc>
          <w:tcPr>
            <w:tcW w:w="851" w:type="dxa"/>
          </w:tcPr>
          <w:p w14:paraId="753BCB0E" w14:textId="77777777" w:rsidR="00896C17" w:rsidRDefault="00896C17" w:rsidP="00896C17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11E9C363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4FF964A3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45</w:t>
            </w:r>
          </w:p>
        </w:tc>
      </w:tr>
      <w:tr w:rsidR="00896C17" w14:paraId="7DCA9486" w14:textId="77777777" w:rsidTr="00896C17">
        <w:trPr>
          <w:trHeight w:hRule="exact" w:val="260"/>
        </w:trPr>
        <w:tc>
          <w:tcPr>
            <w:tcW w:w="1134" w:type="dxa"/>
          </w:tcPr>
          <w:p w14:paraId="058ADC7A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88</w:t>
            </w:r>
          </w:p>
        </w:tc>
        <w:tc>
          <w:tcPr>
            <w:tcW w:w="851" w:type="dxa"/>
          </w:tcPr>
          <w:p w14:paraId="3B38F12A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12889E9E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1E39DC62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2CC84BEF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114</w:t>
            </w:r>
          </w:p>
        </w:tc>
        <w:tc>
          <w:tcPr>
            <w:tcW w:w="851" w:type="dxa"/>
          </w:tcPr>
          <w:p w14:paraId="1B15C95F" w14:textId="77777777" w:rsidR="00896C17" w:rsidRDefault="00896C17" w:rsidP="00896C17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2DDB082C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46D53E79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35</w:t>
            </w:r>
          </w:p>
        </w:tc>
      </w:tr>
      <w:tr w:rsidR="00896C17" w14:paraId="347A8424" w14:textId="77777777" w:rsidTr="00896C17">
        <w:trPr>
          <w:trHeight w:hRule="exact" w:val="260"/>
        </w:trPr>
        <w:tc>
          <w:tcPr>
            <w:tcW w:w="1134" w:type="dxa"/>
          </w:tcPr>
          <w:p w14:paraId="5FB0E073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89</w:t>
            </w:r>
          </w:p>
        </w:tc>
        <w:tc>
          <w:tcPr>
            <w:tcW w:w="851" w:type="dxa"/>
          </w:tcPr>
          <w:p w14:paraId="1F9F7AB7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44337747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0573AC7F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41AD4579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115</w:t>
            </w:r>
          </w:p>
        </w:tc>
        <w:tc>
          <w:tcPr>
            <w:tcW w:w="851" w:type="dxa"/>
          </w:tcPr>
          <w:p w14:paraId="2F4F1BC8" w14:textId="77777777" w:rsidR="00896C17" w:rsidRDefault="00896C17" w:rsidP="00896C17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08E9A5EB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068EEF2F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28</w:t>
            </w:r>
          </w:p>
        </w:tc>
      </w:tr>
      <w:tr w:rsidR="00896C17" w14:paraId="5182256D" w14:textId="77777777" w:rsidTr="00896C17">
        <w:trPr>
          <w:trHeight w:hRule="exact" w:val="260"/>
        </w:trPr>
        <w:tc>
          <w:tcPr>
            <w:tcW w:w="1134" w:type="dxa"/>
          </w:tcPr>
          <w:p w14:paraId="5B2C170B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90</w:t>
            </w:r>
          </w:p>
        </w:tc>
        <w:tc>
          <w:tcPr>
            <w:tcW w:w="851" w:type="dxa"/>
          </w:tcPr>
          <w:p w14:paraId="457CE327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323270F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31</w:t>
            </w:r>
          </w:p>
        </w:tc>
        <w:tc>
          <w:tcPr>
            <w:tcW w:w="992" w:type="dxa"/>
          </w:tcPr>
          <w:p w14:paraId="569E46C3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110D784A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116</w:t>
            </w:r>
          </w:p>
        </w:tc>
        <w:tc>
          <w:tcPr>
            <w:tcW w:w="851" w:type="dxa"/>
          </w:tcPr>
          <w:p w14:paraId="4CCC735E" w14:textId="77777777" w:rsidR="00896C17" w:rsidRDefault="00896C17" w:rsidP="00896C17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5A72B7BC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7DFF9849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22</w:t>
            </w:r>
          </w:p>
        </w:tc>
      </w:tr>
      <w:tr w:rsidR="00896C17" w14:paraId="758912CB" w14:textId="77777777" w:rsidTr="00896C17">
        <w:trPr>
          <w:trHeight w:hRule="exact" w:val="260"/>
        </w:trPr>
        <w:tc>
          <w:tcPr>
            <w:tcW w:w="1134" w:type="dxa"/>
          </w:tcPr>
          <w:p w14:paraId="08E298A6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91</w:t>
            </w:r>
          </w:p>
        </w:tc>
        <w:tc>
          <w:tcPr>
            <w:tcW w:w="851" w:type="dxa"/>
          </w:tcPr>
          <w:p w14:paraId="7806C7CE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72C302F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354148C7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2491BBA2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117</w:t>
            </w:r>
          </w:p>
        </w:tc>
        <w:tc>
          <w:tcPr>
            <w:tcW w:w="851" w:type="dxa"/>
          </w:tcPr>
          <w:p w14:paraId="05D7F851" w14:textId="77777777" w:rsidR="00896C17" w:rsidRDefault="00896C17" w:rsidP="00896C17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495DF352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344C7DF6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18</w:t>
            </w:r>
          </w:p>
        </w:tc>
      </w:tr>
      <w:tr w:rsidR="00896C17" w14:paraId="133CF19F" w14:textId="77777777" w:rsidTr="00896C17">
        <w:trPr>
          <w:trHeight w:hRule="exact" w:val="260"/>
        </w:trPr>
        <w:tc>
          <w:tcPr>
            <w:tcW w:w="1134" w:type="dxa"/>
          </w:tcPr>
          <w:p w14:paraId="26A2DA14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92</w:t>
            </w:r>
          </w:p>
        </w:tc>
        <w:tc>
          <w:tcPr>
            <w:tcW w:w="851" w:type="dxa"/>
          </w:tcPr>
          <w:p w14:paraId="5094ED22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C5A1035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35</w:t>
            </w:r>
          </w:p>
        </w:tc>
        <w:tc>
          <w:tcPr>
            <w:tcW w:w="992" w:type="dxa"/>
          </w:tcPr>
          <w:p w14:paraId="262CBFCF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1DC73A19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118</w:t>
            </w:r>
          </w:p>
        </w:tc>
        <w:tc>
          <w:tcPr>
            <w:tcW w:w="851" w:type="dxa"/>
          </w:tcPr>
          <w:p w14:paraId="7F0C9902" w14:textId="77777777" w:rsidR="00896C17" w:rsidRDefault="00896C17" w:rsidP="00896C17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2156F051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1F4E2061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14</w:t>
            </w:r>
          </w:p>
        </w:tc>
      </w:tr>
      <w:tr w:rsidR="00896C17" w14:paraId="0E8B9AAD" w14:textId="77777777" w:rsidTr="00896C17">
        <w:trPr>
          <w:trHeight w:hRule="exact" w:val="260"/>
        </w:trPr>
        <w:tc>
          <w:tcPr>
            <w:tcW w:w="1134" w:type="dxa"/>
          </w:tcPr>
          <w:p w14:paraId="240E2613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93</w:t>
            </w:r>
          </w:p>
        </w:tc>
        <w:tc>
          <w:tcPr>
            <w:tcW w:w="851" w:type="dxa"/>
          </w:tcPr>
          <w:p w14:paraId="4DD75B0D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9CCEBBF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257CD90D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419F9952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119</w:t>
            </w:r>
          </w:p>
        </w:tc>
        <w:tc>
          <w:tcPr>
            <w:tcW w:w="851" w:type="dxa"/>
          </w:tcPr>
          <w:p w14:paraId="22C9B136" w14:textId="77777777" w:rsidR="00896C17" w:rsidRDefault="00896C17" w:rsidP="00896C17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2EA036F7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53696D1C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11</w:t>
            </w:r>
          </w:p>
        </w:tc>
      </w:tr>
      <w:tr w:rsidR="00896C17" w14:paraId="622C7588" w14:textId="77777777" w:rsidTr="00896C17">
        <w:trPr>
          <w:trHeight w:hRule="exact" w:val="260"/>
        </w:trPr>
        <w:tc>
          <w:tcPr>
            <w:tcW w:w="1134" w:type="dxa"/>
          </w:tcPr>
          <w:p w14:paraId="1CB9879C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94</w:t>
            </w:r>
          </w:p>
        </w:tc>
        <w:tc>
          <w:tcPr>
            <w:tcW w:w="851" w:type="dxa"/>
          </w:tcPr>
          <w:p w14:paraId="14943E52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62790AE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06E6223B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45BBDBB1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120</w:t>
            </w:r>
          </w:p>
        </w:tc>
        <w:tc>
          <w:tcPr>
            <w:tcW w:w="851" w:type="dxa"/>
          </w:tcPr>
          <w:p w14:paraId="52E80039" w14:textId="77777777" w:rsidR="00896C17" w:rsidRDefault="00896C17" w:rsidP="00896C17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295D6C44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000F3337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9</w:t>
            </w:r>
          </w:p>
        </w:tc>
      </w:tr>
      <w:tr w:rsidR="00896C17" w14:paraId="7DCA6744" w14:textId="77777777" w:rsidTr="00896C17">
        <w:trPr>
          <w:trHeight w:hRule="exact" w:val="260"/>
        </w:trPr>
        <w:tc>
          <w:tcPr>
            <w:tcW w:w="1134" w:type="dxa"/>
          </w:tcPr>
          <w:p w14:paraId="5EA5D738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95</w:t>
            </w:r>
          </w:p>
        </w:tc>
        <w:tc>
          <w:tcPr>
            <w:tcW w:w="851" w:type="dxa"/>
          </w:tcPr>
          <w:p w14:paraId="1B3E6DA4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4500EE71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47</w:t>
            </w:r>
          </w:p>
        </w:tc>
        <w:tc>
          <w:tcPr>
            <w:tcW w:w="992" w:type="dxa"/>
          </w:tcPr>
          <w:p w14:paraId="4FC831ED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4E3038DF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121</w:t>
            </w:r>
          </w:p>
        </w:tc>
        <w:tc>
          <w:tcPr>
            <w:tcW w:w="851" w:type="dxa"/>
          </w:tcPr>
          <w:p w14:paraId="2B02B2CE" w14:textId="77777777" w:rsidR="00896C17" w:rsidRDefault="00896C17" w:rsidP="00896C17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219262FA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07EBD802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7</w:t>
            </w:r>
          </w:p>
        </w:tc>
      </w:tr>
      <w:tr w:rsidR="00896C17" w14:paraId="1436F2BC" w14:textId="77777777" w:rsidTr="00896C17">
        <w:trPr>
          <w:trHeight w:hRule="exact" w:val="260"/>
        </w:trPr>
        <w:tc>
          <w:tcPr>
            <w:tcW w:w="1134" w:type="dxa"/>
          </w:tcPr>
          <w:p w14:paraId="58E891CA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96</w:t>
            </w:r>
          </w:p>
        </w:tc>
        <w:tc>
          <w:tcPr>
            <w:tcW w:w="851" w:type="dxa"/>
          </w:tcPr>
          <w:p w14:paraId="6D2DD669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128766CB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37</w:t>
            </w:r>
          </w:p>
        </w:tc>
        <w:tc>
          <w:tcPr>
            <w:tcW w:w="992" w:type="dxa"/>
          </w:tcPr>
          <w:p w14:paraId="6F7F3BE8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48</w:t>
            </w:r>
          </w:p>
        </w:tc>
        <w:tc>
          <w:tcPr>
            <w:tcW w:w="1134" w:type="dxa"/>
          </w:tcPr>
          <w:p w14:paraId="7F2A1C07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122</w:t>
            </w:r>
          </w:p>
        </w:tc>
        <w:tc>
          <w:tcPr>
            <w:tcW w:w="851" w:type="dxa"/>
          </w:tcPr>
          <w:p w14:paraId="0D82365A" w14:textId="77777777" w:rsidR="00896C17" w:rsidRDefault="00896C17" w:rsidP="00896C17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576BCD45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5DAEC135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6</w:t>
            </w:r>
          </w:p>
        </w:tc>
      </w:tr>
      <w:tr w:rsidR="00896C17" w14:paraId="6DAF53FA" w14:textId="77777777" w:rsidTr="00896C17">
        <w:trPr>
          <w:trHeight w:hRule="exact" w:val="260"/>
        </w:trPr>
        <w:tc>
          <w:tcPr>
            <w:tcW w:w="1134" w:type="dxa"/>
          </w:tcPr>
          <w:p w14:paraId="1B0AE007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97</w:t>
            </w:r>
          </w:p>
        </w:tc>
        <w:tc>
          <w:tcPr>
            <w:tcW w:w="851" w:type="dxa"/>
          </w:tcPr>
          <w:p w14:paraId="0B413C32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60AF00DC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30</w:t>
            </w:r>
          </w:p>
        </w:tc>
        <w:tc>
          <w:tcPr>
            <w:tcW w:w="992" w:type="dxa"/>
          </w:tcPr>
          <w:p w14:paraId="34C0E8B1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67AB8FF0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123</w:t>
            </w:r>
          </w:p>
        </w:tc>
        <w:tc>
          <w:tcPr>
            <w:tcW w:w="851" w:type="dxa"/>
          </w:tcPr>
          <w:p w14:paraId="3BBDC886" w14:textId="77777777" w:rsidR="00896C17" w:rsidRDefault="00896C17" w:rsidP="00896C17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7AC28A74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144672D0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4</w:t>
            </w:r>
          </w:p>
        </w:tc>
      </w:tr>
      <w:tr w:rsidR="00896C17" w14:paraId="32776666" w14:textId="77777777" w:rsidTr="00896C17">
        <w:trPr>
          <w:trHeight w:hRule="exact" w:val="260"/>
        </w:trPr>
        <w:tc>
          <w:tcPr>
            <w:tcW w:w="1134" w:type="dxa"/>
          </w:tcPr>
          <w:p w14:paraId="7A35836B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98</w:t>
            </w:r>
          </w:p>
        </w:tc>
        <w:tc>
          <w:tcPr>
            <w:tcW w:w="851" w:type="dxa"/>
          </w:tcPr>
          <w:p w14:paraId="71FFABC2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786D3679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23</w:t>
            </w:r>
          </w:p>
        </w:tc>
        <w:tc>
          <w:tcPr>
            <w:tcW w:w="992" w:type="dxa"/>
          </w:tcPr>
          <w:p w14:paraId="10CFA9AF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49</w:t>
            </w:r>
          </w:p>
        </w:tc>
        <w:tc>
          <w:tcPr>
            <w:tcW w:w="1134" w:type="dxa"/>
          </w:tcPr>
          <w:p w14:paraId="09AD5D71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124</w:t>
            </w:r>
          </w:p>
        </w:tc>
        <w:tc>
          <w:tcPr>
            <w:tcW w:w="851" w:type="dxa"/>
          </w:tcPr>
          <w:p w14:paraId="5AE67ABC" w14:textId="77777777" w:rsidR="00896C17" w:rsidRDefault="00896C17" w:rsidP="00896C17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56FF7176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20B09CAD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3</w:t>
            </w:r>
          </w:p>
        </w:tc>
      </w:tr>
      <w:tr w:rsidR="00896C17" w14:paraId="5D6B8E1A" w14:textId="77777777" w:rsidTr="00896C17">
        <w:trPr>
          <w:trHeight w:hRule="exact" w:val="260"/>
        </w:trPr>
        <w:tc>
          <w:tcPr>
            <w:tcW w:w="1134" w:type="dxa"/>
          </w:tcPr>
          <w:p w14:paraId="29A030D2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99</w:t>
            </w:r>
          </w:p>
        </w:tc>
        <w:tc>
          <w:tcPr>
            <w:tcW w:w="851" w:type="dxa"/>
          </w:tcPr>
          <w:p w14:paraId="017DB2FF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4E4897C9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51F3C7DF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104790C1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125</w:t>
            </w:r>
          </w:p>
        </w:tc>
        <w:tc>
          <w:tcPr>
            <w:tcW w:w="851" w:type="dxa"/>
          </w:tcPr>
          <w:p w14:paraId="2488EE51" w14:textId="77777777" w:rsidR="00896C17" w:rsidRDefault="00896C17" w:rsidP="00896C17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342B67BA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00371D4C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3</w:t>
            </w:r>
          </w:p>
        </w:tc>
      </w:tr>
      <w:tr w:rsidR="00896C17" w14:paraId="0A7ECAD6" w14:textId="77777777" w:rsidTr="00896C17">
        <w:trPr>
          <w:trHeight w:hRule="exact" w:val="260"/>
        </w:trPr>
        <w:tc>
          <w:tcPr>
            <w:tcW w:w="1134" w:type="dxa"/>
          </w:tcPr>
          <w:p w14:paraId="02375CB5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100</w:t>
            </w:r>
          </w:p>
        </w:tc>
        <w:tc>
          <w:tcPr>
            <w:tcW w:w="851" w:type="dxa"/>
          </w:tcPr>
          <w:p w14:paraId="20EC44C7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2317428A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4E60741C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6553370D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126</w:t>
            </w:r>
          </w:p>
        </w:tc>
        <w:tc>
          <w:tcPr>
            <w:tcW w:w="851" w:type="dxa"/>
          </w:tcPr>
          <w:p w14:paraId="4473E89B" w14:textId="77777777" w:rsidR="00896C17" w:rsidRDefault="00896C17" w:rsidP="00896C17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2DAF57F4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3ACDF6B8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2</w:t>
            </w:r>
          </w:p>
        </w:tc>
      </w:tr>
      <w:tr w:rsidR="00896C17" w14:paraId="7C2516D5" w14:textId="77777777" w:rsidTr="00896C17">
        <w:trPr>
          <w:trHeight w:hRule="exact" w:val="260"/>
        </w:trPr>
        <w:tc>
          <w:tcPr>
            <w:tcW w:w="1134" w:type="dxa"/>
          </w:tcPr>
          <w:p w14:paraId="3D382CFD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101</w:t>
            </w:r>
          </w:p>
        </w:tc>
        <w:tc>
          <w:tcPr>
            <w:tcW w:w="851" w:type="dxa"/>
          </w:tcPr>
          <w:p w14:paraId="2F22B70F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61D5896C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5805DF4E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7454A2D4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127</w:t>
            </w:r>
          </w:p>
        </w:tc>
        <w:tc>
          <w:tcPr>
            <w:tcW w:w="851" w:type="dxa"/>
          </w:tcPr>
          <w:p w14:paraId="6DF783A4" w14:textId="77777777" w:rsidR="00896C17" w:rsidRDefault="00896C17" w:rsidP="00896C17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4B8228AF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5B5F9006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</w:t>
            </w:r>
          </w:p>
        </w:tc>
      </w:tr>
      <w:tr w:rsidR="00896C17" w14:paraId="172BC511" w14:textId="77777777" w:rsidTr="00896C17">
        <w:trPr>
          <w:trHeight w:hRule="exact" w:val="260"/>
        </w:trPr>
        <w:tc>
          <w:tcPr>
            <w:tcW w:w="1134" w:type="dxa"/>
          </w:tcPr>
          <w:p w14:paraId="35E9F5B8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102</w:t>
            </w:r>
          </w:p>
        </w:tc>
        <w:tc>
          <w:tcPr>
            <w:tcW w:w="851" w:type="dxa"/>
          </w:tcPr>
          <w:p w14:paraId="6B8475EC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53ACD605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289B5E40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6B7B8E52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128</w:t>
            </w:r>
          </w:p>
        </w:tc>
        <w:tc>
          <w:tcPr>
            <w:tcW w:w="851" w:type="dxa"/>
          </w:tcPr>
          <w:p w14:paraId="7E0FCE28" w14:textId="77777777" w:rsidR="00896C17" w:rsidRDefault="00896C17" w:rsidP="00896C17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3F64C3CD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17B85F46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</w:t>
            </w:r>
          </w:p>
        </w:tc>
      </w:tr>
      <w:tr w:rsidR="00896C17" w14:paraId="55DCD5D3" w14:textId="77777777" w:rsidTr="00896C17">
        <w:trPr>
          <w:trHeight w:hRule="exact" w:val="260"/>
        </w:trPr>
        <w:tc>
          <w:tcPr>
            <w:tcW w:w="1134" w:type="dxa"/>
          </w:tcPr>
          <w:p w14:paraId="0533DF57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103</w:t>
            </w:r>
          </w:p>
        </w:tc>
        <w:tc>
          <w:tcPr>
            <w:tcW w:w="851" w:type="dxa"/>
          </w:tcPr>
          <w:p w14:paraId="320BCEFE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0A10BD92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3F452E9B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5C19BC5C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129</w:t>
            </w:r>
          </w:p>
        </w:tc>
        <w:tc>
          <w:tcPr>
            <w:tcW w:w="851" w:type="dxa"/>
          </w:tcPr>
          <w:p w14:paraId="625BFD45" w14:textId="77777777" w:rsidR="00896C17" w:rsidRDefault="00896C17" w:rsidP="00896C17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7E1036D3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4F143908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</w:t>
            </w:r>
          </w:p>
        </w:tc>
      </w:tr>
      <w:tr w:rsidR="00896C17" w14:paraId="566070A5" w14:textId="77777777" w:rsidTr="00896C17">
        <w:trPr>
          <w:trHeight w:hRule="exact" w:val="260"/>
        </w:trPr>
        <w:tc>
          <w:tcPr>
            <w:tcW w:w="1134" w:type="dxa"/>
          </w:tcPr>
          <w:p w14:paraId="1403EB67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104</w:t>
            </w:r>
          </w:p>
        </w:tc>
        <w:tc>
          <w:tcPr>
            <w:tcW w:w="851" w:type="dxa"/>
          </w:tcPr>
          <w:p w14:paraId="756A8989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132B32AD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7B43CB85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72E3A1C1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130-140</w:t>
            </w:r>
          </w:p>
        </w:tc>
        <w:tc>
          <w:tcPr>
            <w:tcW w:w="851" w:type="dxa"/>
          </w:tcPr>
          <w:p w14:paraId="21C14D72" w14:textId="77777777" w:rsidR="00896C17" w:rsidRDefault="00896C17" w:rsidP="00896C17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0FC4CA49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0B910B05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&lt;1</w:t>
            </w:r>
          </w:p>
        </w:tc>
      </w:tr>
      <w:tr w:rsidR="00896C17" w14:paraId="5EA818D6" w14:textId="77777777" w:rsidTr="00896C17">
        <w:trPr>
          <w:trHeight w:hRule="exact" w:val="260"/>
        </w:trPr>
        <w:tc>
          <w:tcPr>
            <w:tcW w:w="1134" w:type="dxa"/>
          </w:tcPr>
          <w:p w14:paraId="4CCE3BC3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105</w:t>
            </w:r>
          </w:p>
        </w:tc>
        <w:tc>
          <w:tcPr>
            <w:tcW w:w="851" w:type="dxa"/>
          </w:tcPr>
          <w:p w14:paraId="1ED78F2B" w14:textId="77777777" w:rsidR="00896C17" w:rsidRDefault="00896C17" w:rsidP="00896C17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4E9C2A9B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581B48CF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t>43</w:t>
            </w:r>
          </w:p>
        </w:tc>
        <w:tc>
          <w:tcPr>
            <w:tcW w:w="1134" w:type="dxa"/>
          </w:tcPr>
          <w:p w14:paraId="29C51880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851" w:type="dxa"/>
          </w:tcPr>
          <w:p w14:paraId="09499E2D" w14:textId="77777777" w:rsidR="00896C17" w:rsidRDefault="00896C17" w:rsidP="00896C17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6845D63F" w14:textId="77777777" w:rsidR="00896C17" w:rsidRDefault="00896C17" w:rsidP="00896C17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5A392E0A" w14:textId="77777777" w:rsidR="00896C17" w:rsidRDefault="00896C17" w:rsidP="00896C17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</w:tr>
    </w:tbl>
    <w:p w14:paraId="71CDB676" w14:textId="77777777" w:rsidR="00896C17" w:rsidRPr="008733B5" w:rsidRDefault="00896C17" w:rsidP="00896C17">
      <w:pPr>
        <w:pStyle w:val="SH3nospace"/>
        <w:keepNext/>
        <w:keepLines/>
        <w:rPr>
          <w:sz w:val="20"/>
        </w:rPr>
      </w:pPr>
      <w:r w:rsidRPr="008733B5">
        <w:rPr>
          <w:sz w:val="20"/>
          <w:szCs w:val="20"/>
        </w:rPr>
        <w:t>Source: National Institute of Occupational Safety and Health 1998 Guidelines Publication No. 98-126</w:t>
      </w:r>
    </w:p>
    <w:p w14:paraId="5E0B82FB" w14:textId="3FC96774" w:rsidR="00192B97" w:rsidRPr="00513D05" w:rsidRDefault="00EE4FE8" w:rsidP="00192B97">
      <w:pPr>
        <w:pStyle w:val="SH3"/>
      </w:pPr>
      <w:proofErr w:type="gramStart"/>
      <w:r w:rsidRPr="00EE4FE8">
        <w:rPr>
          <w:b/>
          <w:i/>
        </w:rPr>
        <w:t>tinnitus</w:t>
      </w:r>
      <w:r w:rsidR="00192B97" w:rsidRPr="00513D05">
        <w:t>—</w:t>
      </w:r>
      <w:proofErr w:type="gramEnd"/>
      <w:r w:rsidR="00192B97" w:rsidRPr="00513D05">
        <w:t>see subsection</w:t>
      </w:r>
      <w:r w:rsidR="00192B97">
        <w:t xml:space="preserve"> 7(2).</w:t>
      </w:r>
    </w:p>
    <w:p w14:paraId="7AACB8A9" w14:textId="77777777" w:rsidR="000967CF" w:rsidRDefault="000967CF" w:rsidP="000967CF">
      <w:pPr>
        <w:pStyle w:val="SH3"/>
      </w:pPr>
      <w:r w:rsidRPr="000967CF">
        <w:rPr>
          <w:b/>
          <w:i/>
        </w:rPr>
        <w:t>vascular, muscular or other anatomical source of sound</w:t>
      </w:r>
      <w:r w:rsidRPr="000967CF">
        <w:t xml:space="preserve"> means:</w:t>
      </w:r>
    </w:p>
    <w:p w14:paraId="4F3537A9" w14:textId="77777777" w:rsidR="000967CF" w:rsidRDefault="000967CF" w:rsidP="00BF50FA">
      <w:pPr>
        <w:pStyle w:val="SH4"/>
      </w:pPr>
      <w:r>
        <w:t>acquired arteriovenous fistula;</w:t>
      </w:r>
    </w:p>
    <w:p w14:paraId="47A5296F" w14:textId="77777777" w:rsidR="000967CF" w:rsidRDefault="000967CF" w:rsidP="00AA7A0F">
      <w:pPr>
        <w:pStyle w:val="SH4"/>
      </w:pPr>
      <w:r>
        <w:lastRenderedPageBreak/>
        <w:t>benign intracranial hypertension;</w:t>
      </w:r>
    </w:p>
    <w:p w14:paraId="26335567" w14:textId="77777777" w:rsidR="000967CF" w:rsidRDefault="000967CF" w:rsidP="00EC7096">
      <w:pPr>
        <w:pStyle w:val="SH4"/>
      </w:pPr>
      <w:r>
        <w:t>brachiocephalic artery stenosis;</w:t>
      </w:r>
    </w:p>
    <w:p w14:paraId="1A600E3D" w14:textId="77777777" w:rsidR="000967CF" w:rsidRDefault="000967CF">
      <w:pPr>
        <w:pStyle w:val="SH4"/>
      </w:pPr>
      <w:r>
        <w:t>carotid artery stenosis or dissection;</w:t>
      </w:r>
    </w:p>
    <w:p w14:paraId="720EE803" w14:textId="77777777" w:rsidR="000967CF" w:rsidRDefault="000967CF">
      <w:pPr>
        <w:pStyle w:val="SH4"/>
      </w:pPr>
      <w:proofErr w:type="spellStart"/>
      <w:r>
        <w:t>dural</w:t>
      </w:r>
      <w:proofErr w:type="spellEnd"/>
      <w:r>
        <w:t xml:space="preserve"> venous sinus stenosis;</w:t>
      </w:r>
    </w:p>
    <w:p w14:paraId="40E7C196" w14:textId="77777777" w:rsidR="000967CF" w:rsidRDefault="000967CF">
      <w:pPr>
        <w:pStyle w:val="SH4"/>
      </w:pPr>
      <w:r>
        <w:t>jugular bulb abnormalities;</w:t>
      </w:r>
    </w:p>
    <w:p w14:paraId="15FA7322" w14:textId="77777777" w:rsidR="000967CF" w:rsidRDefault="000967CF">
      <w:pPr>
        <w:pStyle w:val="SH4"/>
      </w:pPr>
      <w:r>
        <w:t>neoplastic and non-neoplastic space-occupying lesions involving or arising near the middle or inner ear;</w:t>
      </w:r>
    </w:p>
    <w:p w14:paraId="441F9872" w14:textId="77777777" w:rsidR="000967CF" w:rsidRDefault="000967CF">
      <w:pPr>
        <w:pStyle w:val="SH4"/>
      </w:pPr>
      <w:r>
        <w:t>vascular conditions causing turbulent blood flow in structures close to the middle or inner ear;</w:t>
      </w:r>
    </w:p>
    <w:p w14:paraId="0B2836FE" w14:textId="77777777" w:rsidR="000967CF" w:rsidRDefault="000967CF">
      <w:pPr>
        <w:pStyle w:val="SH4"/>
      </w:pPr>
      <w:r>
        <w:t>palatal myoclonus;</w:t>
      </w:r>
    </w:p>
    <w:p w14:paraId="20D25F21" w14:textId="77777777" w:rsidR="000967CF" w:rsidRDefault="000967CF">
      <w:pPr>
        <w:pStyle w:val="SH4"/>
      </w:pPr>
      <w:r>
        <w:t xml:space="preserve">patulous </w:t>
      </w:r>
      <w:proofErr w:type="spellStart"/>
      <w:r>
        <w:t>eustachian</w:t>
      </w:r>
      <w:proofErr w:type="spellEnd"/>
      <w:r>
        <w:t xml:space="preserve"> tube;</w:t>
      </w:r>
    </w:p>
    <w:p w14:paraId="419838F3" w14:textId="77777777" w:rsidR="000967CF" w:rsidRDefault="000967CF">
      <w:pPr>
        <w:pStyle w:val="SH4"/>
      </w:pPr>
      <w:r>
        <w:t>spasm of the stapedius or tensor tympani muscles; or</w:t>
      </w:r>
    </w:p>
    <w:p w14:paraId="07CD9274" w14:textId="77777777" w:rsidR="000967CF" w:rsidRPr="000967CF" w:rsidRDefault="000967CF">
      <w:pPr>
        <w:pStyle w:val="SH4"/>
      </w:pPr>
      <w:proofErr w:type="gramStart"/>
      <w:r>
        <w:t>valvular</w:t>
      </w:r>
      <w:proofErr w:type="gramEnd"/>
      <w:r>
        <w:t xml:space="preserve"> heart disease.</w:t>
      </w:r>
    </w:p>
    <w:p w14:paraId="74782D40" w14:textId="77777777"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14:paraId="416CEA89" w14:textId="77777777" w:rsidR="00CF2367" w:rsidRPr="00FA33FB" w:rsidRDefault="00CF2367" w:rsidP="00CF2367"/>
    <w:p w14:paraId="0A6E4E08" w14:textId="77777777"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14:paraId="44B44E97" w14:textId="77777777"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06633" w14:textId="77777777" w:rsidR="008548A7" w:rsidRDefault="008548A7" w:rsidP="00715914">
      <w:pPr>
        <w:spacing w:line="240" w:lineRule="auto"/>
      </w:pPr>
      <w:r>
        <w:separator/>
      </w:r>
    </w:p>
  </w:endnote>
  <w:endnote w:type="continuationSeparator" w:id="0">
    <w:p w14:paraId="67502CBA" w14:textId="77777777" w:rsidR="008548A7" w:rsidRDefault="008548A7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7BCCB62A-FD75-431F-B4E1-12BE29353B8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Yu Gothic UI"/>
    <w:panose1 w:val="00000000000000000000"/>
    <w:charset w:val="8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612FF" w14:textId="77777777" w:rsidR="008548A7" w:rsidRPr="00E33C1C" w:rsidRDefault="008548A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8548A7" w:rsidRPr="00C01863" w14:paraId="6A831BF5" w14:textId="77777777" w:rsidTr="00FA58D5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8388A4" w14:textId="77777777" w:rsidR="008548A7" w:rsidRPr="00C01863" w:rsidRDefault="008548A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51DEAC5" w14:textId="77777777" w:rsidR="008548A7" w:rsidRDefault="008548A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77C476AF" w14:textId="180EC375" w:rsidR="008548A7" w:rsidRDefault="008548A7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EE4FE8">
            <w:rPr>
              <w:i/>
              <w:sz w:val="18"/>
              <w:szCs w:val="18"/>
            </w:rPr>
            <w:t>Tinnitus</w:t>
          </w:r>
          <w:r>
            <w:rPr>
              <w:i/>
              <w:sz w:val="18"/>
              <w:szCs w:val="18"/>
            </w:rPr>
            <w:t xml:space="preserve"> (Reasonable Hypothesis) </w:t>
          </w:r>
          <w:r w:rsidRPr="007C5CE0">
            <w:rPr>
              <w:i/>
              <w:sz w:val="18"/>
            </w:rPr>
            <w:t xml:space="preserve">(No. </w:t>
          </w:r>
          <w:r w:rsidRPr="00EE4FE8">
            <w:rPr>
              <w:i/>
              <w:sz w:val="18"/>
              <w:szCs w:val="18"/>
            </w:rPr>
            <w:t>84</w:t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EE4FE8">
            <w:rPr>
              <w:i/>
              <w:sz w:val="18"/>
              <w:szCs w:val="18"/>
            </w:rPr>
            <w:t>2020</w:t>
          </w:r>
          <w:r w:rsidRPr="007C5CE0">
            <w:rPr>
              <w:i/>
              <w:sz w:val="18"/>
              <w:szCs w:val="18"/>
            </w:rPr>
            <w:t>)</w:t>
          </w:r>
        </w:p>
        <w:p w14:paraId="4709FFB9" w14:textId="77777777" w:rsidR="008548A7" w:rsidRPr="007C5CE0" w:rsidRDefault="008548A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5A448A0" w14:textId="61DD391F" w:rsidR="008548A7" w:rsidRPr="00C01863" w:rsidRDefault="008548A7" w:rsidP="000967CF">
          <w:pPr>
            <w:spacing w:line="0" w:lineRule="atLeast"/>
            <w:ind w:hanging="102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27759">
            <w:rPr>
              <w:i/>
              <w:noProof/>
              <w:sz w:val="18"/>
            </w:rPr>
            <w:t>16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27759">
            <w:rPr>
              <w:i/>
              <w:noProof/>
              <w:sz w:val="18"/>
            </w:rPr>
            <w:t>16</w:t>
          </w:r>
          <w:r>
            <w:rPr>
              <w:i/>
              <w:sz w:val="18"/>
            </w:rPr>
            <w:fldChar w:fldCharType="end"/>
          </w:r>
        </w:p>
      </w:tc>
    </w:tr>
  </w:tbl>
  <w:p w14:paraId="42D46D2E" w14:textId="77777777" w:rsidR="008548A7" w:rsidRPr="004A2007" w:rsidRDefault="008548A7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C35B9" w14:textId="77777777" w:rsidR="008548A7" w:rsidRPr="00E33C1C" w:rsidRDefault="008548A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850"/>
    </w:tblGrid>
    <w:tr w:rsidR="008548A7" w:rsidRPr="00C01863" w14:paraId="44970806" w14:textId="77777777" w:rsidTr="00DA0F68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45E0F0" w14:textId="77777777" w:rsidR="008548A7" w:rsidRPr="00C01863" w:rsidRDefault="008548A7" w:rsidP="004A200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1D30BCA" w14:textId="77777777" w:rsidR="008548A7" w:rsidRDefault="008548A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58780B7D" w14:textId="4514BB67" w:rsidR="008548A7" w:rsidRDefault="008548A7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EE4FE8">
            <w:rPr>
              <w:i/>
              <w:sz w:val="18"/>
              <w:szCs w:val="18"/>
            </w:rPr>
            <w:t>Tinnitus</w:t>
          </w:r>
          <w:r>
            <w:rPr>
              <w:i/>
              <w:sz w:val="18"/>
              <w:szCs w:val="18"/>
            </w:rPr>
            <w:t xml:space="preserve"> (Reasonable Hypothesis) </w:t>
          </w:r>
          <w:r w:rsidRPr="007C5CE0">
            <w:rPr>
              <w:i/>
              <w:sz w:val="18"/>
            </w:rPr>
            <w:t xml:space="preserve">(No. </w:t>
          </w:r>
          <w:r w:rsidRPr="00EE4FE8">
            <w:rPr>
              <w:i/>
              <w:sz w:val="18"/>
              <w:szCs w:val="18"/>
            </w:rPr>
            <w:t>84</w:t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EE4FE8">
            <w:rPr>
              <w:i/>
              <w:sz w:val="18"/>
              <w:szCs w:val="18"/>
            </w:rPr>
            <w:t>2020</w:t>
          </w:r>
          <w:r w:rsidRPr="007C5CE0">
            <w:rPr>
              <w:i/>
              <w:sz w:val="18"/>
              <w:szCs w:val="18"/>
            </w:rPr>
            <w:t>)</w:t>
          </w:r>
        </w:p>
        <w:p w14:paraId="105DA2B7" w14:textId="77777777" w:rsidR="008548A7" w:rsidRPr="007C5CE0" w:rsidRDefault="008548A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337F3F6" w14:textId="1C6DF0C4" w:rsidR="008548A7" w:rsidRPr="00C01863" w:rsidRDefault="008548A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2775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27759">
            <w:rPr>
              <w:i/>
              <w:noProof/>
              <w:sz w:val="18"/>
            </w:rPr>
            <w:t>16</w:t>
          </w:r>
          <w:r>
            <w:rPr>
              <w:i/>
              <w:sz w:val="18"/>
            </w:rPr>
            <w:fldChar w:fldCharType="end"/>
          </w:r>
        </w:p>
      </w:tc>
    </w:tr>
  </w:tbl>
  <w:p w14:paraId="711B9822" w14:textId="77777777" w:rsidR="008548A7" w:rsidRPr="004A2007" w:rsidRDefault="008548A7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FD301" w14:textId="77777777" w:rsidR="008548A7" w:rsidRPr="004A2007" w:rsidRDefault="008548A7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84421" w14:textId="77777777" w:rsidR="008548A7" w:rsidRPr="00A254EA" w:rsidRDefault="008548A7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8C695" w14:textId="77777777" w:rsidR="008548A7" w:rsidRPr="00E33C1C" w:rsidRDefault="008548A7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00A0C" w14:textId="77777777" w:rsidR="008548A7" w:rsidRPr="004A2007" w:rsidRDefault="008548A7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B18EE" w14:textId="77777777" w:rsidR="008548A7" w:rsidRPr="004A2007" w:rsidRDefault="008548A7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F82C2" w14:textId="77777777" w:rsidR="008548A7" w:rsidRDefault="008548A7" w:rsidP="00715914">
      <w:pPr>
        <w:spacing w:line="240" w:lineRule="auto"/>
      </w:pPr>
      <w:r>
        <w:separator/>
      </w:r>
    </w:p>
  </w:footnote>
  <w:footnote w:type="continuationSeparator" w:id="0">
    <w:p w14:paraId="64C1541C" w14:textId="77777777" w:rsidR="008548A7" w:rsidRDefault="008548A7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3E603" w14:textId="158FBA19" w:rsidR="008548A7" w:rsidRPr="00ED20B7" w:rsidRDefault="008548A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27921" w14:textId="77777777" w:rsidR="008548A7" w:rsidRPr="004A2007" w:rsidRDefault="008548A7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CF755" w14:textId="77777777" w:rsidR="008548A7" w:rsidRDefault="008548A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14:paraId="6DA965DF" w14:textId="77777777" w:rsidR="008548A7" w:rsidRDefault="008548A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9C610" w14:textId="77777777" w:rsidR="008548A7" w:rsidRDefault="008548A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4A0EB" w14:textId="77777777" w:rsidR="008548A7" w:rsidRPr="004A2007" w:rsidRDefault="008548A7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8E3C1" w14:textId="77777777" w:rsidR="008548A7" w:rsidRPr="004A2007" w:rsidRDefault="008548A7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DCABF" w14:textId="77777777" w:rsidR="008548A7" w:rsidRPr="007A1328" w:rsidRDefault="008548A7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F4307AE0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78D4229C"/>
    <w:multiLevelType w:val="hybridMultilevel"/>
    <w:tmpl w:val="C7E634C0"/>
    <w:lvl w:ilvl="0" w:tplc="2D3228E2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 w:numId="2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05EA"/>
    <w:rsid w:val="00021CE7"/>
    <w:rsid w:val="00022EF8"/>
    <w:rsid w:val="00024911"/>
    <w:rsid w:val="00032E05"/>
    <w:rsid w:val="000437C1"/>
    <w:rsid w:val="00046E67"/>
    <w:rsid w:val="00051B75"/>
    <w:rsid w:val="0005365D"/>
    <w:rsid w:val="00054930"/>
    <w:rsid w:val="00056D98"/>
    <w:rsid w:val="000614BF"/>
    <w:rsid w:val="00061E3E"/>
    <w:rsid w:val="00066DBE"/>
    <w:rsid w:val="00081B7C"/>
    <w:rsid w:val="00085567"/>
    <w:rsid w:val="0008674F"/>
    <w:rsid w:val="000967CF"/>
    <w:rsid w:val="000972D7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275AC"/>
    <w:rsid w:val="00132CEB"/>
    <w:rsid w:val="00137D25"/>
    <w:rsid w:val="00137FE9"/>
    <w:rsid w:val="00142B62"/>
    <w:rsid w:val="00145A2D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2B97"/>
    <w:rsid w:val="001939E1"/>
    <w:rsid w:val="00194C3E"/>
    <w:rsid w:val="00195382"/>
    <w:rsid w:val="001A1438"/>
    <w:rsid w:val="001A7D2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3A6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32D"/>
    <w:rsid w:val="002D74C5"/>
    <w:rsid w:val="002E35CD"/>
    <w:rsid w:val="002E3F4B"/>
    <w:rsid w:val="002E7ED3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190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8A7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D69B1"/>
    <w:rsid w:val="003E341B"/>
    <w:rsid w:val="003F39C0"/>
    <w:rsid w:val="003F4535"/>
    <w:rsid w:val="00402772"/>
    <w:rsid w:val="004116CD"/>
    <w:rsid w:val="00411834"/>
    <w:rsid w:val="0041386E"/>
    <w:rsid w:val="004144EC"/>
    <w:rsid w:val="00417EB9"/>
    <w:rsid w:val="00420A33"/>
    <w:rsid w:val="0042300E"/>
    <w:rsid w:val="00424CA9"/>
    <w:rsid w:val="00427759"/>
    <w:rsid w:val="00431E9B"/>
    <w:rsid w:val="00436129"/>
    <w:rsid w:val="004379E3"/>
    <w:rsid w:val="0044015E"/>
    <w:rsid w:val="0044291A"/>
    <w:rsid w:val="00444ABD"/>
    <w:rsid w:val="004526AC"/>
    <w:rsid w:val="00456CE5"/>
    <w:rsid w:val="0046232B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1652"/>
    <w:rsid w:val="0050557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1C62"/>
    <w:rsid w:val="005574D1"/>
    <w:rsid w:val="00557B86"/>
    <w:rsid w:val="00571FBB"/>
    <w:rsid w:val="0057551D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6D41"/>
    <w:rsid w:val="00677CC2"/>
    <w:rsid w:val="006840B0"/>
    <w:rsid w:val="00684C0E"/>
    <w:rsid w:val="006905DE"/>
    <w:rsid w:val="0069207B"/>
    <w:rsid w:val="0069220C"/>
    <w:rsid w:val="00692C6B"/>
    <w:rsid w:val="00695023"/>
    <w:rsid w:val="006B5789"/>
    <w:rsid w:val="006C30C5"/>
    <w:rsid w:val="006C4E18"/>
    <w:rsid w:val="006C7F8C"/>
    <w:rsid w:val="006D6CB3"/>
    <w:rsid w:val="006E212F"/>
    <w:rsid w:val="006E4127"/>
    <w:rsid w:val="006E50EF"/>
    <w:rsid w:val="006E6246"/>
    <w:rsid w:val="006F318F"/>
    <w:rsid w:val="006F4226"/>
    <w:rsid w:val="006F429D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0AB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581"/>
    <w:rsid w:val="008117E9"/>
    <w:rsid w:val="00824498"/>
    <w:rsid w:val="008321ED"/>
    <w:rsid w:val="00832C32"/>
    <w:rsid w:val="00842EA3"/>
    <w:rsid w:val="00846A89"/>
    <w:rsid w:val="00850A63"/>
    <w:rsid w:val="0085384C"/>
    <w:rsid w:val="008548A7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96C17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5672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4B77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D74F6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1E34"/>
    <w:rsid w:val="00AA64D6"/>
    <w:rsid w:val="00AA6D8B"/>
    <w:rsid w:val="00AA7A0F"/>
    <w:rsid w:val="00AB7D48"/>
    <w:rsid w:val="00AC5296"/>
    <w:rsid w:val="00AD2DC7"/>
    <w:rsid w:val="00AD5641"/>
    <w:rsid w:val="00AD7889"/>
    <w:rsid w:val="00AD7AC2"/>
    <w:rsid w:val="00AD7DCC"/>
    <w:rsid w:val="00AE67D2"/>
    <w:rsid w:val="00AE6FF2"/>
    <w:rsid w:val="00AF021B"/>
    <w:rsid w:val="00AF06CF"/>
    <w:rsid w:val="00B004CA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47FBF"/>
    <w:rsid w:val="00B50826"/>
    <w:rsid w:val="00B50ADC"/>
    <w:rsid w:val="00B527C0"/>
    <w:rsid w:val="00B566B1"/>
    <w:rsid w:val="00B63371"/>
    <w:rsid w:val="00B63834"/>
    <w:rsid w:val="00B65CB9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5890"/>
    <w:rsid w:val="00BA691F"/>
    <w:rsid w:val="00BB4E1A"/>
    <w:rsid w:val="00BB78C9"/>
    <w:rsid w:val="00BC015E"/>
    <w:rsid w:val="00BC76AC"/>
    <w:rsid w:val="00BC7E3E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0FA"/>
    <w:rsid w:val="00BF525F"/>
    <w:rsid w:val="00C01863"/>
    <w:rsid w:val="00C11D03"/>
    <w:rsid w:val="00C23CAA"/>
    <w:rsid w:val="00C25E7F"/>
    <w:rsid w:val="00C2746F"/>
    <w:rsid w:val="00C324A0"/>
    <w:rsid w:val="00C3300F"/>
    <w:rsid w:val="00C3358D"/>
    <w:rsid w:val="00C349C5"/>
    <w:rsid w:val="00C3520D"/>
    <w:rsid w:val="00C42BF8"/>
    <w:rsid w:val="00C50043"/>
    <w:rsid w:val="00C5731E"/>
    <w:rsid w:val="00C670B0"/>
    <w:rsid w:val="00C738B9"/>
    <w:rsid w:val="00C754C6"/>
    <w:rsid w:val="00C7573B"/>
    <w:rsid w:val="00C77046"/>
    <w:rsid w:val="00C93C03"/>
    <w:rsid w:val="00C94B58"/>
    <w:rsid w:val="00C96667"/>
    <w:rsid w:val="00C96675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1D5F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0F68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2899"/>
    <w:rsid w:val="00DF5291"/>
    <w:rsid w:val="00DF6D11"/>
    <w:rsid w:val="00E05704"/>
    <w:rsid w:val="00E11E44"/>
    <w:rsid w:val="00E225EC"/>
    <w:rsid w:val="00E22949"/>
    <w:rsid w:val="00E3270E"/>
    <w:rsid w:val="00E338EF"/>
    <w:rsid w:val="00E35C4E"/>
    <w:rsid w:val="00E41C06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096"/>
    <w:rsid w:val="00EC7405"/>
    <w:rsid w:val="00ED20B7"/>
    <w:rsid w:val="00ED21FE"/>
    <w:rsid w:val="00ED2BB6"/>
    <w:rsid w:val="00ED34E1"/>
    <w:rsid w:val="00ED3B8D"/>
    <w:rsid w:val="00ED46FF"/>
    <w:rsid w:val="00ED4913"/>
    <w:rsid w:val="00EE453C"/>
    <w:rsid w:val="00EE4FE8"/>
    <w:rsid w:val="00EF2E3A"/>
    <w:rsid w:val="00F03C06"/>
    <w:rsid w:val="00F072A7"/>
    <w:rsid w:val="00F078DC"/>
    <w:rsid w:val="00F32BA8"/>
    <w:rsid w:val="00F349F1"/>
    <w:rsid w:val="00F4350D"/>
    <w:rsid w:val="00F53DD9"/>
    <w:rsid w:val="00F567F7"/>
    <w:rsid w:val="00F62036"/>
    <w:rsid w:val="00F65B52"/>
    <w:rsid w:val="00F67B67"/>
    <w:rsid w:val="00F67BCA"/>
    <w:rsid w:val="00F737EA"/>
    <w:rsid w:val="00F73BD6"/>
    <w:rsid w:val="00F752BB"/>
    <w:rsid w:val="00F83264"/>
    <w:rsid w:val="00F83989"/>
    <w:rsid w:val="00F83D85"/>
    <w:rsid w:val="00F8428B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A58D5"/>
    <w:rsid w:val="00FB3EF0"/>
    <w:rsid w:val="00FB533A"/>
    <w:rsid w:val="00FD0458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7C0FA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BF50FA"/>
    <w:pPr>
      <w:numPr>
        <w:ilvl w:val="3"/>
        <w:numId w:val="5"/>
      </w:numPr>
      <w:tabs>
        <w:tab w:val="left" w:pos="851"/>
      </w:tabs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557B86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7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9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96"/>
    <w:rPr>
      <w:b/>
      <w:bCs/>
      <w:lang w:eastAsia="en-US"/>
    </w:rPr>
  </w:style>
  <w:style w:type="paragraph" w:styleId="Revision">
    <w:name w:val="Revision"/>
    <w:hidden/>
    <w:uiPriority w:val="99"/>
    <w:semiHidden/>
    <w:rsid w:val="00DA0F68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3871</Words>
  <Characters>22065</Characters>
  <Application>Microsoft Office Word</Application>
  <DocSecurity>0</DocSecurity>
  <PresentationFormat/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2020-09-23T07:49:00Z</dcterms:created>
  <dcterms:modified xsi:type="dcterms:W3CDTF">2020-10-27T06:54:00Z</dcterms:modified>
  <cp:category/>
  <cp:contentStatus/>
  <dc:language/>
  <cp:version/>
</cp:coreProperties>
</file>