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624EE9" w:rsidP="006647B7">
      <w:pPr>
        <w:pStyle w:val="Plainheader"/>
      </w:pPr>
      <w:r>
        <w:t>CLUSTER HEADACHE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712039">
        <w:t>57</w:t>
      </w:r>
      <w:bookmarkEnd w:id="0"/>
      <w:r w:rsidRPr="00024911">
        <w:t xml:space="preserve"> of</w:t>
      </w:r>
      <w:r w:rsidR="00085567">
        <w:t xml:space="preserve"> </w:t>
      </w:r>
      <w:r w:rsidR="00CA67BE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712039">
        <w:rPr>
          <w:b w:val="0"/>
        </w:rPr>
        <w:t>22 June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445FD5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6B07D22" wp14:editId="1BBD5E44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7360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73603">
        <w:rPr>
          <w:noProof/>
        </w:rPr>
        <w:t>1</w:t>
      </w:r>
      <w:r w:rsidR="00E7360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73603">
        <w:rPr>
          <w:noProof/>
        </w:rPr>
        <w:t>Name</w:t>
      </w:r>
      <w:r w:rsidR="00E73603">
        <w:rPr>
          <w:noProof/>
        </w:rPr>
        <w:tab/>
      </w:r>
      <w:r w:rsidR="00E73603">
        <w:rPr>
          <w:noProof/>
        </w:rPr>
        <w:fldChar w:fldCharType="begin"/>
      </w:r>
      <w:r w:rsidR="00E73603">
        <w:rPr>
          <w:noProof/>
        </w:rPr>
        <w:instrText xml:space="preserve"> PAGEREF _Toc512524775 \h </w:instrText>
      </w:r>
      <w:r w:rsidR="00E73603">
        <w:rPr>
          <w:noProof/>
        </w:rPr>
      </w:r>
      <w:r w:rsidR="00E73603">
        <w:rPr>
          <w:noProof/>
        </w:rPr>
        <w:fldChar w:fldCharType="separate"/>
      </w:r>
      <w:r w:rsidR="00B45E36">
        <w:rPr>
          <w:noProof/>
        </w:rPr>
        <w:t>3</w:t>
      </w:r>
      <w:r w:rsidR="00E73603"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_Toc512524776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_Toc512524777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_Toc512524778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_Toc512524779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_Toc512524780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_Toc512524781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3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_Toc512524782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4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_Toc512524783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5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_Toc512524784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6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_Toc512524785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6</w:t>
      </w:r>
      <w:r>
        <w:rPr>
          <w:noProof/>
        </w:rPr>
        <w:fldChar w:fldCharType="end"/>
      </w:r>
    </w:p>
    <w:p w:rsidR="00E73603" w:rsidRDefault="00E736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_Toc512524786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7</w:t>
      </w:r>
      <w:r>
        <w:rPr>
          <w:noProof/>
        </w:rPr>
        <w:fldChar w:fldCharType="end"/>
      </w:r>
    </w:p>
    <w:p w:rsidR="00E73603" w:rsidRDefault="00E7360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_Toc512524787 \h </w:instrText>
      </w:r>
      <w:r>
        <w:rPr>
          <w:noProof/>
        </w:rPr>
      </w:r>
      <w:r>
        <w:rPr>
          <w:noProof/>
        </w:rPr>
        <w:fldChar w:fldCharType="separate"/>
      </w:r>
      <w:r w:rsidR="00B45E36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2" w:name="_Toc512524775"/>
      <w:r>
        <w:lastRenderedPageBreak/>
        <w:t>Name</w:t>
      </w:r>
      <w:bookmarkEnd w:id="2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624EE9">
        <w:rPr>
          <w:i/>
        </w:rPr>
        <w:t>cluster headache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12039">
        <w:t>57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A67BE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4" w:name="_Toc512524776"/>
      <w:r w:rsidRPr="00684C0E">
        <w:t>Commencement</w:t>
      </w:r>
      <w:bookmarkEnd w:id="4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12039">
        <w:t>23 July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5" w:name="_Toc512524777"/>
      <w:r w:rsidRPr="00684C0E">
        <w:t>Authority</w:t>
      </w:r>
      <w:bookmarkEnd w:id="5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6" w:name="_Toc512524778"/>
      <w:r>
        <w:t>Re</w:t>
      </w:r>
      <w:r w:rsidR="00FF021D">
        <w:t>peal</w:t>
      </w:r>
      <w:bookmarkEnd w:id="6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24EE9">
        <w:t>cluster headache</w:t>
      </w:r>
      <w:r w:rsidRPr="00DA3996">
        <w:t xml:space="preserve"> No. </w:t>
      </w:r>
      <w:r w:rsidR="00CA67BE">
        <w:t xml:space="preserve">20 </w:t>
      </w:r>
      <w:r w:rsidRPr="00DA3996">
        <w:t xml:space="preserve">of </w:t>
      </w:r>
      <w:r w:rsidR="00CA67BE">
        <w:t>2010</w:t>
      </w:r>
      <w:r w:rsidRPr="00DA3996">
        <w:t xml:space="preserve"> </w:t>
      </w:r>
      <w:r w:rsidR="00FF021D" w:rsidRPr="005F5B45">
        <w:t xml:space="preserve">(Federal Register of Legislation No. </w:t>
      </w:r>
      <w:r w:rsidR="00FF021D" w:rsidRPr="00FF021D">
        <w:t>F2010L01036</w:t>
      </w:r>
      <w:r w:rsidR="00FF021D" w:rsidRPr="005F5B45">
        <w:t>)</w:t>
      </w:r>
      <w:r w:rsidR="00FF021D">
        <w:t xml:space="preserve"> </w:t>
      </w:r>
      <w:r w:rsidRPr="00DA3996">
        <w:t xml:space="preserve">made under subsection 196B(2) of the VEA </w:t>
      </w:r>
      <w:r>
        <w:t>i</w:t>
      </w:r>
      <w:r w:rsidRPr="007527C1">
        <w:t>s</w:t>
      </w:r>
      <w:r>
        <w:t xml:space="preserve"> re</w:t>
      </w:r>
      <w:r w:rsidR="00FF021D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7" w:name="_Toc512524779"/>
      <w:r w:rsidRPr="00684C0E">
        <w:t>Application</w:t>
      </w:r>
      <w:bookmarkEnd w:id="7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8" w:name="_Ref410129949"/>
      <w:bookmarkStart w:id="9" w:name="_Toc512524780"/>
      <w:r w:rsidRPr="00684C0E">
        <w:t>Definitions</w:t>
      </w:r>
      <w:bookmarkEnd w:id="8"/>
      <w:bookmarkEnd w:id="9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1252478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FC0781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624EE9">
        <w:t>cluster headache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24EE9">
        <w:t>cluster headache</w:t>
      </w:r>
      <w:r w:rsidRPr="00D5620B">
        <w:t>.</w:t>
      </w:r>
      <w:bookmarkEnd w:id="14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24EE9">
        <w:rPr>
          <w:b/>
        </w:rPr>
        <w:t>cluster headache</w:t>
      </w:r>
    </w:p>
    <w:p w:rsidR="002716E4" w:rsidRPr="00237BAF" w:rsidRDefault="007C7DEE" w:rsidP="00FC0781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624EE9">
        <w:t>cluster headache</w:t>
      </w:r>
      <w:r w:rsidR="002716E4" w:rsidRPr="00237BAF">
        <w:t>:</w:t>
      </w:r>
      <w:bookmarkEnd w:id="15"/>
    </w:p>
    <w:bookmarkEnd w:id="16"/>
    <w:p w:rsidR="00253D7C" w:rsidRDefault="00CA67BE" w:rsidP="00CA67BE">
      <w:pPr>
        <w:pStyle w:val="LV3"/>
      </w:pPr>
      <w:r w:rsidRPr="00CA67BE">
        <w:t>means a headache condition in which there are multiple attacks of severe, unilateral headache in the orbital, supraorbital or temporal region, where each headache typically lasts from 15 to 180 minutes.</w:t>
      </w:r>
      <w:r w:rsidR="00FF021D">
        <w:t xml:space="preserve"> </w:t>
      </w:r>
      <w:r w:rsidRPr="00CA67BE">
        <w:t xml:space="preserve"> The headache is accompanied by a sense of restlessness or agitation, or at least one of the following autonomic symptoms occurring on the same side as the pain:</w:t>
      </w:r>
    </w:p>
    <w:p w:rsidR="00CA67BE" w:rsidRDefault="00CA67BE" w:rsidP="00CA67BE">
      <w:pPr>
        <w:pStyle w:val="LV4"/>
      </w:pPr>
      <w:r>
        <w:t>conjunctival injection or lacrimation;</w:t>
      </w:r>
    </w:p>
    <w:p w:rsidR="00CA67BE" w:rsidRDefault="00CA67BE" w:rsidP="00CA67BE">
      <w:pPr>
        <w:pStyle w:val="LV4"/>
      </w:pPr>
      <w:r>
        <w:t>eyelid oedema;</w:t>
      </w:r>
    </w:p>
    <w:p w:rsidR="00CA67BE" w:rsidRDefault="00CA67BE" w:rsidP="00CA67BE">
      <w:pPr>
        <w:pStyle w:val="LV4"/>
      </w:pPr>
      <w:r>
        <w:t xml:space="preserve">forehead and facial sweating; </w:t>
      </w:r>
    </w:p>
    <w:p w:rsidR="00FF021D" w:rsidRDefault="00CA67BE" w:rsidP="00CA67BE">
      <w:pPr>
        <w:pStyle w:val="LV4"/>
      </w:pPr>
      <w:r>
        <w:t>miosis or ptosis;</w:t>
      </w:r>
      <w:r w:rsidR="00FF021D">
        <w:t xml:space="preserve"> or</w:t>
      </w:r>
    </w:p>
    <w:p w:rsidR="00CA67BE" w:rsidRPr="008E76DC" w:rsidRDefault="00FF021D" w:rsidP="005A49BE">
      <w:pPr>
        <w:pStyle w:val="LV4"/>
      </w:pPr>
      <w:r>
        <w:lastRenderedPageBreak/>
        <w:t xml:space="preserve">nasal congestion or </w:t>
      </w:r>
      <w:r w:rsidR="00EF4226">
        <w:t>rhinorrhoea</w:t>
      </w:r>
      <w:r>
        <w:t xml:space="preserve">; </w:t>
      </w:r>
      <w:r w:rsidR="00CA67BE">
        <w:t>and</w:t>
      </w:r>
    </w:p>
    <w:p w:rsidR="00253D7C" w:rsidRDefault="00CA67BE" w:rsidP="00CA67BE">
      <w:pPr>
        <w:pStyle w:val="LV3"/>
      </w:pPr>
      <w:r w:rsidRPr="00CA67BE">
        <w:t>includes episodic cluster headache and chronic cluster headache; and</w:t>
      </w:r>
    </w:p>
    <w:p w:rsidR="00253D7C" w:rsidRDefault="00CA67BE" w:rsidP="00253D7C">
      <w:pPr>
        <w:pStyle w:val="LV3"/>
      </w:pPr>
      <w:r>
        <w:t>excludes:</w:t>
      </w:r>
    </w:p>
    <w:p w:rsidR="00FF021D" w:rsidRDefault="00FF021D" w:rsidP="00FF021D">
      <w:pPr>
        <w:pStyle w:val="LV4"/>
      </w:pPr>
      <w:r>
        <w:t xml:space="preserve">headache attributable to inflammatory disorders of the head and neck; </w:t>
      </w:r>
    </w:p>
    <w:p w:rsidR="00FF021D" w:rsidRDefault="00FF021D" w:rsidP="00FF021D">
      <w:pPr>
        <w:pStyle w:val="LV4"/>
      </w:pPr>
      <w:r>
        <w:t xml:space="preserve">headache attributable to structural abnormalities; </w:t>
      </w:r>
    </w:p>
    <w:p w:rsidR="00FF021D" w:rsidRDefault="00FF021D" w:rsidP="00FF021D">
      <w:pPr>
        <w:pStyle w:val="LV4"/>
      </w:pPr>
      <w:r>
        <w:t>headache attributable to systemic disease;</w:t>
      </w:r>
    </w:p>
    <w:p w:rsidR="00FF021D" w:rsidRDefault="00FF021D" w:rsidP="00FF021D">
      <w:pPr>
        <w:pStyle w:val="LV4"/>
      </w:pPr>
      <w:r>
        <w:t>hemicrania continua;</w:t>
      </w:r>
    </w:p>
    <w:p w:rsidR="00FF021D" w:rsidRDefault="00FF021D" w:rsidP="00FF021D">
      <w:pPr>
        <w:pStyle w:val="LV4"/>
      </w:pPr>
      <w:r>
        <w:t>migraine;</w:t>
      </w:r>
    </w:p>
    <w:p w:rsidR="00CA67BE" w:rsidRDefault="00CA67BE" w:rsidP="00CA67BE">
      <w:pPr>
        <w:pStyle w:val="LV4"/>
      </w:pPr>
      <w:r>
        <w:t>paroxysmal hemicrania;</w:t>
      </w:r>
    </w:p>
    <w:p w:rsidR="00CA67BE" w:rsidRDefault="00CA67BE" w:rsidP="00CA67BE">
      <w:pPr>
        <w:pStyle w:val="LV4"/>
      </w:pPr>
      <w:r>
        <w:t>short-lasting unilateral neuralgiform headache attacks with conjunctival injection and tearing (SUNCT);</w:t>
      </w:r>
    </w:p>
    <w:p w:rsidR="00CA67BE" w:rsidRDefault="00CA67BE" w:rsidP="00CA67BE">
      <w:pPr>
        <w:pStyle w:val="LV4"/>
      </w:pPr>
      <w:r>
        <w:t>short-lasting unilateral neuralgiform headache attacks with cranial autonomic symptoms (SUNA);</w:t>
      </w:r>
    </w:p>
    <w:p w:rsidR="00CA67BE" w:rsidRDefault="00CA67BE" w:rsidP="00CA67BE">
      <w:pPr>
        <w:pStyle w:val="LV4"/>
      </w:pPr>
      <w:r>
        <w:t xml:space="preserve">tension-type headache; </w:t>
      </w:r>
      <w:r w:rsidR="00FF021D">
        <w:t>and</w:t>
      </w:r>
    </w:p>
    <w:p w:rsidR="00CA67BE" w:rsidRDefault="00FF021D" w:rsidP="009032D1">
      <w:pPr>
        <w:pStyle w:val="LV4"/>
      </w:pPr>
      <w:r>
        <w:t>trigeminal neuralgia.</w:t>
      </w:r>
    </w:p>
    <w:p w:rsidR="00253D7C" w:rsidRPr="008E76DC" w:rsidRDefault="00253D7C" w:rsidP="00CA67BE">
      <w:pPr>
        <w:pStyle w:val="Note2"/>
        <w:ind w:left="1957" w:hanging="539"/>
      </w:pPr>
      <w:r>
        <w:t xml:space="preserve">Note: </w:t>
      </w:r>
      <w:r w:rsidR="00CA67BE">
        <w:t xml:space="preserve">  </w:t>
      </w:r>
      <w:r w:rsidR="00CA67BE" w:rsidRPr="00CA67BE">
        <w:t>Headache attacks in cluster headache typically occur at a frequency between one every other day and eight per day.</w:t>
      </w:r>
      <w:r w:rsidR="00FF021D">
        <w:t xml:space="preserve"> </w:t>
      </w:r>
      <w:r w:rsidR="00CA67BE" w:rsidRPr="00CA67BE">
        <w:t xml:space="preserve"> In episodic cluster headache disorder only, cluster headache attacks occur in bouts separated by asymptomatic periods which are free from cluster headache attacks.</w:t>
      </w:r>
    </w:p>
    <w:p w:rsidR="008F572A" w:rsidRPr="00237BAF" w:rsidRDefault="008F572A" w:rsidP="00FC0781">
      <w:pPr>
        <w:pStyle w:val="LV2"/>
      </w:pPr>
      <w:r w:rsidRPr="00237BAF">
        <w:t xml:space="preserve">While </w:t>
      </w:r>
      <w:r w:rsidR="00624EE9">
        <w:t>cluster headache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CA67BE" w:rsidRPr="00CA67BE">
        <w:t>G44.0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624EE9">
        <w:t>cluster headache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FC0781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24EE9">
        <w:rPr>
          <w:b/>
        </w:rPr>
        <w:t>cluster headache</w:t>
      </w:r>
    </w:p>
    <w:p w:rsidR="008F572A" w:rsidRPr="00237BAF" w:rsidRDefault="008F572A" w:rsidP="00FC0781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24EE9">
        <w:t>cluster headache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624EE9">
        <w:t>cluster headache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7" w:name="_Toc512524782"/>
      <w:r w:rsidRPr="00A20CA1">
        <w:t>Basis for determining the factors</w:t>
      </w:r>
      <w:bookmarkEnd w:id="17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24EE9">
        <w:t>cluster headache</w:t>
      </w:r>
      <w:r>
        <w:t xml:space="preserve"> </w:t>
      </w:r>
      <w:r w:rsidRPr="00D5620B">
        <w:t>and death from</w:t>
      </w:r>
      <w:r>
        <w:t xml:space="preserve"> </w:t>
      </w:r>
      <w:r w:rsidR="00624EE9">
        <w:t>cluster headache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FF021D">
      <w:pPr>
        <w:pStyle w:val="LV1"/>
        <w:keepNext/>
      </w:pPr>
      <w:bookmarkStart w:id="18" w:name="_Ref411946955"/>
      <w:bookmarkStart w:id="19" w:name="_Ref411946997"/>
      <w:bookmarkStart w:id="20" w:name="_Ref412032503"/>
      <w:bookmarkStart w:id="21" w:name="_Toc512524783"/>
      <w:r w:rsidRPr="00301C54">
        <w:lastRenderedPageBreak/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253D7C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24EE9">
        <w:t>cluster headache</w:t>
      </w:r>
      <w:r w:rsidR="007A3989">
        <w:t xml:space="preserve"> </w:t>
      </w:r>
      <w:r w:rsidR="007C7DEE" w:rsidRPr="00AA6D8B">
        <w:t xml:space="preserve">or death from </w:t>
      </w:r>
      <w:r w:rsidR="00624EE9">
        <w:t>cluster headache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253D7C" w:rsidRPr="008D1B8B" w:rsidRDefault="00CA67BE" w:rsidP="00FC0781">
      <w:pPr>
        <w:pStyle w:val="LV2"/>
      </w:pPr>
      <w:bookmarkStart w:id="23" w:name="_Ref402530260"/>
      <w:bookmarkStart w:id="24" w:name="_Ref409598844"/>
      <w:r w:rsidRPr="00CA67BE">
        <w:t>having trauma to the skull or face of the affected side within the seven days before the clinical onset of cluster headache;</w:t>
      </w:r>
      <w:r w:rsidR="00FC0781">
        <w:t xml:space="preserve"> </w:t>
      </w:r>
    </w:p>
    <w:p w:rsidR="00253D7C" w:rsidRPr="00046E67" w:rsidRDefault="00253D7C" w:rsidP="00253D7C">
      <w:pPr>
        <w:pStyle w:val="Note2"/>
      </w:pPr>
      <w:r>
        <w:t>Note:</w:t>
      </w:r>
      <w:r w:rsidR="00FC0781">
        <w:t xml:space="preserve"> </w:t>
      </w:r>
      <w:r>
        <w:t xml:space="preserve"> </w:t>
      </w:r>
      <w:r w:rsidR="00CA67BE">
        <w:rPr>
          <w:b/>
          <w:i/>
        </w:rPr>
        <w:t>trauma to the skull or face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A67BE" w:rsidRDefault="00CA67BE" w:rsidP="00FC0781">
      <w:pPr>
        <w:pStyle w:val="LV2"/>
        <w:rPr>
          <w:lang w:val="en-US"/>
        </w:rPr>
      </w:pPr>
      <w:r>
        <w:rPr>
          <w:lang w:val="en-US"/>
        </w:rPr>
        <w:t>having concussion or moderate to severe traumatic brain injury before the clinical onset of cluster headache, where cluster headache has developed within the seven days of:</w:t>
      </w:r>
      <w:r w:rsidR="00FC0781">
        <w:rPr>
          <w:lang w:val="en-US"/>
        </w:rPr>
        <w:t xml:space="preserve"> </w:t>
      </w:r>
    </w:p>
    <w:p w:rsidR="00CA67BE" w:rsidRPr="00FC0781" w:rsidRDefault="00CA67BE" w:rsidP="00FC0781">
      <w:pPr>
        <w:pStyle w:val="LV3"/>
        <w:ind w:left="1985"/>
      </w:pPr>
      <w:r w:rsidRPr="00FC0781">
        <w:t>injury to the head; or</w:t>
      </w:r>
    </w:p>
    <w:p w:rsidR="00CA67BE" w:rsidRPr="00FC0781" w:rsidRDefault="00CA67BE" w:rsidP="00FC0781">
      <w:pPr>
        <w:pStyle w:val="LV3"/>
        <w:ind w:left="1985"/>
      </w:pPr>
      <w:r w:rsidRPr="00FC0781">
        <w:t>regaining consciousness following the injury to the head; or</w:t>
      </w:r>
    </w:p>
    <w:p w:rsidR="00CA67BE" w:rsidRPr="00FC0781" w:rsidRDefault="00CA67BE" w:rsidP="00FC0781">
      <w:pPr>
        <w:pStyle w:val="LV3"/>
        <w:ind w:left="1985"/>
      </w:pPr>
      <w:r w:rsidRPr="00FC0781">
        <w:t>discontinuing medication that impairs the ability to sense or report headache following the injury to the head;</w:t>
      </w:r>
    </w:p>
    <w:p w:rsidR="00FC0781" w:rsidRDefault="00FC0781" w:rsidP="00FC0781">
      <w:pPr>
        <w:pStyle w:val="LV2"/>
      </w:pPr>
      <w:r w:rsidRPr="00FC0781">
        <w:t>undergoing eye exenteration of the affected side within the two years before the clinical onset of cluster headache;</w:t>
      </w:r>
      <w:r w:rsidR="007A6DC9">
        <w:t xml:space="preserve"> </w:t>
      </w:r>
    </w:p>
    <w:p w:rsidR="00FC0781" w:rsidRDefault="00FC0781" w:rsidP="00FC0781">
      <w:pPr>
        <w:pStyle w:val="Note2"/>
      </w:pPr>
      <w:r>
        <w:t xml:space="preserve">Note:  </w:t>
      </w:r>
      <w:r>
        <w:rPr>
          <w:b/>
          <w:i/>
        </w:rPr>
        <w:t>exenteration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FC0781" w:rsidRDefault="00FC0781" w:rsidP="00FC0781">
      <w:pPr>
        <w:pStyle w:val="LV2"/>
      </w:pPr>
      <w:r w:rsidRPr="00FC0781">
        <w:t>having sleep apnoea at the time of the clinical onset of cluster headache;</w:t>
      </w:r>
      <w:r w:rsidR="007A6DC9">
        <w:t xml:space="preserve"> </w:t>
      </w:r>
    </w:p>
    <w:p w:rsidR="00FC0781" w:rsidRDefault="00FC0781" w:rsidP="00FC0781">
      <w:pPr>
        <w:pStyle w:val="LV2"/>
      </w:pPr>
      <w:r w:rsidRPr="00FC0781">
        <w:t>smoking at least ten pack-years of cigarettes, or the equivalent thereof in other tobacco products, before the clinical onset of cluster headache;</w:t>
      </w:r>
      <w:r w:rsidR="007A6DC9">
        <w:t xml:space="preserve"> </w:t>
      </w:r>
    </w:p>
    <w:p w:rsidR="00FC0781" w:rsidRDefault="00FC0781" w:rsidP="00FC0781">
      <w:pPr>
        <w:pStyle w:val="Note2"/>
      </w:pPr>
      <w:r>
        <w:t xml:space="preserve">Note:  </w:t>
      </w:r>
      <w:r w:rsidRPr="00FC0781">
        <w:rPr>
          <w:b/>
          <w:i/>
          <w:lang w:val="en-US"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A6DC9" w:rsidRDefault="007A6DC9" w:rsidP="007A6DC9">
      <w:pPr>
        <w:pStyle w:val="LV2"/>
      </w:pPr>
      <w:r w:rsidRPr="007A6DC9">
        <w:t>using intranasal cocaine at least four times per month for the one year before the clinical onset of cluster headache;</w:t>
      </w:r>
      <w:r>
        <w:t xml:space="preserve"> </w:t>
      </w:r>
    </w:p>
    <w:p w:rsidR="00FC0781" w:rsidRDefault="00FC0781" w:rsidP="00FC0781">
      <w:pPr>
        <w:pStyle w:val="LV2"/>
      </w:pPr>
      <w:r w:rsidRPr="00FC0781">
        <w:t>having sleep apnoea at the time of the clinical worsening of cluster headache;</w:t>
      </w:r>
      <w:r w:rsidR="007A6DC9" w:rsidRPr="007A6DC9">
        <w:rPr>
          <w:b/>
        </w:rPr>
        <w:t xml:space="preserve"> </w:t>
      </w:r>
    </w:p>
    <w:p w:rsidR="00FC0781" w:rsidRDefault="00FC0781" w:rsidP="00FC0781">
      <w:pPr>
        <w:pStyle w:val="LV2"/>
      </w:pPr>
      <w:r w:rsidRPr="00FC0781">
        <w:t>smoking at least ten pack-years of cigarettes, or the equivalent thereof in other tobacco products, before the clinical worsening of cluster headache;</w:t>
      </w:r>
      <w:r w:rsidR="007A6DC9">
        <w:t xml:space="preserve"> </w:t>
      </w:r>
    </w:p>
    <w:p w:rsidR="00FC0781" w:rsidRDefault="00FC0781" w:rsidP="00FC0781">
      <w:pPr>
        <w:pStyle w:val="Note2"/>
      </w:pPr>
      <w:r>
        <w:t xml:space="preserve">Note:  </w:t>
      </w:r>
      <w:r w:rsidRPr="00FC0781">
        <w:rPr>
          <w:b/>
          <w:i/>
          <w:lang w:val="en-US"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FC0781" w:rsidRDefault="00FC0781" w:rsidP="00FC0781">
      <w:pPr>
        <w:pStyle w:val="LV2"/>
      </w:pPr>
      <w:r w:rsidRPr="00FC0781">
        <w:t>taking glyceryl trinitrate, isosorbide mononitrate or isosorbide dinitrate within the 24 hours before the clinical worsening of cluster headache;</w:t>
      </w:r>
    </w:p>
    <w:p w:rsidR="007A6DC9" w:rsidRDefault="007A6DC9" w:rsidP="007A6DC9">
      <w:pPr>
        <w:pStyle w:val="LV2"/>
      </w:pPr>
      <w:r w:rsidRPr="00FC0781">
        <w:t>consuming alcohol within the 24 hours before the clinical worsening of cluster headache;</w:t>
      </w:r>
    </w:p>
    <w:p w:rsidR="007A6DC9" w:rsidRDefault="007A6DC9" w:rsidP="007A6DC9">
      <w:pPr>
        <w:pStyle w:val="LV2"/>
      </w:pPr>
      <w:r w:rsidRPr="007A6DC9">
        <w:lastRenderedPageBreak/>
        <w:t>being treated with sildenafil within the 24 hours before the clinical worsening of cluster headache;</w:t>
      </w:r>
      <w:r>
        <w:t xml:space="preserve"> </w:t>
      </w:r>
    </w:p>
    <w:p w:rsidR="007C7DEE" w:rsidRPr="008D1B8B" w:rsidRDefault="007C7DEE" w:rsidP="00FC0781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624EE9">
        <w:t>cluster headache</w:t>
      </w:r>
      <w:r w:rsidR="00D5620B" w:rsidRPr="008D1B8B">
        <w:t>.</w:t>
      </w:r>
      <w:bookmarkEnd w:id="24"/>
    </w:p>
    <w:p w:rsidR="000C21A3" w:rsidRPr="00684C0E" w:rsidRDefault="00D32F71" w:rsidP="00253D7C">
      <w:pPr>
        <w:pStyle w:val="LV1"/>
      </w:pPr>
      <w:bookmarkStart w:id="25" w:name="_Toc512524784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FC0781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FC0781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7A6DC9">
        <w:t>7</w:t>
      </w:r>
      <w:r w:rsidR="00FF1D47">
        <w:t xml:space="preserve">) </w:t>
      </w:r>
      <w:r w:rsidR="007A6DC9">
        <w:t xml:space="preserve">to 9(12)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24EE9">
        <w:t>cluster headache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624EE9">
        <w:t>cluster headache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7" w:name="_Toc51252478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FC0781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FC0781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  <w:r w:rsidR="00A2733E">
        <w:t xml:space="preserve"> 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  <w:bookmarkStart w:id="28" w:name="_GoBack"/>
      <w:bookmarkEnd w:id="28"/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2478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24787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7A6DC9" w:rsidRPr="00513D05" w:rsidRDefault="007A6DC9" w:rsidP="007A6DC9">
      <w:pPr>
        <w:pStyle w:val="SH3"/>
      </w:pPr>
      <w:bookmarkStart w:id="34" w:name="_Ref402530810"/>
      <w:r>
        <w:rPr>
          <w:b/>
          <w:i/>
        </w:rPr>
        <w:t>cluster headache</w:t>
      </w:r>
      <w:r w:rsidRPr="00513D05">
        <w:t>—see subsection</w:t>
      </w:r>
      <w:r>
        <w:t xml:space="preserve"> 7(2).</w:t>
      </w:r>
    </w:p>
    <w:p w:rsidR="00253D7C" w:rsidRDefault="00FC0781" w:rsidP="00FC0781">
      <w:pPr>
        <w:pStyle w:val="SH3"/>
      </w:pPr>
      <w:r w:rsidRPr="00FC0781">
        <w:rPr>
          <w:b/>
          <w:i/>
        </w:rPr>
        <w:t>exenteration</w:t>
      </w:r>
      <w:r w:rsidRPr="00FC0781">
        <w:t xml:space="preserve"> means removal of the entire contents of the orbit of the eye including the eye and extraocular muscles.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7A6DC9" w:rsidRPr="007A6DC9" w:rsidRDefault="007A6DC9" w:rsidP="007A6DC9">
      <w:pPr>
        <w:pStyle w:val="SH3"/>
      </w:pPr>
      <w:bookmarkStart w:id="35" w:name="_Ref402529607"/>
      <w:bookmarkEnd w:id="34"/>
      <w:r w:rsidRPr="007A6DC9">
        <w:rPr>
          <w:b/>
          <w:i/>
        </w:rPr>
        <w:t>pack-years of cigarettes, or the equivalent thereof in other tobacco products</w:t>
      </w:r>
      <w:r w:rsidRPr="007A6DC9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CA67BE" w:rsidRDefault="00CA67BE" w:rsidP="00CA67BE">
      <w:pPr>
        <w:pStyle w:val="SH3"/>
      </w:pPr>
      <w:r w:rsidRPr="00CA67BE">
        <w:rPr>
          <w:b/>
          <w:i/>
        </w:rPr>
        <w:t>trauma to the skull or face</w:t>
      </w:r>
      <w:r>
        <w:t xml:space="preserve"> means an injury to any or all of those areas of the head, resulting in:</w:t>
      </w:r>
    </w:p>
    <w:p w:rsidR="00CA67BE" w:rsidRDefault="00CA67BE" w:rsidP="00CA67BE">
      <w:pPr>
        <w:pStyle w:val="SH4"/>
        <w:ind w:left="1418"/>
      </w:pPr>
      <w:r>
        <w:tab/>
        <w:t>fracture of the underlying bones;</w:t>
      </w:r>
      <w:r w:rsidR="00195B88">
        <w:t xml:space="preserve"> or</w:t>
      </w:r>
    </w:p>
    <w:p w:rsidR="00CA67BE" w:rsidRDefault="00CA67BE" w:rsidP="00CA67BE">
      <w:pPr>
        <w:pStyle w:val="SH4"/>
        <w:ind w:left="1418"/>
      </w:pPr>
      <w:r>
        <w:tab/>
        <w:t xml:space="preserve">laceration of the overlying skin; or </w:t>
      </w:r>
    </w:p>
    <w:p w:rsidR="00CA67BE" w:rsidRPr="00CA67BE" w:rsidRDefault="00CA67BE" w:rsidP="00CA67BE">
      <w:pPr>
        <w:pStyle w:val="SH4"/>
        <w:ind w:left="1418"/>
      </w:pPr>
      <w:r>
        <w:tab/>
        <w:t>external bruise at the site of the trauma.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4EE9" w:rsidRDefault="00624EE9" w:rsidP="00624EE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24EE9" w:rsidRDefault="00624EE9" w:rsidP="00624EE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Cluster Headache (Reasonable Hypothesis) </w:t>
          </w:r>
          <w:r w:rsidRPr="007C5CE0">
            <w:rPr>
              <w:i/>
              <w:sz w:val="18"/>
            </w:rPr>
            <w:t xml:space="preserve">(No. </w:t>
          </w:r>
          <w:r w:rsidR="00712039">
            <w:rPr>
              <w:i/>
              <w:sz w:val="18"/>
            </w:rPr>
            <w:t>57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624EE9" w:rsidP="00624EE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2733E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2733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624EE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Cluster Headache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12039">
            <w:rPr>
              <w:i/>
              <w:sz w:val="18"/>
            </w:rPr>
            <w:t>57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2733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2733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78D01EC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0A17687"/>
    <w:multiLevelType w:val="hybridMultilevel"/>
    <w:tmpl w:val="4698AF6A"/>
    <w:lvl w:ilvl="0" w:tplc="687498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4"/>
  </w:num>
  <w:num w:numId="23">
    <w:abstractNumId w:val="16"/>
  </w:num>
  <w:num w:numId="24">
    <w:abstractNumId w:val="10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B88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1AE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5FD5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24EE9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039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A6DC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54F3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2733E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5E36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67BE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603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EF4226"/>
    <w:rsid w:val="00F03C06"/>
    <w:rsid w:val="00F072A7"/>
    <w:rsid w:val="00F074CC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0781"/>
    <w:rsid w:val="00FD07DF"/>
    <w:rsid w:val="00FD775E"/>
    <w:rsid w:val="00FE4688"/>
    <w:rsid w:val="00FF021D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FC0781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CA67BE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CA67BE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8347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2018-04-24T03:33:00Z</dcterms:created>
  <dcterms:modified xsi:type="dcterms:W3CDTF">2018-06-18T01:02:00Z</dcterms:modified>
  <cp:category/>
  <cp:contentStatus/>
  <dc:language/>
  <cp:version/>
</cp:coreProperties>
</file>