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2904490</wp:posOffset>
            </wp:positionH>
            <wp:positionV relativeFrom="page">
              <wp:posOffset>1417955</wp:posOffset>
            </wp:positionV>
            <wp:extent cx="1752600" cy="9334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1752600" cy="93345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59" w:lineRule="exact"/>
        <w:rPr>
          <w:sz w:val="24"/>
          <w:szCs w:val="24"/>
          <w:color w:val="auto"/>
        </w:rPr>
      </w:pPr>
    </w:p>
    <w:p>
      <w:pPr>
        <w:jc w:val="center"/>
        <w:ind w:left="360" w:right="366"/>
        <w:spacing w:after="0" w:line="237" w:lineRule="auto"/>
        <w:rPr>
          <w:sz w:val="20"/>
          <w:szCs w:val="20"/>
          <w:color w:val="auto"/>
        </w:rPr>
      </w:pPr>
      <w:r>
        <w:rPr>
          <w:rFonts w:ascii="Times New Roman" w:cs="Times New Roman" w:eastAsia="Times New Roman" w:hAnsi="Times New Roman"/>
          <w:sz w:val="40"/>
          <w:szCs w:val="40"/>
          <w:b w:val="1"/>
          <w:bCs w:val="1"/>
          <w:color w:val="auto"/>
        </w:rPr>
        <w:t>Veterans' Entitlements (Statements of Principles—Cumulative Equivalent Dose) Amendment Determination 2017</w:t>
      </w:r>
    </w:p>
    <w:p>
      <w:pPr>
        <w:spacing w:after="0" w:line="120" w:lineRule="exact"/>
        <w:rPr>
          <w:sz w:val="24"/>
          <w:szCs w:val="24"/>
          <w:color w:val="auto"/>
        </w:rPr>
      </w:pPr>
    </w:p>
    <w:p>
      <w:pPr>
        <w:jc w:val="center"/>
        <w:ind w:right="-13"/>
        <w:spacing w:after="0"/>
        <w:rPr>
          <w:sz w:val="20"/>
          <w:szCs w:val="20"/>
          <w:color w:val="auto"/>
        </w:rPr>
      </w:pPr>
      <w:r>
        <w:rPr>
          <w:rFonts w:ascii="Times New Roman" w:cs="Times New Roman" w:eastAsia="Times New Roman" w:hAnsi="Times New Roman"/>
          <w:sz w:val="40"/>
          <w:szCs w:val="40"/>
          <w:b w:val="1"/>
          <w:bCs w:val="1"/>
          <w:color w:val="auto"/>
        </w:rPr>
        <w:t>(No. 58 of 2017)</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233045</wp:posOffset>
                </wp:positionV>
                <wp:extent cx="5348605"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486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18.35pt" to="437.6pt,18.35pt" o:allowincell="f" strokecolor="#000000" strokeweight="0.48pt"/>
            </w:pict>
          </mc:Fallback>
        </mc:AlternateContent>
      </w:r>
    </w:p>
    <w:p>
      <w:pPr>
        <w:spacing w:after="0" w:line="364" w:lineRule="exact"/>
        <w:rPr>
          <w:sz w:val="24"/>
          <w:szCs w:val="24"/>
          <w:color w:val="auto"/>
        </w:rPr>
      </w:pPr>
    </w:p>
    <w:p>
      <w:pPr>
        <w:ind w:left="360"/>
        <w:spacing w:after="0"/>
        <w:rPr>
          <w:sz w:val="20"/>
          <w:szCs w:val="20"/>
          <w:color w:val="auto"/>
        </w:rPr>
      </w:pPr>
      <w:r>
        <w:rPr>
          <w:rFonts w:ascii="Times New Roman" w:cs="Times New Roman" w:eastAsia="Times New Roman" w:hAnsi="Times New Roman"/>
          <w:sz w:val="24"/>
          <w:szCs w:val="24"/>
          <w:color w:val="auto"/>
        </w:rPr>
        <w:t>The Repatriation Medical Authority makes the following determination.</w:t>
      </w:r>
    </w:p>
    <w:p>
      <w:pPr>
        <w:spacing w:after="0" w:line="259" w:lineRule="exact"/>
        <w:rPr>
          <w:sz w:val="24"/>
          <w:szCs w:val="24"/>
          <w:color w:val="auto"/>
        </w:rPr>
      </w:pPr>
    </w:p>
    <w:p>
      <w:pPr>
        <w:ind w:left="360"/>
        <w:spacing w:after="0"/>
        <w:tabs>
          <w:tab w:leader="none" w:pos="1260" w:val="left"/>
        </w:tabs>
        <w:rPr>
          <w:sz w:val="20"/>
          <w:szCs w:val="20"/>
          <w:color w:val="auto"/>
        </w:rPr>
      </w:pPr>
      <w:r>
        <w:rPr>
          <w:rFonts w:ascii="Times New Roman" w:cs="Times New Roman" w:eastAsia="Times New Roman" w:hAnsi="Times New Roman"/>
          <w:sz w:val="24"/>
          <w:szCs w:val="24"/>
          <w:color w:val="auto"/>
        </w:rPr>
        <w:t>Dated</w:t>
      </w:r>
      <w:r>
        <w:rPr>
          <w:sz w:val="20"/>
          <w:szCs w:val="20"/>
          <w:color w:val="auto"/>
        </w:rPr>
        <w:tab/>
      </w:r>
      <w:r>
        <w:rPr>
          <w:rFonts w:ascii="Times New Roman" w:cs="Times New Roman" w:eastAsia="Times New Roman" w:hAnsi="Times New Roman"/>
          <w:sz w:val="24"/>
          <w:szCs w:val="24"/>
          <w:color w:val="auto"/>
        </w:rPr>
        <w:t>18 August 2017</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80" w:lineRule="exact"/>
        <w:rPr>
          <w:sz w:val="24"/>
          <w:szCs w:val="24"/>
          <w:color w:val="auto"/>
        </w:rPr>
      </w:pPr>
    </w:p>
    <w:p>
      <w:pPr>
        <w:ind w:left="460"/>
        <w:spacing w:after="0"/>
        <w:rPr>
          <w:sz w:val="20"/>
          <w:szCs w:val="20"/>
          <w:color w:val="auto"/>
        </w:rPr>
      </w:pPr>
      <w:r>
        <w:rPr>
          <w:rFonts w:ascii="Times New Roman" w:cs="Times New Roman" w:eastAsia="Times New Roman" w:hAnsi="Times New Roman"/>
          <w:sz w:val="24"/>
          <w:szCs w:val="24"/>
          <w:color w:val="auto"/>
        </w:rPr>
        <w:t>The Common Seal of the</w:t>
      </w:r>
    </w:p>
    <w:p>
      <w:pPr>
        <w:ind w:left="460"/>
        <w:spacing w:after="0"/>
        <w:rPr>
          <w:sz w:val="20"/>
          <w:szCs w:val="20"/>
          <w:color w:val="auto"/>
        </w:rPr>
      </w:pPr>
      <w:r>
        <w:rPr>
          <w:rFonts w:ascii="Times New Roman" w:cs="Times New Roman" w:eastAsia="Times New Roman" w:hAnsi="Times New Roman"/>
          <w:sz w:val="24"/>
          <w:szCs w:val="24"/>
          <w:color w:val="auto"/>
        </w:rPr>
        <w:t>Repatriation Medical Authority</w:t>
      </w:r>
    </w:p>
    <w:p>
      <w:pPr>
        <w:ind w:left="460"/>
        <w:spacing w:after="0"/>
        <w:rPr>
          <w:sz w:val="20"/>
          <w:szCs w:val="20"/>
          <w:color w:val="auto"/>
        </w:rPr>
      </w:pPr>
      <w:r>
        <w:rPr>
          <w:rFonts w:ascii="Times New Roman" w:cs="Times New Roman" w:eastAsia="Times New Roman" w:hAnsi="Times New Roman"/>
          <w:sz w:val="24"/>
          <w:szCs w:val="24"/>
          <w:color w:val="auto"/>
        </w:rPr>
        <w:t>was affixed to this instrument</w:t>
      </w:r>
    </w:p>
    <w:p>
      <w:pPr>
        <w:ind w:left="460"/>
        <w:spacing w:after="0"/>
        <w:rPr>
          <w:sz w:val="20"/>
          <w:szCs w:val="20"/>
          <w:color w:val="auto"/>
        </w:rPr>
      </w:pPr>
      <w:r>
        <w:rPr>
          <w:rFonts w:ascii="Times New Roman" w:cs="Times New Roman" w:eastAsia="Times New Roman" w:hAnsi="Times New Roman"/>
          <w:sz w:val="24"/>
          <w:szCs w:val="24"/>
          <w:color w:val="auto"/>
        </w:rPr>
        <w:t>at the direction of:</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342265</wp:posOffset>
            </wp:positionH>
            <wp:positionV relativeFrom="paragraph">
              <wp:posOffset>449580</wp:posOffset>
            </wp:positionV>
            <wp:extent cx="2450465" cy="5334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extLst>
                    </a:blip>
                    <a:srcRect/>
                    <a:stretch>
                      <a:fillRect/>
                    </a:stretch>
                  </pic:blipFill>
                  <pic:spPr bwMode="auto">
                    <a:xfrm>
                      <a:off x="0" y="0"/>
                      <a:ext cx="2450465" cy="53340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12" w:lineRule="exact"/>
        <w:rPr>
          <w:sz w:val="24"/>
          <w:szCs w:val="24"/>
          <w:color w:val="auto"/>
        </w:rPr>
      </w:pPr>
    </w:p>
    <w:p>
      <w:pPr>
        <w:ind w:left="460"/>
        <w:spacing w:after="0"/>
        <w:rPr>
          <w:sz w:val="20"/>
          <w:szCs w:val="20"/>
          <w:color w:val="auto"/>
        </w:rPr>
      </w:pPr>
      <w:r>
        <w:rPr>
          <w:rFonts w:ascii="Times New Roman" w:cs="Times New Roman" w:eastAsia="Times New Roman" w:hAnsi="Times New Roman"/>
          <w:sz w:val="24"/>
          <w:szCs w:val="24"/>
          <w:color w:val="auto"/>
        </w:rPr>
        <w:t>Professor Nicholas Saunders AO</w:t>
      </w:r>
    </w:p>
    <w:p>
      <w:pPr>
        <w:ind w:left="460"/>
        <w:spacing w:after="0" w:line="237" w:lineRule="auto"/>
        <w:rPr>
          <w:sz w:val="20"/>
          <w:szCs w:val="20"/>
          <w:color w:val="auto"/>
        </w:rPr>
      </w:pPr>
      <w:r>
        <w:rPr>
          <w:rFonts w:ascii="Times New Roman" w:cs="Times New Roman" w:eastAsia="Times New Roman" w:hAnsi="Times New Roman"/>
          <w:sz w:val="24"/>
          <w:szCs w:val="24"/>
          <w:color w:val="auto"/>
        </w:rPr>
        <w:t>Chairperson</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97" w:lineRule="exact"/>
        <w:rPr>
          <w:sz w:val="24"/>
          <w:szCs w:val="24"/>
          <w:color w:val="auto"/>
        </w:rPr>
      </w:pPr>
    </w:p>
    <w:p>
      <w:pPr>
        <w:jc w:val="right"/>
        <w:ind w:right="346"/>
        <w:spacing w:after="0"/>
        <w:rPr>
          <w:sz w:val="20"/>
          <w:szCs w:val="20"/>
          <w:color w:val="auto"/>
        </w:rPr>
      </w:pPr>
      <w:r>
        <w:rPr>
          <w:rFonts w:ascii="Times New Roman" w:cs="Times New Roman" w:eastAsia="Times New Roman" w:hAnsi="Times New Roman"/>
          <w:sz w:val="18"/>
          <w:szCs w:val="18"/>
          <w:i w:val="1"/>
          <w:iCs w:val="1"/>
          <w:color w:val="auto"/>
        </w:rPr>
        <w:t>1 of 8</w:t>
      </w:r>
    </w:p>
    <w:p>
      <w:pPr>
        <w:spacing w:after="0" w:line="10" w:lineRule="exact"/>
        <w:rPr>
          <w:sz w:val="24"/>
          <w:szCs w:val="24"/>
          <w:color w:val="auto"/>
        </w:rPr>
      </w:pPr>
    </w:p>
    <w:p>
      <w:pPr>
        <w:jc w:val="center"/>
        <w:ind w:left="360" w:right="346"/>
        <w:spacing w:after="0" w:line="236" w:lineRule="auto"/>
        <w:rPr>
          <w:sz w:val="20"/>
          <w:szCs w:val="20"/>
          <w:color w:val="auto"/>
        </w:rPr>
      </w:pPr>
      <w:r>
        <w:rPr>
          <w:rFonts w:ascii="Times New Roman" w:cs="Times New Roman" w:eastAsia="Times New Roman" w:hAnsi="Times New Roman"/>
          <w:sz w:val="18"/>
          <w:szCs w:val="18"/>
          <w:i w:val="1"/>
          <w:iCs w:val="1"/>
          <w:color w:val="auto"/>
        </w:rPr>
        <w:t>Veterans' Entitlements (Statements of Principles—Cumulative Equivalent Dose) Amendment Determination 2017 (No. 58 of 2017) Veterans' Entitlements Act 1986</w:t>
      </w:r>
    </w:p>
    <w:p>
      <w:pPr>
        <w:sectPr>
          <w:pgSz w:w="11900" w:h="16838" w:orient="portrait"/>
          <w:cols w:equalWidth="0" w:num="1">
            <w:col w:w="9026"/>
          </w:cols>
          <w:pgMar w:left="1440" w:top="1440" w:right="1440" w:bottom="148" w:gutter="0" w:footer="0" w:header="0"/>
        </w:sectPr>
      </w:pPr>
    </w:p>
    <w:bookmarkStart w:id="1" w:name="page2"/>
    <w:bookmarkEnd w:id="1"/>
    <w:p>
      <w:pPr>
        <w:spacing w:after="0" w:line="200" w:lineRule="exact"/>
        <w:rPr>
          <w:sz w:val="20"/>
          <w:szCs w:val="20"/>
          <w:color w:val="auto"/>
        </w:rPr>
      </w:pPr>
    </w:p>
    <w:p>
      <w:pPr>
        <w:spacing w:after="0" w:line="200" w:lineRule="exact"/>
        <w:rPr>
          <w:sz w:val="20"/>
          <w:szCs w:val="20"/>
          <w:color w:val="auto"/>
        </w:rPr>
      </w:pPr>
    </w:p>
    <w:p>
      <w:pPr>
        <w:spacing w:after="0" w:line="294"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36"/>
          <w:szCs w:val="36"/>
          <w:color w:val="auto"/>
        </w:rPr>
        <w:t>Contents</w:t>
      </w:r>
    </w:p>
    <w:p>
      <w:pPr>
        <w:spacing w:after="0" w:line="96" w:lineRule="exact"/>
        <w:rPr>
          <w:sz w:val="20"/>
          <w:szCs w:val="20"/>
          <w:color w:val="auto"/>
        </w:rPr>
      </w:pPr>
    </w:p>
    <w:p>
      <w:pPr>
        <w:ind w:left="920"/>
        <w:spacing w:after="0"/>
        <w:tabs>
          <w:tab w:leader="none" w:pos="1480" w:val="left"/>
          <w:tab w:leader="dot" w:pos="8280" w:val="left"/>
        </w:tabs>
        <w:rPr>
          <w:sz w:val="20"/>
          <w:szCs w:val="20"/>
          <w:color w:val="auto"/>
        </w:rPr>
      </w:pPr>
      <w:r>
        <w:rPr>
          <w:rFonts w:ascii="Times New Roman" w:cs="Times New Roman" w:eastAsia="Times New Roman" w:hAnsi="Times New Roman"/>
          <w:sz w:val="20"/>
          <w:szCs w:val="20"/>
          <w:color w:val="auto"/>
        </w:rPr>
        <w:t>1</w:t>
      </w:r>
      <w:r>
        <w:rPr>
          <w:sz w:val="20"/>
          <w:szCs w:val="20"/>
          <w:color w:val="auto"/>
        </w:rPr>
        <w:tab/>
      </w:r>
      <w:r>
        <w:rPr>
          <w:rFonts w:ascii="Times New Roman" w:cs="Times New Roman" w:eastAsia="Times New Roman" w:hAnsi="Times New Roman"/>
          <w:sz w:val="20"/>
          <w:szCs w:val="20"/>
          <w:color w:val="auto"/>
        </w:rPr>
        <w:t>Name</w:t>
      </w:r>
      <w:r>
        <w:rPr>
          <w:sz w:val="20"/>
          <w:szCs w:val="20"/>
          <w:color w:val="auto"/>
        </w:rPr>
        <w:tab/>
      </w:r>
      <w:r>
        <w:rPr>
          <w:rFonts w:ascii="Times New Roman" w:cs="Times New Roman" w:eastAsia="Times New Roman" w:hAnsi="Times New Roman"/>
          <w:sz w:val="20"/>
          <w:szCs w:val="20"/>
          <w:color w:val="auto"/>
        </w:rPr>
        <w:t>3</w:t>
      </w:r>
    </w:p>
    <w:p>
      <w:pPr>
        <w:spacing w:after="0" w:line="120" w:lineRule="exact"/>
        <w:rPr>
          <w:sz w:val="20"/>
          <w:szCs w:val="20"/>
          <w:color w:val="auto"/>
        </w:rPr>
      </w:pPr>
    </w:p>
    <w:p>
      <w:pPr>
        <w:ind w:left="920"/>
        <w:spacing w:after="0"/>
        <w:tabs>
          <w:tab w:leader="none" w:pos="1480" w:val="left"/>
          <w:tab w:leader="dot" w:pos="8280" w:val="left"/>
        </w:tabs>
        <w:rPr>
          <w:sz w:val="20"/>
          <w:szCs w:val="20"/>
          <w:color w:val="auto"/>
        </w:rPr>
      </w:pPr>
      <w:r>
        <w:rPr>
          <w:rFonts w:ascii="Times New Roman" w:cs="Times New Roman" w:eastAsia="Times New Roman" w:hAnsi="Times New Roman"/>
          <w:sz w:val="20"/>
          <w:szCs w:val="20"/>
          <w:color w:val="auto"/>
        </w:rPr>
        <w:t>2</w:t>
      </w:r>
      <w:r>
        <w:rPr>
          <w:sz w:val="20"/>
          <w:szCs w:val="20"/>
          <w:color w:val="auto"/>
        </w:rPr>
        <w:tab/>
      </w:r>
      <w:r>
        <w:rPr>
          <w:rFonts w:ascii="Times New Roman" w:cs="Times New Roman" w:eastAsia="Times New Roman" w:hAnsi="Times New Roman"/>
          <w:sz w:val="20"/>
          <w:szCs w:val="20"/>
          <w:color w:val="auto"/>
        </w:rPr>
        <w:t>Commencement</w:t>
      </w:r>
      <w:r>
        <w:rPr>
          <w:sz w:val="20"/>
          <w:szCs w:val="20"/>
          <w:color w:val="auto"/>
        </w:rPr>
        <w:tab/>
      </w:r>
      <w:r>
        <w:rPr>
          <w:rFonts w:ascii="Times New Roman" w:cs="Times New Roman" w:eastAsia="Times New Roman" w:hAnsi="Times New Roman"/>
          <w:sz w:val="20"/>
          <w:szCs w:val="20"/>
          <w:color w:val="auto"/>
        </w:rPr>
        <w:t>3</w:t>
      </w:r>
    </w:p>
    <w:p>
      <w:pPr>
        <w:spacing w:after="0" w:line="120" w:lineRule="exact"/>
        <w:rPr>
          <w:sz w:val="20"/>
          <w:szCs w:val="20"/>
          <w:color w:val="auto"/>
        </w:rPr>
      </w:pPr>
    </w:p>
    <w:p>
      <w:pPr>
        <w:ind w:left="920"/>
        <w:spacing w:after="0"/>
        <w:tabs>
          <w:tab w:leader="none" w:pos="1480" w:val="left"/>
          <w:tab w:leader="dot" w:pos="8280" w:val="left"/>
        </w:tabs>
        <w:rPr>
          <w:sz w:val="20"/>
          <w:szCs w:val="20"/>
          <w:color w:val="auto"/>
        </w:rPr>
      </w:pPr>
      <w:r>
        <w:rPr>
          <w:rFonts w:ascii="Times New Roman" w:cs="Times New Roman" w:eastAsia="Times New Roman" w:hAnsi="Times New Roman"/>
          <w:sz w:val="20"/>
          <w:szCs w:val="20"/>
          <w:color w:val="auto"/>
        </w:rPr>
        <w:t>3</w:t>
      </w:r>
      <w:r>
        <w:rPr>
          <w:sz w:val="20"/>
          <w:szCs w:val="20"/>
          <w:color w:val="auto"/>
        </w:rPr>
        <w:tab/>
      </w:r>
      <w:r>
        <w:rPr>
          <w:rFonts w:ascii="Times New Roman" w:cs="Times New Roman" w:eastAsia="Times New Roman" w:hAnsi="Times New Roman"/>
          <w:sz w:val="20"/>
          <w:szCs w:val="20"/>
          <w:color w:val="auto"/>
        </w:rPr>
        <w:t>Authority</w:t>
      </w:r>
      <w:r>
        <w:rPr>
          <w:sz w:val="20"/>
          <w:szCs w:val="20"/>
          <w:color w:val="auto"/>
        </w:rPr>
        <w:tab/>
      </w:r>
      <w:r>
        <w:rPr>
          <w:rFonts w:ascii="Times New Roman" w:cs="Times New Roman" w:eastAsia="Times New Roman" w:hAnsi="Times New Roman"/>
          <w:sz w:val="20"/>
          <w:szCs w:val="20"/>
          <w:color w:val="auto"/>
        </w:rPr>
        <w:t>3</w:t>
      </w:r>
    </w:p>
    <w:p>
      <w:pPr>
        <w:spacing w:after="0" w:line="120" w:lineRule="exact"/>
        <w:rPr>
          <w:sz w:val="20"/>
          <w:szCs w:val="20"/>
          <w:color w:val="auto"/>
        </w:rPr>
      </w:pPr>
    </w:p>
    <w:p>
      <w:pPr>
        <w:ind w:left="920"/>
        <w:spacing w:after="0"/>
        <w:tabs>
          <w:tab w:leader="none" w:pos="1480" w:val="left"/>
          <w:tab w:leader="dot" w:pos="8280" w:val="left"/>
        </w:tabs>
        <w:rPr>
          <w:sz w:val="20"/>
          <w:szCs w:val="20"/>
          <w:color w:val="auto"/>
        </w:rPr>
      </w:pPr>
      <w:r>
        <w:rPr>
          <w:rFonts w:ascii="Times New Roman" w:cs="Times New Roman" w:eastAsia="Times New Roman" w:hAnsi="Times New Roman"/>
          <w:sz w:val="20"/>
          <w:szCs w:val="20"/>
          <w:color w:val="auto"/>
        </w:rPr>
        <w:t>4</w:t>
      </w:r>
      <w:r>
        <w:rPr>
          <w:sz w:val="20"/>
          <w:szCs w:val="20"/>
          <w:color w:val="auto"/>
        </w:rPr>
        <w:tab/>
      </w:r>
      <w:r>
        <w:rPr>
          <w:rFonts w:ascii="Times New Roman" w:cs="Times New Roman" w:eastAsia="Times New Roman" w:hAnsi="Times New Roman"/>
          <w:sz w:val="20"/>
          <w:szCs w:val="20"/>
          <w:color w:val="auto"/>
        </w:rPr>
        <w:t>Schedules</w:t>
      </w:r>
      <w:r>
        <w:rPr>
          <w:sz w:val="20"/>
          <w:szCs w:val="20"/>
          <w:color w:val="auto"/>
        </w:rPr>
        <w:tab/>
      </w:r>
      <w:r>
        <w:rPr>
          <w:rFonts w:ascii="Times New Roman" w:cs="Times New Roman" w:eastAsia="Times New Roman" w:hAnsi="Times New Roman"/>
          <w:sz w:val="20"/>
          <w:szCs w:val="20"/>
          <w:color w:val="auto"/>
        </w:rPr>
        <w:t>3</w:t>
      </w:r>
    </w:p>
    <w:p>
      <w:pPr>
        <w:spacing w:after="0" w:line="125" w:lineRule="exact"/>
        <w:rPr>
          <w:sz w:val="20"/>
          <w:szCs w:val="20"/>
          <w:color w:val="auto"/>
        </w:rPr>
      </w:pPr>
    </w:p>
    <w:p>
      <w:pPr>
        <w:ind w:left="360"/>
        <w:spacing w:after="0"/>
        <w:tabs>
          <w:tab w:leader="dot" w:pos="8280" w:val="left"/>
        </w:tabs>
        <w:rPr>
          <w:sz w:val="20"/>
          <w:szCs w:val="20"/>
          <w:color w:val="auto"/>
        </w:rPr>
      </w:pPr>
      <w:r>
        <w:rPr>
          <w:rFonts w:ascii="Times New Roman" w:cs="Times New Roman" w:eastAsia="Times New Roman" w:hAnsi="Times New Roman"/>
          <w:sz w:val="22"/>
          <w:szCs w:val="22"/>
          <w:b w:val="1"/>
          <w:bCs w:val="1"/>
          <w:color w:val="auto"/>
        </w:rPr>
        <w:t>Schedule 1—Amendments</w:t>
      </w:r>
      <w:r>
        <w:rPr>
          <w:sz w:val="20"/>
          <w:szCs w:val="20"/>
          <w:color w:val="auto"/>
        </w:rPr>
        <w:tab/>
      </w:r>
      <w:r>
        <w:rPr>
          <w:rFonts w:ascii="Times New Roman" w:cs="Times New Roman" w:eastAsia="Times New Roman" w:hAnsi="Times New Roman"/>
          <w:sz w:val="22"/>
          <w:szCs w:val="22"/>
          <w:b w:val="1"/>
          <w:bCs w:val="1"/>
          <w:color w:val="auto"/>
        </w:rPr>
        <w:t>4</w:t>
      </w:r>
    </w:p>
    <w:p>
      <w:pPr>
        <w:spacing w:after="0" w:line="114" w:lineRule="exact"/>
        <w:rPr>
          <w:sz w:val="20"/>
          <w:szCs w:val="20"/>
          <w:color w:val="auto"/>
        </w:rPr>
      </w:pPr>
    </w:p>
    <w:p>
      <w:pPr>
        <w:ind w:left="920"/>
        <w:spacing w:after="0"/>
        <w:tabs>
          <w:tab w:leader="dot" w:pos="8280" w:val="left"/>
        </w:tabs>
        <w:rPr>
          <w:sz w:val="20"/>
          <w:szCs w:val="20"/>
          <w:color w:val="auto"/>
        </w:rPr>
      </w:pPr>
      <w:r>
        <w:rPr>
          <w:rFonts w:ascii="Times New Roman" w:cs="Times New Roman" w:eastAsia="Times New Roman" w:hAnsi="Times New Roman"/>
          <w:sz w:val="20"/>
          <w:szCs w:val="20"/>
          <w:color w:val="auto"/>
        </w:rPr>
        <w:t>Part 1—Amendments of clause 9 of certain Statements of Principles</w:t>
      </w:r>
      <w:r>
        <w:rPr>
          <w:sz w:val="20"/>
          <w:szCs w:val="20"/>
          <w:color w:val="auto"/>
        </w:rPr>
        <w:tab/>
      </w:r>
      <w:r>
        <w:rPr>
          <w:rFonts w:ascii="Times New Roman" w:cs="Times New Roman" w:eastAsia="Times New Roman" w:hAnsi="Times New Roman"/>
          <w:sz w:val="20"/>
          <w:szCs w:val="20"/>
          <w:color w:val="auto"/>
        </w:rPr>
        <w:t>4</w:t>
      </w:r>
    </w:p>
    <w:p>
      <w:pPr>
        <w:spacing w:after="0" w:line="120" w:lineRule="exact"/>
        <w:rPr>
          <w:sz w:val="20"/>
          <w:szCs w:val="20"/>
          <w:color w:val="auto"/>
        </w:rPr>
      </w:pPr>
    </w:p>
    <w:p>
      <w:pPr>
        <w:ind w:left="920"/>
        <w:spacing w:after="0"/>
        <w:tabs>
          <w:tab w:leader="dot" w:pos="8280" w:val="left"/>
        </w:tabs>
        <w:rPr>
          <w:sz w:val="20"/>
          <w:szCs w:val="20"/>
          <w:color w:val="auto"/>
        </w:rPr>
      </w:pPr>
      <w:r>
        <w:rPr>
          <w:rFonts w:ascii="Times New Roman" w:cs="Times New Roman" w:eastAsia="Times New Roman" w:hAnsi="Times New Roman"/>
          <w:sz w:val="20"/>
          <w:szCs w:val="20"/>
          <w:color w:val="auto"/>
        </w:rPr>
        <w:t>Part 2—Amendments of clause 1 of Schedule 1 to certain Statements of Principles</w:t>
      </w:r>
      <w:r>
        <w:rPr>
          <w:sz w:val="20"/>
          <w:szCs w:val="20"/>
          <w:color w:val="auto"/>
        </w:rPr>
        <w:tab/>
      </w:r>
      <w:r>
        <w:rPr>
          <w:rFonts w:ascii="Times New Roman" w:cs="Times New Roman" w:eastAsia="Times New Roman" w:hAnsi="Times New Roman"/>
          <w:sz w:val="20"/>
          <w:szCs w:val="20"/>
          <w:color w:val="auto"/>
        </w:rPr>
        <w:t>7</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jc w:val="right"/>
        <w:ind w:right="346"/>
        <w:spacing w:after="0"/>
        <w:rPr>
          <w:sz w:val="20"/>
          <w:szCs w:val="20"/>
          <w:color w:val="auto"/>
        </w:rPr>
      </w:pPr>
      <w:r>
        <w:rPr>
          <w:rFonts w:ascii="Times New Roman" w:cs="Times New Roman" w:eastAsia="Times New Roman" w:hAnsi="Times New Roman"/>
          <w:sz w:val="18"/>
          <w:szCs w:val="18"/>
          <w:i w:val="1"/>
          <w:iCs w:val="1"/>
          <w:color w:val="auto"/>
        </w:rPr>
        <w:t>2 of 8</w:t>
      </w:r>
    </w:p>
    <w:p>
      <w:pPr>
        <w:sectPr>
          <w:pgSz w:w="11900" w:h="16838" w:orient="portrait"/>
          <w:cols w:equalWidth="0" w:num="1">
            <w:col w:w="9026"/>
          </w:cols>
          <w:pgMar w:left="1440" w:top="1440" w:right="1440" w:bottom="148" w:gutter="0" w:footer="0" w:header="0"/>
        </w:sectPr>
      </w:pPr>
    </w:p>
    <w:p>
      <w:pPr>
        <w:spacing w:after="0" w:line="10" w:lineRule="exact"/>
        <w:rPr>
          <w:sz w:val="20"/>
          <w:szCs w:val="20"/>
          <w:color w:val="auto"/>
        </w:rPr>
      </w:pPr>
    </w:p>
    <w:p>
      <w:pPr>
        <w:jc w:val="center"/>
        <w:ind w:left="1640" w:right="1626"/>
        <w:spacing w:after="0" w:line="236" w:lineRule="auto"/>
        <w:rPr>
          <w:sz w:val="20"/>
          <w:szCs w:val="20"/>
          <w:color w:val="auto"/>
        </w:rPr>
      </w:pPr>
      <w:r>
        <w:rPr>
          <w:rFonts w:ascii="Times New Roman" w:cs="Times New Roman" w:eastAsia="Times New Roman" w:hAnsi="Times New Roman"/>
          <w:sz w:val="18"/>
          <w:szCs w:val="18"/>
          <w:i w:val="1"/>
          <w:iCs w:val="1"/>
          <w:color w:val="auto"/>
        </w:rPr>
        <w:t>Veterans' Entitlements (Statements of Principles—Cumulative Equivalent Dose) Amendment Determination 2017 (No. 58 of 2017) Veterans' Entitlements Act 1986</w:t>
      </w:r>
    </w:p>
    <w:p>
      <w:pPr>
        <w:sectPr>
          <w:pgSz w:w="11900" w:h="16838" w:orient="portrait"/>
          <w:cols w:equalWidth="0" w:num="1">
            <w:col w:w="9026"/>
          </w:cols>
          <w:pgMar w:left="1440" w:top="1440" w:right="1440" w:bottom="148" w:gutter="0" w:footer="0" w:header="0"/>
          <w:type w:val="continuous"/>
        </w:sectPr>
      </w:pPr>
    </w:p>
    <w:bookmarkStart w:id="2" w:name="page3"/>
    <w:bookmarkEnd w:id="2"/>
    <w:p>
      <w:pPr>
        <w:spacing w:after="0" w:line="200" w:lineRule="exact"/>
        <w:rPr>
          <w:sz w:val="20"/>
          <w:szCs w:val="20"/>
          <w:color w:val="auto"/>
        </w:rPr>
      </w:pPr>
    </w:p>
    <w:p>
      <w:pPr>
        <w:spacing w:after="0" w:line="200" w:lineRule="exact"/>
        <w:rPr>
          <w:sz w:val="20"/>
          <w:szCs w:val="20"/>
          <w:color w:val="auto"/>
        </w:rPr>
      </w:pPr>
    </w:p>
    <w:p>
      <w:pPr>
        <w:spacing w:after="0" w:line="394" w:lineRule="exact"/>
        <w:rPr>
          <w:sz w:val="20"/>
          <w:szCs w:val="20"/>
          <w:color w:val="auto"/>
        </w:rPr>
      </w:pPr>
    </w:p>
    <w:p>
      <w:pPr>
        <w:ind w:left="1260" w:hanging="561"/>
        <w:spacing w:after="0"/>
        <w:tabs>
          <w:tab w:leader="none" w:pos="1260" w:val="left"/>
        </w:tabs>
        <w:numPr>
          <w:ilvl w:val="0"/>
          <w:numId w:val="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Name</w:t>
      </w:r>
    </w:p>
    <w:p>
      <w:pPr>
        <w:spacing w:after="0" w:line="185" w:lineRule="exact"/>
        <w:rPr>
          <w:rFonts w:ascii="Times New Roman" w:cs="Times New Roman" w:eastAsia="Times New Roman" w:hAnsi="Times New Roman"/>
          <w:sz w:val="24"/>
          <w:szCs w:val="24"/>
          <w:b w:val="1"/>
          <w:bCs w:val="1"/>
          <w:color w:val="auto"/>
        </w:rPr>
      </w:pPr>
    </w:p>
    <w:p>
      <w:pPr>
        <w:jc w:val="both"/>
        <w:ind w:left="1260" w:right="706"/>
        <w:spacing w:after="0" w:line="236" w:lineRule="auto"/>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 xml:space="preserve">This instrument is the </w:t>
      </w:r>
      <w:r>
        <w:rPr>
          <w:rFonts w:ascii="Times New Roman" w:cs="Times New Roman" w:eastAsia="Times New Roman" w:hAnsi="Times New Roman"/>
          <w:sz w:val="24"/>
          <w:szCs w:val="24"/>
          <w:i w:val="1"/>
          <w:iCs w:val="1"/>
          <w:color w:val="auto"/>
        </w:rPr>
        <w:t>Veterans' Entitlements (Statements of Principles—</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Cumulative Equivalent Dose) Amendment Determination 2017 (No. 58 of 2017)</w:t>
      </w:r>
      <w:r>
        <w:rPr>
          <w:rFonts w:ascii="Times New Roman" w:cs="Times New Roman" w:eastAsia="Times New Roman" w:hAnsi="Times New Roman"/>
          <w:sz w:val="24"/>
          <w:szCs w:val="24"/>
          <w:color w:val="auto"/>
        </w:rPr>
        <w:t>.</w:t>
      </w:r>
    </w:p>
    <w:p>
      <w:pPr>
        <w:spacing w:after="0" w:line="212" w:lineRule="exact"/>
        <w:rPr>
          <w:rFonts w:ascii="Times New Roman" w:cs="Times New Roman" w:eastAsia="Times New Roman" w:hAnsi="Times New Roman"/>
          <w:sz w:val="24"/>
          <w:szCs w:val="24"/>
          <w:b w:val="1"/>
          <w:bCs w:val="1"/>
          <w:color w:val="auto"/>
        </w:rPr>
      </w:pPr>
    </w:p>
    <w:p>
      <w:pPr>
        <w:ind w:left="1260" w:hanging="561"/>
        <w:spacing w:after="0"/>
        <w:tabs>
          <w:tab w:leader="none" w:pos="1260" w:val="left"/>
        </w:tabs>
        <w:numPr>
          <w:ilvl w:val="0"/>
          <w:numId w:val="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Commencement</w:t>
      </w:r>
    </w:p>
    <w:p>
      <w:pPr>
        <w:spacing w:after="0" w:line="172" w:lineRule="exact"/>
        <w:rPr>
          <w:rFonts w:ascii="Times New Roman" w:cs="Times New Roman" w:eastAsia="Times New Roman" w:hAnsi="Times New Roman"/>
          <w:sz w:val="24"/>
          <w:szCs w:val="24"/>
          <w:b w:val="1"/>
          <w:bCs w:val="1"/>
          <w:color w:val="auto"/>
        </w:rPr>
      </w:pPr>
    </w:p>
    <w:p>
      <w:pPr>
        <w:ind w:left="1260"/>
        <w:spacing w:after="0"/>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This instrument commences on 18 September 2017.</w:t>
      </w:r>
    </w:p>
    <w:p>
      <w:pPr>
        <w:spacing w:after="0" w:line="211" w:lineRule="exact"/>
        <w:rPr>
          <w:rFonts w:ascii="Times New Roman" w:cs="Times New Roman" w:eastAsia="Times New Roman" w:hAnsi="Times New Roman"/>
          <w:sz w:val="24"/>
          <w:szCs w:val="24"/>
          <w:b w:val="1"/>
          <w:bCs w:val="1"/>
          <w:color w:val="auto"/>
        </w:rPr>
      </w:pPr>
    </w:p>
    <w:p>
      <w:pPr>
        <w:ind w:left="1260" w:hanging="561"/>
        <w:spacing w:after="0"/>
        <w:tabs>
          <w:tab w:leader="none" w:pos="1260" w:val="left"/>
        </w:tabs>
        <w:numPr>
          <w:ilvl w:val="0"/>
          <w:numId w:val="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Authority</w:t>
      </w:r>
    </w:p>
    <w:p>
      <w:pPr>
        <w:spacing w:after="0" w:line="185" w:lineRule="exact"/>
        <w:rPr>
          <w:rFonts w:ascii="Times New Roman" w:cs="Times New Roman" w:eastAsia="Times New Roman" w:hAnsi="Times New Roman"/>
          <w:sz w:val="24"/>
          <w:szCs w:val="24"/>
          <w:b w:val="1"/>
          <w:bCs w:val="1"/>
          <w:color w:val="auto"/>
        </w:rPr>
      </w:pPr>
    </w:p>
    <w:p>
      <w:pPr>
        <w:ind w:left="1260" w:right="686"/>
        <w:spacing w:after="0" w:line="234" w:lineRule="auto"/>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 xml:space="preserve">This instrument is made under section 196B of the </w:t>
      </w:r>
      <w:r>
        <w:rPr>
          <w:rFonts w:ascii="Times New Roman" w:cs="Times New Roman" w:eastAsia="Times New Roman" w:hAnsi="Times New Roman"/>
          <w:sz w:val="24"/>
          <w:szCs w:val="24"/>
          <w:i w:val="1"/>
          <w:iCs w:val="1"/>
          <w:color w:val="auto"/>
        </w:rPr>
        <w:t>Veterans' Entitlements</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Act 1986</w:t>
      </w:r>
      <w:r>
        <w:rPr>
          <w:rFonts w:ascii="Times New Roman" w:cs="Times New Roman" w:eastAsia="Times New Roman" w:hAnsi="Times New Roman"/>
          <w:sz w:val="24"/>
          <w:szCs w:val="24"/>
          <w:color w:val="auto"/>
        </w:rPr>
        <w:t>.</w:t>
      </w:r>
    </w:p>
    <w:p>
      <w:pPr>
        <w:spacing w:after="0" w:line="213" w:lineRule="exact"/>
        <w:rPr>
          <w:rFonts w:ascii="Times New Roman" w:cs="Times New Roman" w:eastAsia="Times New Roman" w:hAnsi="Times New Roman"/>
          <w:sz w:val="24"/>
          <w:szCs w:val="24"/>
          <w:b w:val="1"/>
          <w:bCs w:val="1"/>
          <w:color w:val="auto"/>
        </w:rPr>
      </w:pPr>
    </w:p>
    <w:p>
      <w:pPr>
        <w:ind w:left="1260" w:hanging="561"/>
        <w:spacing w:after="0"/>
        <w:tabs>
          <w:tab w:leader="none" w:pos="1260" w:val="left"/>
        </w:tabs>
        <w:numPr>
          <w:ilvl w:val="0"/>
          <w:numId w:val="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Schedules</w:t>
      </w:r>
    </w:p>
    <w:p>
      <w:pPr>
        <w:spacing w:after="0" w:line="185" w:lineRule="exact"/>
        <w:rPr>
          <w:rFonts w:ascii="Times New Roman" w:cs="Times New Roman" w:eastAsia="Times New Roman" w:hAnsi="Times New Roman"/>
          <w:sz w:val="24"/>
          <w:szCs w:val="24"/>
          <w:b w:val="1"/>
          <w:bCs w:val="1"/>
          <w:color w:val="auto"/>
        </w:rPr>
      </w:pPr>
    </w:p>
    <w:p>
      <w:pPr>
        <w:ind w:left="1260" w:right="386"/>
        <w:spacing w:after="0" w:line="237" w:lineRule="auto"/>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Each instrument that is specified in a Schedule to this instrument is amended or repealed as set out in the applicable items in the Schedule concerned, and any other item in a Schedule to this instrument has effect according to its terms.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jc w:val="right"/>
        <w:ind w:right="346"/>
        <w:spacing w:after="0"/>
        <w:rPr>
          <w:sz w:val="20"/>
          <w:szCs w:val="20"/>
          <w:color w:val="auto"/>
        </w:rPr>
      </w:pPr>
      <w:r>
        <w:rPr>
          <w:rFonts w:ascii="Times New Roman" w:cs="Times New Roman" w:eastAsia="Times New Roman" w:hAnsi="Times New Roman"/>
          <w:sz w:val="18"/>
          <w:szCs w:val="18"/>
          <w:i w:val="1"/>
          <w:iCs w:val="1"/>
          <w:color w:val="auto"/>
        </w:rPr>
        <w:t>3 of 8</w:t>
      </w:r>
    </w:p>
    <w:p>
      <w:pPr>
        <w:sectPr>
          <w:pgSz w:w="11900" w:h="16838" w:orient="portrait"/>
          <w:cols w:equalWidth="0" w:num="1">
            <w:col w:w="9026"/>
          </w:cols>
          <w:pgMar w:left="1440" w:top="1440" w:right="1440" w:bottom="148" w:gutter="0" w:footer="0" w:header="0"/>
        </w:sectPr>
      </w:pPr>
    </w:p>
    <w:p>
      <w:pPr>
        <w:spacing w:after="0" w:line="10" w:lineRule="exact"/>
        <w:rPr>
          <w:sz w:val="20"/>
          <w:szCs w:val="20"/>
          <w:color w:val="auto"/>
        </w:rPr>
      </w:pPr>
    </w:p>
    <w:p>
      <w:pPr>
        <w:jc w:val="center"/>
        <w:ind w:left="1640" w:right="1626"/>
        <w:spacing w:after="0" w:line="236" w:lineRule="auto"/>
        <w:rPr>
          <w:sz w:val="20"/>
          <w:szCs w:val="20"/>
          <w:color w:val="auto"/>
        </w:rPr>
      </w:pPr>
      <w:r>
        <w:rPr>
          <w:rFonts w:ascii="Times New Roman" w:cs="Times New Roman" w:eastAsia="Times New Roman" w:hAnsi="Times New Roman"/>
          <w:sz w:val="18"/>
          <w:szCs w:val="18"/>
          <w:i w:val="1"/>
          <w:iCs w:val="1"/>
          <w:color w:val="auto"/>
        </w:rPr>
        <w:t>Veterans' Entitlements (Statements of Principles—Cumulative Equivalent Dose) Amendment Determination 2017 (No. 58 of 2017) Veterans' Entitlements Act 1986</w:t>
      </w:r>
    </w:p>
    <w:p>
      <w:pPr>
        <w:sectPr>
          <w:pgSz w:w="11900" w:h="16838" w:orient="portrait"/>
          <w:cols w:equalWidth="0" w:num="1">
            <w:col w:w="9026"/>
          </w:cols>
          <w:pgMar w:left="1440" w:top="1440" w:right="1440" w:bottom="148" w:gutter="0" w:footer="0" w:header="0"/>
          <w:type w:val="continuous"/>
        </w:sectPr>
      </w:pPr>
    </w:p>
    <w:bookmarkStart w:id="3" w:name="page4"/>
    <w:bookmarkEnd w:id="3"/>
    <w:p>
      <w:pPr>
        <w:ind w:left="360"/>
        <w:spacing w:after="0"/>
        <w:rPr>
          <w:sz w:val="20"/>
          <w:szCs w:val="20"/>
          <w:color w:val="auto"/>
        </w:rPr>
      </w:pPr>
      <w:r>
        <w:rPr>
          <w:rFonts w:ascii="Times New Roman" w:cs="Times New Roman" w:eastAsia="Times New Roman" w:hAnsi="Times New Roman"/>
          <w:sz w:val="19"/>
          <w:szCs w:val="19"/>
          <w:b w:val="1"/>
          <w:bCs w:val="1"/>
          <w:color w:val="auto"/>
        </w:rPr>
        <w:t xml:space="preserve">Schedule 1 </w:t>
      </w:r>
      <w:r>
        <w:rPr>
          <w:rFonts w:ascii="Times New Roman" w:cs="Times New Roman" w:eastAsia="Times New Roman" w:hAnsi="Times New Roman"/>
          <w:sz w:val="19"/>
          <w:szCs w:val="19"/>
          <w:color w:val="auto"/>
        </w:rPr>
        <w:t>- Amendments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353060</wp:posOffset>
                </wp:positionV>
                <wp:extent cx="5316855"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27.8pt" to="435.1pt,27.8pt" o:allowincell="f" strokecolor="#000000" strokeweight="0.72pt"/>
            </w:pict>
          </mc:Fallback>
        </mc:AlternateContent>
      </w:r>
    </w:p>
    <w:p>
      <w:pPr>
        <w:sectPr>
          <w:pgSz w:w="11900" w:h="16838" w:orient="portrait"/>
          <w:cols w:equalWidth="0" w:num="1">
            <w:col w:w="9026"/>
          </w:cols>
          <w:pgMar w:left="1440" w:top="754" w:right="1440" w:bottom="14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40"/>
          <w:szCs w:val="40"/>
          <w:b w:val="1"/>
          <w:bCs w:val="1"/>
          <w:color w:val="auto"/>
        </w:rPr>
        <w:t>Schedule 1—Amendments</w:t>
      </w:r>
    </w:p>
    <w:p>
      <w:pPr>
        <w:spacing w:after="0" w:line="217" w:lineRule="exact"/>
        <w:rPr>
          <w:sz w:val="20"/>
          <w:szCs w:val="20"/>
          <w:color w:val="auto"/>
        </w:rPr>
      </w:pPr>
    </w:p>
    <w:p>
      <w:pPr>
        <w:ind w:left="360" w:right="866"/>
        <w:spacing w:after="0" w:line="234" w:lineRule="auto"/>
        <w:rPr>
          <w:sz w:val="20"/>
          <w:szCs w:val="20"/>
          <w:color w:val="auto"/>
        </w:rPr>
      </w:pPr>
      <w:r>
        <w:rPr>
          <w:rFonts w:ascii="Times New Roman" w:cs="Times New Roman" w:eastAsia="Times New Roman" w:hAnsi="Times New Roman"/>
          <w:sz w:val="32"/>
          <w:szCs w:val="32"/>
          <w:b w:val="1"/>
          <w:bCs w:val="1"/>
          <w:color w:val="auto"/>
        </w:rPr>
        <w:t>Part 1—Amendments of clause 9 of certain Statements of Principles</w:t>
      </w:r>
    </w:p>
    <w:p>
      <w:pPr>
        <w:spacing w:after="0" w:line="220" w:lineRule="exact"/>
        <w:rPr>
          <w:sz w:val="20"/>
          <w:szCs w:val="20"/>
          <w:color w:val="auto"/>
        </w:rPr>
      </w:pPr>
    </w:p>
    <w:p>
      <w:pPr>
        <w:ind w:left="780" w:hanging="422"/>
        <w:spacing w:after="0"/>
        <w:tabs>
          <w:tab w:leader="none" w:pos="780" w:val="left"/>
        </w:tabs>
        <w:numPr>
          <w:ilvl w:val="0"/>
          <w:numId w:val="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Amendments of definition</w:t>
      </w:r>
    </w:p>
    <w:p>
      <w:pPr>
        <w:spacing w:after="0" w:line="88" w:lineRule="exact"/>
        <w:rPr>
          <w:rFonts w:ascii="Times New Roman" w:cs="Times New Roman" w:eastAsia="Times New Roman" w:hAnsi="Times New Roman"/>
          <w:sz w:val="24"/>
          <w:szCs w:val="24"/>
          <w:b w:val="1"/>
          <w:bCs w:val="1"/>
          <w:color w:val="auto"/>
        </w:rPr>
      </w:pPr>
    </w:p>
    <w:p>
      <w:pPr>
        <w:ind w:left="780" w:right="666"/>
        <w:spacing w:after="0" w:line="236" w:lineRule="auto"/>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2"/>
          <w:szCs w:val="22"/>
          <w:color w:val="auto"/>
        </w:rPr>
        <w:t xml:space="preserve">Omit the definition of </w:t>
      </w:r>
      <w:r>
        <w:rPr>
          <w:rFonts w:ascii="Times New Roman" w:cs="Times New Roman" w:eastAsia="Times New Roman" w:hAnsi="Times New Roman"/>
          <w:sz w:val="22"/>
          <w:szCs w:val="22"/>
          <w:b w:val="1"/>
          <w:bCs w:val="1"/>
          <w:color w:val="auto"/>
        </w:rPr>
        <w:t>"cumulative equivalent dose"</w:t>
      </w:r>
      <w:r>
        <w:rPr>
          <w:rFonts w:ascii="Times New Roman" w:cs="Times New Roman" w:eastAsia="Times New Roman" w:hAnsi="Times New Roman"/>
          <w:sz w:val="22"/>
          <w:szCs w:val="22"/>
          <w:color w:val="auto"/>
        </w:rPr>
        <w:t xml:space="preserve"> in clause 9 of the Statements of Principles to be amended as listed in paragraph 2 of this Part and substitute the following:</w:t>
      </w:r>
    </w:p>
    <w:p>
      <w:pPr>
        <w:spacing w:after="0" w:line="192" w:lineRule="exact"/>
        <w:rPr>
          <w:sz w:val="20"/>
          <w:szCs w:val="20"/>
          <w:color w:val="auto"/>
        </w:rPr>
      </w:pPr>
    </w:p>
    <w:p>
      <w:pPr>
        <w:ind w:left="1500" w:right="426"/>
        <w:spacing w:after="0" w:line="238" w:lineRule="auto"/>
        <w:rPr>
          <w:sz w:val="20"/>
          <w:szCs w:val="20"/>
          <w:color w:val="auto"/>
        </w:rPr>
      </w:pPr>
      <w:r>
        <w:rPr>
          <w:rFonts w:ascii="Times New Roman" w:cs="Times New Roman" w:eastAsia="Times New Roman" w:hAnsi="Times New Roman"/>
          <w:sz w:val="22"/>
          <w:szCs w:val="22"/>
          <w:b w:val="1"/>
          <w:bCs w:val="1"/>
          <w:color w:val="auto"/>
        </w:rPr>
        <w:t xml:space="preserve">"cumulative equivalent dose" </w:t>
      </w:r>
      <w:r>
        <w:rPr>
          <w:rFonts w:ascii="Times New Roman" w:cs="Times New Roman" w:eastAsia="Times New Roman" w:hAnsi="Times New Roman"/>
          <w:sz w:val="22"/>
          <w:szCs w:val="22"/>
          <w:color w:val="auto"/>
        </w:rPr>
        <w:t>means the total dose of ionising radiation</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received by the particular organ or tissue from external exposure, internal exposure or both, apart from normal background radiation exposure in Australia, calculated in accordance with the methodology set out in </w:t>
      </w:r>
      <w:r>
        <w:rPr>
          <w:rFonts w:ascii="Times New Roman" w:cs="Times New Roman" w:eastAsia="Times New Roman" w:hAnsi="Times New Roman"/>
          <w:sz w:val="22"/>
          <w:szCs w:val="22"/>
          <w:i w:val="1"/>
          <w:iCs w:val="1"/>
          <w:color w:val="auto"/>
        </w:rPr>
        <w:t>Guide to calculation of</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'cumulative equivalent dose' for the purpose of applying ionising radiation factors contained in Statements of Principles determined under Part XIA of the Veterans' Entitlements Act 1986 (Cth)</w:t>
      </w:r>
      <w:r>
        <w:rPr>
          <w:rFonts w:ascii="Times New Roman" w:cs="Times New Roman" w:eastAsia="Times New Roman" w:hAnsi="Times New Roman"/>
          <w:sz w:val="22"/>
          <w:szCs w:val="22"/>
          <w:color w:val="auto"/>
        </w:rPr>
        <w:t>, Australian Radiation Protection and</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Nuclear Safety Agency, as in force on 2 August 2017;</w:t>
      </w:r>
    </w:p>
    <w:p>
      <w:pPr>
        <w:spacing w:after="0" w:line="142" w:lineRule="exact"/>
        <w:rPr>
          <w:sz w:val="20"/>
          <w:szCs w:val="20"/>
          <w:color w:val="auto"/>
        </w:rPr>
      </w:pPr>
    </w:p>
    <w:p>
      <w:pPr>
        <w:ind w:left="2200" w:right="506" w:hanging="710"/>
        <w:spacing w:after="0" w:line="253" w:lineRule="auto"/>
        <w:tabs>
          <w:tab w:leader="none" w:pos="2180" w:val="left"/>
        </w:tabs>
        <w:rPr>
          <w:sz w:val="20"/>
          <w:szCs w:val="20"/>
          <w:color w:val="auto"/>
        </w:rPr>
      </w:pPr>
      <w:r>
        <w:rPr>
          <w:rFonts w:ascii="Times New Roman" w:cs="Times New Roman" w:eastAsia="Times New Roman" w:hAnsi="Times New Roman"/>
          <w:sz w:val="18"/>
          <w:szCs w:val="18"/>
          <w:color w:val="auto"/>
        </w:rPr>
        <w:t>Note 1:</w:t>
      </w:r>
      <w:r>
        <w:rPr>
          <w:sz w:val="20"/>
          <w:szCs w:val="20"/>
          <w:color w:val="auto"/>
        </w:rPr>
        <w:tab/>
      </w:r>
      <w:r>
        <w:rPr>
          <w:rFonts w:ascii="Times New Roman" w:cs="Times New Roman" w:eastAsia="Times New Roman" w:hAnsi="Times New Roman"/>
          <w:sz w:val="17"/>
          <w:szCs w:val="17"/>
          <w:color w:val="auto"/>
        </w:rPr>
        <w:t>Examples of circumstances that might lead to exposure to ionising radiation include being present during or subsequent to the testing or use of nuclear weapons, undergoing diagnostic or therapeutic medical procedures involving ionising radiation, and being a member of an aircrew, leading to increased levels of exposure to cosmic radiation.</w:t>
      </w:r>
    </w:p>
    <w:p>
      <w:pPr>
        <w:spacing w:after="0" w:line="124" w:lineRule="exact"/>
        <w:rPr>
          <w:sz w:val="20"/>
          <w:szCs w:val="20"/>
          <w:color w:val="auto"/>
        </w:rPr>
      </w:pPr>
    </w:p>
    <w:p>
      <w:pPr>
        <w:jc w:val="both"/>
        <w:ind w:left="2200" w:right="446" w:hanging="710"/>
        <w:spacing w:after="0" w:line="236" w:lineRule="auto"/>
        <w:tabs>
          <w:tab w:leader="none" w:pos="2180" w:val="left"/>
        </w:tabs>
        <w:rPr>
          <w:sz w:val="20"/>
          <w:szCs w:val="20"/>
          <w:color w:val="auto"/>
        </w:rPr>
      </w:pPr>
      <w:r>
        <w:rPr>
          <w:rFonts w:ascii="Times New Roman" w:cs="Times New Roman" w:eastAsia="Times New Roman" w:hAnsi="Times New Roman"/>
          <w:sz w:val="18"/>
          <w:szCs w:val="18"/>
          <w:color w:val="auto"/>
        </w:rPr>
        <w:t>Note 2:</w:t>
        <w:tab/>
        <w:t>For the purpose of dose reconstruction, dose is calculated as an average over the mass of a specific tissue or organ. If a tissue is exposed to multiple sources of ionising radiation, the various dose estimates for each type of radiation must be combined.</w:t>
      </w:r>
    </w:p>
    <w:p>
      <w:pPr>
        <w:spacing w:after="0" w:line="222" w:lineRule="exact"/>
        <w:rPr>
          <w:sz w:val="20"/>
          <w:szCs w:val="20"/>
          <w:color w:val="auto"/>
        </w:rPr>
      </w:pPr>
    </w:p>
    <w:p>
      <w:pPr>
        <w:ind w:left="780" w:hanging="422"/>
        <w:spacing w:after="0"/>
        <w:tabs>
          <w:tab w:leader="none" w:pos="780" w:val="left"/>
        </w:tabs>
        <w:numPr>
          <w:ilvl w:val="0"/>
          <w:numId w:val="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Statements of Principles to be amended:</w:t>
      </w:r>
    </w:p>
    <w:p>
      <w:pPr>
        <w:spacing w:after="0" w:line="275" w:lineRule="exact"/>
        <w:rPr>
          <w:rFonts w:ascii="Times New Roman" w:cs="Times New Roman" w:eastAsia="Times New Roman" w:hAnsi="Times New Roman"/>
          <w:sz w:val="24"/>
          <w:szCs w:val="24"/>
          <w:b w:val="1"/>
          <w:bCs w:val="1"/>
          <w:color w:val="auto"/>
        </w:rPr>
      </w:pPr>
    </w:p>
    <w:p>
      <w:pPr>
        <w:jc w:val="both"/>
        <w:ind w:left="780" w:right="2166"/>
        <w:spacing w:after="0" w:line="237" w:lineRule="auto"/>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2"/>
          <w:szCs w:val="22"/>
          <w:color w:val="auto"/>
        </w:rPr>
        <w:t>Statement of Principles concerning acoustic neuroma No. 29 of 2011 Statement of Principles concerning acoustic neuroma No. 30 of 2011</w:t>
      </w:r>
    </w:p>
    <w:p>
      <w:pPr>
        <w:spacing w:after="0" w:line="21" w:lineRule="exact"/>
        <w:rPr>
          <w:rFonts w:ascii="Times New Roman" w:cs="Times New Roman" w:eastAsia="Times New Roman" w:hAnsi="Times New Roman"/>
          <w:sz w:val="24"/>
          <w:szCs w:val="24"/>
          <w:b w:val="1"/>
          <w:bCs w:val="1"/>
          <w:color w:val="auto"/>
        </w:rPr>
      </w:pPr>
    </w:p>
    <w:p>
      <w:pPr>
        <w:ind w:left="780" w:right="686"/>
        <w:spacing w:after="0" w:line="237" w:lineRule="auto"/>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2"/>
          <w:szCs w:val="22"/>
          <w:color w:val="auto"/>
        </w:rPr>
        <w:t>Statement of Principles concerning acute lymphoblastic leukaemia No. 75 of 2012, as amended</w:t>
      </w:r>
    </w:p>
    <w:p>
      <w:pPr>
        <w:spacing w:after="0" w:line="18" w:lineRule="exact"/>
        <w:rPr>
          <w:rFonts w:ascii="Times New Roman" w:cs="Times New Roman" w:eastAsia="Times New Roman" w:hAnsi="Times New Roman"/>
          <w:sz w:val="24"/>
          <w:szCs w:val="24"/>
          <w:b w:val="1"/>
          <w:bCs w:val="1"/>
          <w:color w:val="auto"/>
        </w:rPr>
      </w:pPr>
    </w:p>
    <w:p>
      <w:pPr>
        <w:ind w:left="780" w:right="986"/>
        <w:spacing w:after="0" w:line="244" w:lineRule="auto"/>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2"/>
          <w:szCs w:val="22"/>
          <w:color w:val="auto"/>
        </w:rPr>
        <w:t>Statement of Principles concerning acute lymphoblastic leukaemia No. 76 of 2012 Statement of Principles concerning adenocarcinoma of the kidney No. 9 of 2013 Statement of Principles concerning adenocarcinoma of the kidney No. 10 of 2013 Statement of Principles concerning Alzheimer-type dementia No. 22 of 2010, as amended</w:t>
      </w:r>
    </w:p>
    <w:p>
      <w:pPr>
        <w:spacing w:after="0" w:line="14" w:lineRule="exact"/>
        <w:rPr>
          <w:rFonts w:ascii="Times New Roman" w:cs="Times New Roman" w:eastAsia="Times New Roman" w:hAnsi="Times New Roman"/>
          <w:sz w:val="24"/>
          <w:szCs w:val="24"/>
          <w:b w:val="1"/>
          <w:bCs w:val="1"/>
          <w:color w:val="auto"/>
        </w:rPr>
      </w:pPr>
    </w:p>
    <w:p>
      <w:pPr>
        <w:ind w:left="780" w:right="1626"/>
        <w:spacing w:after="0" w:line="243" w:lineRule="auto"/>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2"/>
          <w:szCs w:val="22"/>
          <w:color w:val="auto"/>
        </w:rPr>
        <w:t>Statement of Principles concerning angle-closure glaucoma No. 25 of 2012 Statement of Principles concerning angle-closure glaucoma No. 26 of 2012 Statement of Principles concerning aortic stenosis No. 21 of 2013 Statement of Principles concerning aortic stenosis No. 22 of 2013</w:t>
      </w:r>
    </w:p>
    <w:p>
      <w:pPr>
        <w:spacing w:after="0" w:line="14" w:lineRule="exact"/>
        <w:rPr>
          <w:rFonts w:ascii="Times New Roman" w:cs="Times New Roman" w:eastAsia="Times New Roman" w:hAnsi="Times New Roman"/>
          <w:sz w:val="24"/>
          <w:szCs w:val="24"/>
          <w:b w:val="1"/>
          <w:bCs w:val="1"/>
          <w:color w:val="auto"/>
        </w:rPr>
      </w:pPr>
    </w:p>
    <w:p>
      <w:pPr>
        <w:ind w:left="780" w:right="486"/>
        <w:spacing w:after="0" w:line="238" w:lineRule="auto"/>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2"/>
          <w:szCs w:val="22"/>
          <w:color w:val="auto"/>
        </w:rPr>
        <w:t>Statement of Principles concerning atherosclerotic peripheral vascular disease No. 23 of 2012</w:t>
      </w:r>
    </w:p>
    <w:p>
      <w:pPr>
        <w:spacing w:after="0" w:line="19" w:lineRule="exact"/>
        <w:rPr>
          <w:rFonts w:ascii="Times New Roman" w:cs="Times New Roman" w:eastAsia="Times New Roman" w:hAnsi="Times New Roman"/>
          <w:sz w:val="24"/>
          <w:szCs w:val="24"/>
          <w:b w:val="1"/>
          <w:bCs w:val="1"/>
          <w:color w:val="auto"/>
        </w:rPr>
      </w:pPr>
    </w:p>
    <w:p>
      <w:pPr>
        <w:ind w:left="780" w:right="486"/>
        <w:spacing w:after="0" w:line="237" w:lineRule="auto"/>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2"/>
          <w:szCs w:val="22"/>
          <w:color w:val="auto"/>
        </w:rPr>
        <w:t>Statement of Principles concerning atherosclerotic peripheral vascular disease No. 24 of 2012</w:t>
      </w:r>
    </w:p>
    <w:p>
      <w:pPr>
        <w:spacing w:after="0" w:line="21" w:lineRule="exact"/>
        <w:rPr>
          <w:rFonts w:ascii="Times New Roman" w:cs="Times New Roman" w:eastAsia="Times New Roman" w:hAnsi="Times New Roman"/>
          <w:sz w:val="24"/>
          <w:szCs w:val="24"/>
          <w:b w:val="1"/>
          <w:bCs w:val="1"/>
          <w:color w:val="auto"/>
        </w:rPr>
      </w:pPr>
    </w:p>
    <w:p>
      <w:pPr>
        <w:ind w:left="780" w:right="706"/>
        <w:spacing w:after="0" w:line="242" w:lineRule="auto"/>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2"/>
          <w:szCs w:val="22"/>
          <w:color w:val="auto"/>
        </w:rPr>
        <w:t>Statement of Principles concerning carotid arterial disease No. 37 of 2012 Statement of Principles concerning carotid arterial disease No. 38 of 2012 Statement of Principles concerning cerebral meningioma No. 19 of 2009, as amended Statement of Principles concerning cerebral meningioma No. 20 of 2009, as amended</w:t>
      </w:r>
    </w:p>
    <w:p>
      <w:pPr>
        <w:spacing w:after="0" w:line="228" w:lineRule="exact"/>
        <w:rPr>
          <w:sz w:val="20"/>
          <w:szCs w:val="20"/>
          <w:color w:val="auto"/>
        </w:rPr>
      </w:pPr>
    </w:p>
    <w:p>
      <w:pPr>
        <w:jc w:val="right"/>
        <w:ind w:right="346"/>
        <w:spacing w:after="0"/>
        <w:rPr>
          <w:sz w:val="20"/>
          <w:szCs w:val="20"/>
          <w:color w:val="auto"/>
        </w:rPr>
      </w:pPr>
      <w:r>
        <w:rPr>
          <w:rFonts w:ascii="Times New Roman" w:cs="Times New Roman" w:eastAsia="Times New Roman" w:hAnsi="Times New Roman"/>
          <w:sz w:val="18"/>
          <w:szCs w:val="18"/>
          <w:i w:val="1"/>
          <w:iCs w:val="1"/>
          <w:color w:val="auto"/>
        </w:rPr>
        <w:t>4 of 8</w:t>
      </w:r>
    </w:p>
    <w:p>
      <w:pPr>
        <w:sectPr>
          <w:pgSz w:w="11900" w:h="16838" w:orient="portrait"/>
          <w:cols w:equalWidth="0" w:num="1">
            <w:col w:w="9026"/>
          </w:cols>
          <w:pgMar w:left="1440" w:top="754" w:right="1440" w:bottom="148" w:gutter="0" w:footer="0" w:header="0"/>
          <w:type w:val="continuous"/>
        </w:sectPr>
      </w:pPr>
    </w:p>
    <w:p>
      <w:pPr>
        <w:spacing w:after="0" w:line="10" w:lineRule="exact"/>
        <w:rPr>
          <w:sz w:val="20"/>
          <w:szCs w:val="20"/>
          <w:color w:val="auto"/>
        </w:rPr>
      </w:pPr>
    </w:p>
    <w:p>
      <w:pPr>
        <w:jc w:val="center"/>
        <w:ind w:left="1640" w:right="1626"/>
        <w:spacing w:after="0" w:line="236" w:lineRule="auto"/>
        <w:rPr>
          <w:sz w:val="20"/>
          <w:szCs w:val="20"/>
          <w:color w:val="auto"/>
        </w:rPr>
      </w:pPr>
      <w:r>
        <w:rPr>
          <w:rFonts w:ascii="Times New Roman" w:cs="Times New Roman" w:eastAsia="Times New Roman" w:hAnsi="Times New Roman"/>
          <w:sz w:val="18"/>
          <w:szCs w:val="18"/>
          <w:i w:val="1"/>
          <w:iCs w:val="1"/>
          <w:color w:val="auto"/>
        </w:rPr>
        <w:t>Veterans' Entitlements (Statements of Principles—Cumulative Equivalent Dose) Amendment Determination 2017 (No. 58 of 2017) Veterans' Entitlements Act 1986</w:t>
      </w:r>
    </w:p>
    <w:p>
      <w:pPr>
        <w:sectPr>
          <w:pgSz w:w="11900" w:h="16838" w:orient="portrait"/>
          <w:cols w:equalWidth="0" w:num="1">
            <w:col w:w="9026"/>
          </w:cols>
          <w:pgMar w:left="1440" w:top="754" w:right="1440" w:bottom="148" w:gutter="0" w:footer="0" w:header="0"/>
          <w:type w:val="continuous"/>
        </w:sectPr>
      </w:pPr>
    </w:p>
    <w:bookmarkStart w:id="4" w:name="page5"/>
    <w:bookmarkEnd w:id="4"/>
    <w:p>
      <w:pPr>
        <w:ind w:left="360"/>
        <w:spacing w:after="0"/>
        <w:rPr>
          <w:sz w:val="20"/>
          <w:szCs w:val="20"/>
          <w:color w:val="auto"/>
        </w:rPr>
      </w:pPr>
      <w:r>
        <w:rPr>
          <w:rFonts w:ascii="Times New Roman" w:cs="Times New Roman" w:eastAsia="Times New Roman" w:hAnsi="Times New Roman"/>
          <w:sz w:val="19"/>
          <w:szCs w:val="19"/>
          <w:b w:val="1"/>
          <w:bCs w:val="1"/>
          <w:color w:val="auto"/>
        </w:rPr>
        <w:t xml:space="preserve">Schedule 1 </w:t>
      </w:r>
      <w:r>
        <w:rPr>
          <w:rFonts w:ascii="Times New Roman" w:cs="Times New Roman" w:eastAsia="Times New Roman" w:hAnsi="Times New Roman"/>
          <w:sz w:val="19"/>
          <w:szCs w:val="19"/>
          <w:color w:val="auto"/>
        </w:rPr>
        <w:t>- Amendments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353060</wp:posOffset>
                </wp:positionV>
                <wp:extent cx="5316855"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27.8pt" to="435.1pt,27.8pt" o:allowincell="f" strokecolor="#000000" strokeweight="0.72pt"/>
            </w:pict>
          </mc:Fallback>
        </mc:AlternateContent>
      </w:r>
    </w:p>
    <w:p>
      <w:pPr>
        <w:sectPr>
          <w:pgSz w:w="11900" w:h="16838" w:orient="portrait"/>
          <w:cols w:equalWidth="0" w:num="1">
            <w:col w:w="9026"/>
          </w:cols>
          <w:pgMar w:left="1440" w:top="754" w:right="1440" w:bottom="14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ind w:left="780" w:right="626"/>
        <w:spacing w:after="0" w:line="243" w:lineRule="auto"/>
        <w:rPr>
          <w:sz w:val="20"/>
          <w:szCs w:val="20"/>
          <w:color w:val="auto"/>
        </w:rPr>
      </w:pPr>
      <w:r>
        <w:rPr>
          <w:rFonts w:ascii="Times New Roman" w:cs="Times New Roman" w:eastAsia="Times New Roman" w:hAnsi="Times New Roman"/>
          <w:sz w:val="22"/>
          <w:szCs w:val="22"/>
          <w:color w:val="auto"/>
        </w:rPr>
        <w:t>Statement of Principles concerning cerebrovascular accident No. 65 of 2015 Statement of Principles concerning cerebrovascular accident No. 66 of 2015 Statement of Principles concerning chronic gastritis and chronic gastropathy No. 25 of 2013</w:t>
      </w:r>
    </w:p>
    <w:p>
      <w:pPr>
        <w:spacing w:after="0" w:line="17" w:lineRule="exact"/>
        <w:rPr>
          <w:sz w:val="20"/>
          <w:szCs w:val="20"/>
          <w:color w:val="auto"/>
        </w:rPr>
      </w:pPr>
    </w:p>
    <w:p>
      <w:pPr>
        <w:ind w:left="780" w:right="626"/>
        <w:spacing w:after="0" w:line="237" w:lineRule="auto"/>
        <w:rPr>
          <w:sz w:val="20"/>
          <w:szCs w:val="20"/>
          <w:color w:val="auto"/>
        </w:rPr>
      </w:pPr>
      <w:r>
        <w:rPr>
          <w:rFonts w:ascii="Times New Roman" w:cs="Times New Roman" w:eastAsia="Times New Roman" w:hAnsi="Times New Roman"/>
          <w:sz w:val="22"/>
          <w:szCs w:val="22"/>
          <w:color w:val="auto"/>
        </w:rPr>
        <w:t>Statement of Principles concerning chronic gastritis and chronic gastropathy No. 26 of 2013</w:t>
      </w:r>
    </w:p>
    <w:p>
      <w:pPr>
        <w:spacing w:after="0" w:line="7"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22"/>
          <w:szCs w:val="22"/>
          <w:color w:val="auto"/>
        </w:rPr>
        <w:t>Statement of Principles concerning chronic myeloid leukaemia No. 47 of 2014</w:t>
      </w:r>
    </w:p>
    <w:p>
      <w:pPr>
        <w:spacing w:after="0" w:line="9"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22"/>
          <w:szCs w:val="22"/>
          <w:color w:val="auto"/>
        </w:rPr>
        <w:t>Statement of Principles concerning chronic myeloid leukaemia No. 48 of 2014</w:t>
      </w:r>
    </w:p>
    <w:p>
      <w:pPr>
        <w:spacing w:after="0" w:line="6"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22"/>
          <w:szCs w:val="22"/>
          <w:color w:val="auto"/>
        </w:rPr>
        <w:t>Statement of Principles concerning chronic pancreatitis No. 104 of 2011</w:t>
      </w:r>
    </w:p>
    <w:p>
      <w:pPr>
        <w:spacing w:after="0" w:line="6"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22"/>
          <w:szCs w:val="22"/>
          <w:color w:val="auto"/>
        </w:rPr>
        <w:t>Statement of Principles concerning chronic pancreatitis No. 105 of 2011</w:t>
      </w:r>
    </w:p>
    <w:p>
      <w:pPr>
        <w:spacing w:after="0" w:line="9"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22"/>
          <w:szCs w:val="22"/>
          <w:color w:val="auto"/>
        </w:rPr>
        <w:t>Statement of Principles concerning erectile dysfunction No. 43 of 2013</w:t>
      </w:r>
    </w:p>
    <w:p>
      <w:pPr>
        <w:spacing w:after="0" w:line="6"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22"/>
          <w:szCs w:val="22"/>
          <w:color w:val="auto"/>
        </w:rPr>
        <w:t>Statement of Principles concerning erectile dysfunction No. 44 of 2013</w:t>
      </w:r>
    </w:p>
    <w:p>
      <w:pPr>
        <w:spacing w:after="0" w:line="6"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22"/>
          <w:szCs w:val="22"/>
          <w:color w:val="auto"/>
        </w:rPr>
        <w:t>Statement of Principles concerning fibrosing interstitial lung disease No. 53 of 2013</w:t>
      </w:r>
    </w:p>
    <w:p>
      <w:pPr>
        <w:spacing w:after="0" w:line="9"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22"/>
          <w:szCs w:val="22"/>
          <w:color w:val="auto"/>
        </w:rPr>
        <w:t>Statement of Principles concerning fibrosing interstitial lung disease No. 54 of 2013</w:t>
      </w:r>
    </w:p>
    <w:p>
      <w:pPr>
        <w:spacing w:after="0" w:line="6"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22"/>
          <w:szCs w:val="22"/>
          <w:color w:val="auto"/>
        </w:rPr>
        <w:t>Statement of Principles concerning gastric ulcer and duodenal ulcer No. 61 of 2015</w:t>
      </w:r>
    </w:p>
    <w:p>
      <w:pPr>
        <w:spacing w:after="0" w:line="6"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22"/>
          <w:szCs w:val="22"/>
          <w:color w:val="auto"/>
        </w:rPr>
        <w:t>Statement of Principles concerning gastric ulcer and duodenal ulcer No. 62 of 2015</w:t>
      </w:r>
    </w:p>
    <w:p>
      <w:pPr>
        <w:spacing w:after="0" w:line="9"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22"/>
          <w:szCs w:val="22"/>
          <w:color w:val="auto"/>
        </w:rPr>
        <w:t>Statement of Principles concerning goitre No. 23 of 2013</w:t>
      </w:r>
    </w:p>
    <w:p>
      <w:pPr>
        <w:spacing w:after="0" w:line="6"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22"/>
          <w:szCs w:val="22"/>
          <w:color w:val="auto"/>
        </w:rPr>
        <w:t>Statement of Principles concerning goitre No. 24 of 2013</w:t>
      </w:r>
    </w:p>
    <w:p>
      <w:pPr>
        <w:spacing w:after="0" w:line="6"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22"/>
          <w:szCs w:val="22"/>
          <w:color w:val="auto"/>
        </w:rPr>
        <w:t>Statement of Principles concerning Graves' disease No. 33 of 2013</w:t>
      </w:r>
    </w:p>
    <w:p>
      <w:pPr>
        <w:spacing w:after="0" w:line="9"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22"/>
          <w:szCs w:val="22"/>
          <w:color w:val="auto"/>
        </w:rPr>
        <w:t>Statement of Principles concerning Graves' disease No. 34 of 2013</w:t>
      </w:r>
    </w:p>
    <w:p>
      <w:pPr>
        <w:spacing w:after="0" w:line="6"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22"/>
          <w:szCs w:val="22"/>
          <w:color w:val="auto"/>
        </w:rPr>
        <w:t>Statement of Principles concerning Hashimoto's thyroiditis No. 31 of 2013</w:t>
      </w:r>
    </w:p>
    <w:p>
      <w:pPr>
        <w:spacing w:after="0" w:line="6"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22"/>
          <w:szCs w:val="22"/>
          <w:color w:val="auto"/>
        </w:rPr>
        <w:t>Statement of Principles concerning Hashimoto's thyroiditis No. 32 of 2013</w:t>
      </w:r>
    </w:p>
    <w:p>
      <w:pPr>
        <w:spacing w:after="0" w:line="9"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22"/>
          <w:szCs w:val="22"/>
          <w:color w:val="auto"/>
        </w:rPr>
        <w:t>Statement of Principles concerning heart block No. 1 of 2014</w:t>
      </w:r>
    </w:p>
    <w:p>
      <w:pPr>
        <w:spacing w:after="0" w:line="6"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22"/>
          <w:szCs w:val="22"/>
          <w:color w:val="auto"/>
        </w:rPr>
        <w:t>Statement of Principles concerning heart block No. 2 of 2014</w:t>
      </w:r>
    </w:p>
    <w:p>
      <w:pPr>
        <w:spacing w:after="0" w:line="6"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22"/>
          <w:szCs w:val="22"/>
          <w:color w:val="auto"/>
        </w:rPr>
        <w:t>Statement of Principles concerning hypothyroidism No. 29 of 2013</w:t>
      </w:r>
    </w:p>
    <w:p>
      <w:pPr>
        <w:spacing w:after="0" w:line="9"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22"/>
          <w:szCs w:val="22"/>
          <w:color w:val="auto"/>
        </w:rPr>
        <w:t>Statement of Principles concerning hypothyroidism No. 30 of 2013</w:t>
      </w:r>
    </w:p>
    <w:p>
      <w:pPr>
        <w:spacing w:after="0" w:line="18" w:lineRule="exact"/>
        <w:rPr>
          <w:sz w:val="20"/>
          <w:szCs w:val="20"/>
          <w:color w:val="auto"/>
        </w:rPr>
      </w:pPr>
    </w:p>
    <w:p>
      <w:pPr>
        <w:ind w:left="780" w:right="566"/>
        <w:spacing w:after="0" w:line="244" w:lineRule="auto"/>
        <w:rPr>
          <w:sz w:val="20"/>
          <w:szCs w:val="20"/>
          <w:color w:val="auto"/>
        </w:rPr>
      </w:pPr>
      <w:r>
        <w:rPr>
          <w:rFonts w:ascii="Times New Roman" w:cs="Times New Roman" w:eastAsia="Times New Roman" w:hAnsi="Times New Roman"/>
          <w:sz w:val="22"/>
          <w:szCs w:val="22"/>
          <w:color w:val="auto"/>
        </w:rPr>
        <w:t>Statement of Principles concerning malignant neoplasm of the bile duct No. 69 of 2015 Statement of Principles concerning malignant neoplasm of the bile duct No. 70 of 2015 Statement of Principles concerning malignant neoplasm of the bladder No. 96 of 2011 Statement of Principles concerning malignant neoplasm of the bladder No. 97 of 2011 Statement of Principles concerning malignant neoplasm of bone and articular cartilage No. 106 of 2011</w:t>
      </w:r>
    </w:p>
    <w:p>
      <w:pPr>
        <w:spacing w:after="0" w:line="17" w:lineRule="exact"/>
        <w:rPr>
          <w:sz w:val="20"/>
          <w:szCs w:val="20"/>
          <w:color w:val="auto"/>
        </w:rPr>
      </w:pPr>
    </w:p>
    <w:p>
      <w:pPr>
        <w:ind w:left="780" w:right="626"/>
        <w:spacing w:after="0" w:line="237" w:lineRule="auto"/>
        <w:rPr>
          <w:sz w:val="20"/>
          <w:szCs w:val="20"/>
          <w:color w:val="auto"/>
        </w:rPr>
      </w:pPr>
      <w:r>
        <w:rPr>
          <w:rFonts w:ascii="Times New Roman" w:cs="Times New Roman" w:eastAsia="Times New Roman" w:hAnsi="Times New Roman"/>
          <w:sz w:val="22"/>
          <w:szCs w:val="22"/>
          <w:color w:val="auto"/>
        </w:rPr>
        <w:t>Statement of Principles concerning malignant neoplasm of bone and articular cartilage No. 107 of 2011</w:t>
      </w:r>
    </w:p>
    <w:p>
      <w:pPr>
        <w:spacing w:after="0" w:line="21" w:lineRule="exact"/>
        <w:rPr>
          <w:sz w:val="20"/>
          <w:szCs w:val="20"/>
          <w:color w:val="auto"/>
        </w:rPr>
      </w:pPr>
    </w:p>
    <w:p>
      <w:pPr>
        <w:ind w:left="780" w:right="446"/>
        <w:spacing w:after="0" w:line="243" w:lineRule="auto"/>
        <w:rPr>
          <w:sz w:val="20"/>
          <w:szCs w:val="20"/>
          <w:color w:val="auto"/>
        </w:rPr>
      </w:pPr>
      <w:r>
        <w:rPr>
          <w:rFonts w:ascii="Times New Roman" w:cs="Times New Roman" w:eastAsia="Times New Roman" w:hAnsi="Times New Roman"/>
          <w:sz w:val="22"/>
          <w:szCs w:val="22"/>
          <w:color w:val="auto"/>
        </w:rPr>
        <w:t>Statement of Principles concerning malignant neoplasm of the breast No. 96 of 2014 Statement of Principles concerning malignant neoplasm of the breast No. 97 of 2014 Statement of Principles concerning malignant neoplasm of the cerebral meninges No. 21 of 2009, as amended</w:t>
      </w:r>
    </w:p>
    <w:p>
      <w:pPr>
        <w:spacing w:after="0" w:line="15" w:lineRule="exact"/>
        <w:rPr>
          <w:sz w:val="20"/>
          <w:szCs w:val="20"/>
          <w:color w:val="auto"/>
        </w:rPr>
      </w:pPr>
    </w:p>
    <w:p>
      <w:pPr>
        <w:ind w:left="780" w:right="446"/>
        <w:spacing w:after="0" w:line="237" w:lineRule="auto"/>
        <w:rPr>
          <w:sz w:val="20"/>
          <w:szCs w:val="20"/>
          <w:color w:val="auto"/>
        </w:rPr>
      </w:pPr>
      <w:r>
        <w:rPr>
          <w:rFonts w:ascii="Times New Roman" w:cs="Times New Roman" w:eastAsia="Times New Roman" w:hAnsi="Times New Roman"/>
          <w:sz w:val="22"/>
          <w:szCs w:val="22"/>
          <w:color w:val="auto"/>
        </w:rPr>
        <w:t>Statement of Principles concerning malignant neoplasm of the cerebral meninges No. 22 of 2009, as amended</w:t>
      </w:r>
    </w:p>
    <w:p>
      <w:pPr>
        <w:spacing w:after="0" w:line="21" w:lineRule="exact"/>
        <w:rPr>
          <w:sz w:val="20"/>
          <w:szCs w:val="20"/>
          <w:color w:val="auto"/>
        </w:rPr>
      </w:pPr>
    </w:p>
    <w:p>
      <w:pPr>
        <w:ind w:left="780" w:right="826"/>
        <w:spacing w:after="0" w:line="237" w:lineRule="auto"/>
        <w:rPr>
          <w:sz w:val="20"/>
          <w:szCs w:val="20"/>
          <w:color w:val="auto"/>
        </w:rPr>
      </w:pPr>
      <w:r>
        <w:rPr>
          <w:rFonts w:ascii="Times New Roman" w:cs="Times New Roman" w:eastAsia="Times New Roman" w:hAnsi="Times New Roman"/>
          <w:sz w:val="22"/>
          <w:szCs w:val="22"/>
          <w:color w:val="auto"/>
        </w:rPr>
        <w:t>Statement of Principles concerning malignant neoplasm of the colorectum No. 37 of 2013</w:t>
      </w:r>
    </w:p>
    <w:p>
      <w:pPr>
        <w:spacing w:after="0" w:line="19" w:lineRule="exact"/>
        <w:rPr>
          <w:sz w:val="20"/>
          <w:szCs w:val="20"/>
          <w:color w:val="auto"/>
        </w:rPr>
      </w:pPr>
    </w:p>
    <w:p>
      <w:pPr>
        <w:ind w:left="780" w:right="826"/>
        <w:spacing w:after="0" w:line="238" w:lineRule="auto"/>
        <w:rPr>
          <w:sz w:val="20"/>
          <w:szCs w:val="20"/>
          <w:color w:val="auto"/>
        </w:rPr>
      </w:pPr>
      <w:r>
        <w:rPr>
          <w:rFonts w:ascii="Times New Roman" w:cs="Times New Roman" w:eastAsia="Times New Roman" w:hAnsi="Times New Roman"/>
          <w:sz w:val="22"/>
          <w:szCs w:val="22"/>
          <w:color w:val="auto"/>
        </w:rPr>
        <w:t>Statement of Principles concerning malignant neoplasm of the colorectum No. 38 of 2013</w:t>
      </w:r>
    </w:p>
    <w:p>
      <w:pPr>
        <w:spacing w:after="0" w:line="19" w:lineRule="exact"/>
        <w:rPr>
          <w:sz w:val="20"/>
          <w:szCs w:val="20"/>
          <w:color w:val="auto"/>
        </w:rPr>
      </w:pPr>
    </w:p>
    <w:p>
      <w:pPr>
        <w:ind w:left="780" w:right="526"/>
        <w:spacing w:after="0" w:line="244" w:lineRule="auto"/>
        <w:rPr>
          <w:sz w:val="20"/>
          <w:szCs w:val="20"/>
          <w:color w:val="auto"/>
        </w:rPr>
      </w:pPr>
      <w:r>
        <w:rPr>
          <w:rFonts w:ascii="Times New Roman" w:cs="Times New Roman" w:eastAsia="Times New Roman" w:hAnsi="Times New Roman"/>
          <w:sz w:val="22"/>
          <w:szCs w:val="22"/>
          <w:color w:val="auto"/>
        </w:rPr>
        <w:t>Statement of Principles concerning malignant neoplasm of the liver No. 21 of 2011 Statement of Principles concerning malignant neoplasm of the liver No. 22 of 2011 Statement of Principles concerning malignant neoplasm of the lung No. 92 of 2014 Statement of Principles concerning malignant neoplasm of the lung No. 93 of 2014 Statement of Principles concerning malignant neoplasm of the ovary No. 70 of 2009, as amended</w:t>
      </w:r>
    </w:p>
    <w:p>
      <w:pPr>
        <w:spacing w:after="0" w:line="70" w:lineRule="exact"/>
        <w:rPr>
          <w:sz w:val="20"/>
          <w:szCs w:val="20"/>
          <w:color w:val="auto"/>
        </w:rPr>
      </w:pPr>
    </w:p>
    <w:p>
      <w:pPr>
        <w:jc w:val="right"/>
        <w:ind w:right="346"/>
        <w:spacing w:after="0"/>
        <w:rPr>
          <w:sz w:val="20"/>
          <w:szCs w:val="20"/>
          <w:color w:val="auto"/>
        </w:rPr>
      </w:pPr>
      <w:r>
        <w:rPr>
          <w:rFonts w:ascii="Times New Roman" w:cs="Times New Roman" w:eastAsia="Times New Roman" w:hAnsi="Times New Roman"/>
          <w:sz w:val="18"/>
          <w:szCs w:val="18"/>
          <w:i w:val="1"/>
          <w:iCs w:val="1"/>
          <w:color w:val="auto"/>
        </w:rPr>
        <w:t>5 of 8</w:t>
      </w:r>
    </w:p>
    <w:p>
      <w:pPr>
        <w:sectPr>
          <w:pgSz w:w="11900" w:h="16838" w:orient="portrait"/>
          <w:cols w:equalWidth="0" w:num="1">
            <w:col w:w="9026"/>
          </w:cols>
          <w:pgMar w:left="1440" w:top="754" w:right="1440" w:bottom="148" w:gutter="0" w:footer="0" w:header="0"/>
          <w:type w:val="continuous"/>
        </w:sectPr>
      </w:pPr>
    </w:p>
    <w:p>
      <w:pPr>
        <w:spacing w:after="0" w:line="10" w:lineRule="exact"/>
        <w:rPr>
          <w:sz w:val="20"/>
          <w:szCs w:val="20"/>
          <w:color w:val="auto"/>
        </w:rPr>
      </w:pPr>
    </w:p>
    <w:p>
      <w:pPr>
        <w:jc w:val="center"/>
        <w:ind w:left="1640" w:right="1626"/>
        <w:spacing w:after="0" w:line="236" w:lineRule="auto"/>
        <w:rPr>
          <w:sz w:val="20"/>
          <w:szCs w:val="20"/>
          <w:color w:val="auto"/>
        </w:rPr>
      </w:pPr>
      <w:r>
        <w:rPr>
          <w:rFonts w:ascii="Times New Roman" w:cs="Times New Roman" w:eastAsia="Times New Roman" w:hAnsi="Times New Roman"/>
          <w:sz w:val="18"/>
          <w:szCs w:val="18"/>
          <w:i w:val="1"/>
          <w:iCs w:val="1"/>
          <w:color w:val="auto"/>
        </w:rPr>
        <w:t>Veterans' Entitlements (Statements of Principles—Cumulative Equivalent Dose) Amendment Determination 2017 (No. 58 of 2017) Veterans' Entitlements Act 1986</w:t>
      </w:r>
    </w:p>
    <w:p>
      <w:pPr>
        <w:sectPr>
          <w:pgSz w:w="11900" w:h="16838" w:orient="portrait"/>
          <w:cols w:equalWidth="0" w:num="1">
            <w:col w:w="9026"/>
          </w:cols>
          <w:pgMar w:left="1440" w:top="754" w:right="1440" w:bottom="148" w:gutter="0" w:footer="0" w:header="0"/>
          <w:type w:val="continuous"/>
        </w:sectPr>
      </w:pPr>
    </w:p>
    <w:bookmarkStart w:id="5" w:name="page6"/>
    <w:bookmarkEnd w:id="5"/>
    <w:p>
      <w:pPr>
        <w:ind w:left="360"/>
        <w:spacing w:after="0"/>
        <w:rPr>
          <w:sz w:val="20"/>
          <w:szCs w:val="20"/>
          <w:color w:val="auto"/>
        </w:rPr>
      </w:pPr>
      <w:r>
        <w:rPr>
          <w:rFonts w:ascii="Times New Roman" w:cs="Times New Roman" w:eastAsia="Times New Roman" w:hAnsi="Times New Roman"/>
          <w:sz w:val="19"/>
          <w:szCs w:val="19"/>
          <w:b w:val="1"/>
          <w:bCs w:val="1"/>
          <w:color w:val="auto"/>
        </w:rPr>
        <w:t xml:space="preserve">Schedule 1 </w:t>
      </w:r>
      <w:r>
        <w:rPr>
          <w:rFonts w:ascii="Times New Roman" w:cs="Times New Roman" w:eastAsia="Times New Roman" w:hAnsi="Times New Roman"/>
          <w:sz w:val="19"/>
          <w:szCs w:val="19"/>
          <w:color w:val="auto"/>
        </w:rPr>
        <w:t>- Amendments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353060</wp:posOffset>
                </wp:positionV>
                <wp:extent cx="5316855"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27.8pt" to="435.1pt,27.8pt" o:allowincell="f" strokecolor="#000000" strokeweight="0.72pt"/>
            </w:pict>
          </mc:Fallback>
        </mc:AlternateContent>
      </w:r>
    </w:p>
    <w:p>
      <w:pPr>
        <w:sectPr>
          <w:pgSz w:w="11900" w:h="16838" w:orient="portrait"/>
          <w:cols w:equalWidth="0" w:num="1">
            <w:col w:w="9026"/>
          </w:cols>
          <w:pgMar w:left="1440" w:top="754" w:right="1440" w:bottom="14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ind w:left="780" w:right="526"/>
        <w:spacing w:after="0" w:line="238" w:lineRule="auto"/>
        <w:rPr>
          <w:sz w:val="20"/>
          <w:szCs w:val="20"/>
          <w:color w:val="auto"/>
        </w:rPr>
      </w:pPr>
      <w:r>
        <w:rPr>
          <w:rFonts w:ascii="Times New Roman" w:cs="Times New Roman" w:eastAsia="Times New Roman" w:hAnsi="Times New Roman"/>
          <w:sz w:val="22"/>
          <w:szCs w:val="22"/>
          <w:color w:val="auto"/>
        </w:rPr>
        <w:t>Statement of Principles concerning malignant neoplasm of the ovary No. 71 of 2009, as amended</w:t>
      </w:r>
    </w:p>
    <w:p>
      <w:pPr>
        <w:spacing w:after="0" w:line="19" w:lineRule="exact"/>
        <w:rPr>
          <w:sz w:val="20"/>
          <w:szCs w:val="20"/>
          <w:color w:val="auto"/>
        </w:rPr>
      </w:pPr>
    </w:p>
    <w:p>
      <w:pPr>
        <w:ind w:left="780" w:right="746"/>
        <w:spacing w:after="0" w:line="237" w:lineRule="auto"/>
        <w:rPr>
          <w:sz w:val="20"/>
          <w:szCs w:val="20"/>
          <w:color w:val="auto"/>
        </w:rPr>
      </w:pPr>
      <w:r>
        <w:rPr>
          <w:rFonts w:ascii="Times New Roman" w:cs="Times New Roman" w:eastAsia="Times New Roman" w:hAnsi="Times New Roman"/>
          <w:sz w:val="22"/>
          <w:szCs w:val="22"/>
          <w:color w:val="auto"/>
        </w:rPr>
        <w:t>Statement of Principles concerning malignant neoplasm of the renal pelvis and ureter No. 98 of 2011</w:t>
      </w:r>
    </w:p>
    <w:p>
      <w:pPr>
        <w:spacing w:after="0" w:line="21" w:lineRule="exact"/>
        <w:rPr>
          <w:sz w:val="20"/>
          <w:szCs w:val="20"/>
          <w:color w:val="auto"/>
        </w:rPr>
      </w:pPr>
    </w:p>
    <w:p>
      <w:pPr>
        <w:ind w:left="780" w:right="746"/>
        <w:spacing w:after="0" w:line="237" w:lineRule="auto"/>
        <w:rPr>
          <w:sz w:val="20"/>
          <w:szCs w:val="20"/>
          <w:color w:val="auto"/>
        </w:rPr>
      </w:pPr>
      <w:r>
        <w:rPr>
          <w:rFonts w:ascii="Times New Roman" w:cs="Times New Roman" w:eastAsia="Times New Roman" w:hAnsi="Times New Roman"/>
          <w:sz w:val="22"/>
          <w:szCs w:val="22"/>
          <w:color w:val="auto"/>
        </w:rPr>
        <w:t>Statement of Principles concerning malignant neoplasm of the renal pelvis and ureter No. 99 of 2011</w:t>
      </w:r>
    </w:p>
    <w:p>
      <w:pPr>
        <w:spacing w:after="0" w:line="19" w:lineRule="exact"/>
        <w:rPr>
          <w:sz w:val="20"/>
          <w:szCs w:val="20"/>
          <w:color w:val="auto"/>
        </w:rPr>
      </w:pPr>
    </w:p>
    <w:p>
      <w:pPr>
        <w:jc w:val="both"/>
        <w:ind w:left="780" w:right="586"/>
        <w:spacing w:after="0" w:line="238" w:lineRule="auto"/>
        <w:rPr>
          <w:sz w:val="20"/>
          <w:szCs w:val="20"/>
          <w:color w:val="auto"/>
        </w:rPr>
      </w:pPr>
      <w:r>
        <w:rPr>
          <w:rFonts w:ascii="Times New Roman" w:cs="Times New Roman" w:eastAsia="Times New Roman" w:hAnsi="Times New Roman"/>
          <w:sz w:val="22"/>
          <w:szCs w:val="22"/>
          <w:color w:val="auto"/>
        </w:rPr>
        <w:t>Statement of Principles concerning malignant neoplasm of the salivary gland No. 57 of 2015</w:t>
      </w:r>
    </w:p>
    <w:p>
      <w:pPr>
        <w:spacing w:after="0" w:line="19" w:lineRule="exact"/>
        <w:rPr>
          <w:sz w:val="20"/>
          <w:szCs w:val="20"/>
          <w:color w:val="auto"/>
        </w:rPr>
      </w:pPr>
    </w:p>
    <w:p>
      <w:pPr>
        <w:jc w:val="both"/>
        <w:ind w:left="780" w:right="566"/>
        <w:spacing w:after="0" w:line="237" w:lineRule="auto"/>
        <w:rPr>
          <w:sz w:val="20"/>
          <w:szCs w:val="20"/>
          <w:color w:val="auto"/>
        </w:rPr>
      </w:pPr>
      <w:r>
        <w:rPr>
          <w:rFonts w:ascii="Times New Roman" w:cs="Times New Roman" w:eastAsia="Times New Roman" w:hAnsi="Times New Roman"/>
          <w:sz w:val="22"/>
          <w:szCs w:val="22"/>
          <w:color w:val="auto"/>
        </w:rPr>
        <w:t>Statement of Principles concerning malignant neoplasm of the salivary gland No. 58 of 2015</w:t>
      </w:r>
    </w:p>
    <w:p>
      <w:pPr>
        <w:spacing w:after="0" w:line="21" w:lineRule="exact"/>
        <w:rPr>
          <w:sz w:val="20"/>
          <w:szCs w:val="20"/>
          <w:color w:val="auto"/>
        </w:rPr>
      </w:pPr>
    </w:p>
    <w:p>
      <w:pPr>
        <w:jc w:val="both"/>
        <w:ind w:left="780" w:right="586"/>
        <w:spacing w:after="0" w:line="243" w:lineRule="auto"/>
        <w:rPr>
          <w:sz w:val="20"/>
          <w:szCs w:val="20"/>
          <w:color w:val="auto"/>
        </w:rPr>
      </w:pPr>
      <w:r>
        <w:rPr>
          <w:rFonts w:ascii="Times New Roman" w:cs="Times New Roman" w:eastAsia="Times New Roman" w:hAnsi="Times New Roman"/>
          <w:sz w:val="22"/>
          <w:szCs w:val="22"/>
          <w:color w:val="auto"/>
        </w:rPr>
        <w:t>Statement of Principles concerning malignant neoplasm of the stomach No. 58 of 2014 Statement of Principles concerning malignant neoplasm of the stomach No. 59 of 2014 Statement of Principles concerning malignant neoplasm of the thyroid gland No. 39 of 2014</w:t>
      </w:r>
    </w:p>
    <w:p>
      <w:pPr>
        <w:spacing w:after="0" w:line="15" w:lineRule="exact"/>
        <w:rPr>
          <w:sz w:val="20"/>
          <w:szCs w:val="20"/>
          <w:color w:val="auto"/>
        </w:rPr>
      </w:pPr>
    </w:p>
    <w:p>
      <w:pPr>
        <w:ind w:left="780" w:right="646"/>
        <w:spacing w:after="0" w:line="237" w:lineRule="auto"/>
        <w:rPr>
          <w:sz w:val="20"/>
          <w:szCs w:val="20"/>
          <w:color w:val="auto"/>
        </w:rPr>
      </w:pPr>
      <w:r>
        <w:rPr>
          <w:rFonts w:ascii="Times New Roman" w:cs="Times New Roman" w:eastAsia="Times New Roman" w:hAnsi="Times New Roman"/>
          <w:sz w:val="22"/>
          <w:szCs w:val="22"/>
          <w:color w:val="auto"/>
        </w:rPr>
        <w:t>Statement of Principles concerning malignant neoplasm of the thyroid gland No. 40 of 2014</w:t>
      </w:r>
    </w:p>
    <w:p>
      <w:pPr>
        <w:spacing w:after="0" w:line="21" w:lineRule="exact"/>
        <w:rPr>
          <w:sz w:val="20"/>
          <w:szCs w:val="20"/>
          <w:color w:val="auto"/>
        </w:rPr>
      </w:pPr>
    </w:p>
    <w:p>
      <w:pPr>
        <w:ind w:left="780" w:right="446"/>
        <w:spacing w:after="0" w:line="237" w:lineRule="auto"/>
        <w:rPr>
          <w:sz w:val="20"/>
          <w:szCs w:val="20"/>
          <w:color w:val="auto"/>
        </w:rPr>
      </w:pPr>
      <w:r>
        <w:rPr>
          <w:rFonts w:ascii="Times New Roman" w:cs="Times New Roman" w:eastAsia="Times New Roman" w:hAnsi="Times New Roman"/>
          <w:sz w:val="22"/>
          <w:szCs w:val="22"/>
          <w:color w:val="auto"/>
        </w:rPr>
        <w:t>Statement of Principles concerning malignant neoplasm of unknown primary site No. 80 of 2014</w:t>
      </w:r>
    </w:p>
    <w:p>
      <w:pPr>
        <w:spacing w:after="0" w:line="19" w:lineRule="exact"/>
        <w:rPr>
          <w:sz w:val="20"/>
          <w:szCs w:val="20"/>
          <w:color w:val="auto"/>
        </w:rPr>
      </w:pPr>
    </w:p>
    <w:p>
      <w:pPr>
        <w:ind w:left="780" w:right="446"/>
        <w:spacing w:after="0" w:line="238" w:lineRule="auto"/>
        <w:rPr>
          <w:sz w:val="20"/>
          <w:szCs w:val="20"/>
          <w:color w:val="auto"/>
        </w:rPr>
      </w:pPr>
      <w:r>
        <w:rPr>
          <w:rFonts w:ascii="Times New Roman" w:cs="Times New Roman" w:eastAsia="Times New Roman" w:hAnsi="Times New Roman"/>
          <w:sz w:val="22"/>
          <w:szCs w:val="22"/>
          <w:color w:val="auto"/>
        </w:rPr>
        <w:t>Statement of Principles concerning malignant neoplasm of unknown primary site No. 81 of 2014</w:t>
      </w:r>
    </w:p>
    <w:p>
      <w:pPr>
        <w:spacing w:after="0" w:line="8"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22"/>
          <w:szCs w:val="22"/>
          <w:color w:val="auto"/>
        </w:rPr>
        <w:t>Statement of Principles concerning multiple sclerosis No. 100 of 2011</w:t>
      </w:r>
    </w:p>
    <w:p>
      <w:pPr>
        <w:spacing w:after="0" w:line="6"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22"/>
          <w:szCs w:val="22"/>
          <w:color w:val="auto"/>
        </w:rPr>
        <w:t>Statement of Principles concerning myeloma No. 69 of 2012, as amended</w:t>
      </w:r>
    </w:p>
    <w:p>
      <w:pPr>
        <w:spacing w:after="0" w:line="9"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22"/>
          <w:szCs w:val="22"/>
          <w:color w:val="auto"/>
        </w:rPr>
        <w:t>Statement of Principles concerning narcolepsy No. 7 of 2014</w:t>
      </w:r>
    </w:p>
    <w:p>
      <w:pPr>
        <w:spacing w:after="0" w:line="6"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22"/>
          <w:szCs w:val="22"/>
          <w:color w:val="auto"/>
        </w:rPr>
        <w:t>Statement of Principles concerning narcolepsy No. 8 of 2014</w:t>
      </w:r>
    </w:p>
    <w:p>
      <w:pPr>
        <w:spacing w:after="0" w:line="18" w:lineRule="exact"/>
        <w:rPr>
          <w:sz w:val="20"/>
          <w:szCs w:val="20"/>
          <w:color w:val="auto"/>
        </w:rPr>
      </w:pPr>
    </w:p>
    <w:p>
      <w:pPr>
        <w:ind w:left="780" w:right="426"/>
        <w:spacing w:after="0" w:line="241" w:lineRule="auto"/>
        <w:rPr>
          <w:sz w:val="20"/>
          <w:szCs w:val="20"/>
          <w:color w:val="auto"/>
        </w:rPr>
      </w:pPr>
      <w:r>
        <w:rPr>
          <w:rFonts w:ascii="Times New Roman" w:cs="Times New Roman" w:eastAsia="Times New Roman" w:hAnsi="Times New Roman"/>
          <w:sz w:val="22"/>
          <w:szCs w:val="22"/>
          <w:color w:val="auto"/>
        </w:rPr>
        <w:t>Statement of Principles concerning neoplasm of the pituitary gland No. 53 of 2015 Statement of Principles concerning non-aneurysmal aortic atherosclerotic disease No. 15 of 2012</w:t>
      </w:r>
    </w:p>
    <w:p>
      <w:pPr>
        <w:spacing w:after="0" w:line="18" w:lineRule="exact"/>
        <w:rPr>
          <w:sz w:val="20"/>
          <w:szCs w:val="20"/>
          <w:color w:val="auto"/>
        </w:rPr>
      </w:pPr>
    </w:p>
    <w:p>
      <w:pPr>
        <w:ind w:left="780" w:right="426"/>
        <w:spacing w:after="0" w:line="238" w:lineRule="auto"/>
        <w:rPr>
          <w:sz w:val="20"/>
          <w:szCs w:val="20"/>
          <w:color w:val="auto"/>
        </w:rPr>
      </w:pPr>
      <w:r>
        <w:rPr>
          <w:rFonts w:ascii="Times New Roman" w:cs="Times New Roman" w:eastAsia="Times New Roman" w:hAnsi="Times New Roman"/>
          <w:sz w:val="22"/>
          <w:szCs w:val="22"/>
          <w:color w:val="auto"/>
        </w:rPr>
        <w:t>Statement of Principles concerning non-aneurysmal aortic atherosclerotic disease No. 16 of 2012</w:t>
      </w:r>
    </w:p>
    <w:p>
      <w:pPr>
        <w:spacing w:after="0" w:line="19" w:lineRule="exact"/>
        <w:rPr>
          <w:sz w:val="20"/>
          <w:szCs w:val="20"/>
          <w:color w:val="auto"/>
        </w:rPr>
      </w:pPr>
    </w:p>
    <w:p>
      <w:pPr>
        <w:ind w:left="780" w:right="1126"/>
        <w:spacing w:after="0" w:line="237" w:lineRule="auto"/>
        <w:rPr>
          <w:sz w:val="20"/>
          <w:szCs w:val="20"/>
          <w:color w:val="auto"/>
        </w:rPr>
      </w:pPr>
      <w:r>
        <w:rPr>
          <w:rFonts w:ascii="Times New Roman" w:cs="Times New Roman" w:eastAsia="Times New Roman" w:hAnsi="Times New Roman"/>
          <w:sz w:val="22"/>
          <w:szCs w:val="22"/>
          <w:color w:val="auto"/>
        </w:rPr>
        <w:t>Statement of Principles concerning non-Hodgkin's lymphoma No. 28 of 2010, as amended</w:t>
      </w:r>
    </w:p>
    <w:p>
      <w:pPr>
        <w:spacing w:after="0" w:line="10"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22"/>
          <w:szCs w:val="22"/>
          <w:color w:val="auto"/>
        </w:rPr>
        <w:t>Statement of Principles concerning open-angle glaucoma No. 27 of 2012</w:t>
      </w:r>
    </w:p>
    <w:p>
      <w:pPr>
        <w:spacing w:after="0" w:line="6"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22"/>
          <w:szCs w:val="22"/>
          <w:color w:val="auto"/>
        </w:rPr>
        <w:t>Statement of Principles concerning open-angle glaucoma No. 28 of 2012</w:t>
      </w:r>
    </w:p>
    <w:p>
      <w:pPr>
        <w:spacing w:after="0" w:line="6"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22"/>
          <w:szCs w:val="22"/>
          <w:color w:val="auto"/>
        </w:rPr>
        <w:t>Statement of Principles concerning osteomyelitis No. 90 of 2014</w:t>
      </w:r>
    </w:p>
    <w:p>
      <w:pPr>
        <w:spacing w:after="0" w:line="9"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22"/>
          <w:szCs w:val="22"/>
          <w:color w:val="auto"/>
        </w:rPr>
        <w:t>Statement of Principles concerning osteomyelitis No. 91 of 2014</w:t>
      </w:r>
    </w:p>
    <w:p>
      <w:pPr>
        <w:spacing w:after="0" w:line="6"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22"/>
          <w:szCs w:val="22"/>
          <w:color w:val="auto"/>
        </w:rPr>
        <w:t>Statement of Principles concerning otitis externa No. 58 of 2012</w:t>
      </w:r>
    </w:p>
    <w:p>
      <w:pPr>
        <w:spacing w:after="0" w:line="6"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22"/>
          <w:szCs w:val="22"/>
          <w:color w:val="auto"/>
        </w:rPr>
        <w:t>Statement of Principles concerning otitis externa No. 59 of 2012</w:t>
      </w:r>
    </w:p>
    <w:p>
      <w:pPr>
        <w:spacing w:after="0" w:line="9"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22"/>
          <w:szCs w:val="22"/>
          <w:color w:val="auto"/>
        </w:rPr>
        <w:t>Statement of Principles concerning otitis media No. 51 of 2014</w:t>
      </w:r>
    </w:p>
    <w:p>
      <w:pPr>
        <w:spacing w:after="0" w:line="6"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22"/>
          <w:szCs w:val="22"/>
          <w:color w:val="auto"/>
        </w:rPr>
        <w:t>Statement of Principles concerning otitis media No. 52 of 2014</w:t>
      </w:r>
    </w:p>
    <w:p>
      <w:pPr>
        <w:spacing w:after="0" w:line="6"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22"/>
          <w:szCs w:val="22"/>
          <w:color w:val="auto"/>
        </w:rPr>
        <w:t>Statement of Principles concerning renal artery atherosclerotic disease No. 102 of 2011</w:t>
      </w:r>
    </w:p>
    <w:p>
      <w:pPr>
        <w:spacing w:after="0" w:line="9"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22"/>
          <w:szCs w:val="22"/>
          <w:color w:val="auto"/>
        </w:rPr>
        <w:t>Statement of Principles concerning renal artery atherosclerotic disease No. 103 of 2011</w:t>
      </w:r>
    </w:p>
    <w:p>
      <w:pPr>
        <w:spacing w:after="0" w:line="6"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22"/>
          <w:szCs w:val="22"/>
          <w:color w:val="auto"/>
        </w:rPr>
        <w:t>Statement of Principles concerning soft tissue sarcoma No. 5 of 2015</w:t>
      </w:r>
    </w:p>
    <w:p>
      <w:pPr>
        <w:spacing w:after="0" w:line="7"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22"/>
          <w:szCs w:val="22"/>
          <w:color w:val="auto"/>
        </w:rPr>
        <w:t>Statement of Principles concerning soft tissue sarcoma No. 6 of 2015</w:t>
      </w:r>
    </w:p>
    <w:p>
      <w:pPr>
        <w:spacing w:after="0" w:line="9"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22"/>
          <w:szCs w:val="22"/>
          <w:color w:val="auto"/>
        </w:rPr>
        <w:t>Statement of Principles concerning tinnitus No. 33 of 2012</w:t>
      </w:r>
    </w:p>
    <w:p>
      <w:pPr>
        <w:spacing w:after="0" w:line="6"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22"/>
          <w:szCs w:val="22"/>
          <w:color w:val="auto"/>
        </w:rPr>
        <w:t>Statement of Principles concerning tinnitus No. 34 of 2012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1" w:lineRule="exact"/>
        <w:rPr>
          <w:sz w:val="20"/>
          <w:szCs w:val="20"/>
          <w:color w:val="auto"/>
        </w:rPr>
      </w:pPr>
    </w:p>
    <w:p>
      <w:pPr>
        <w:jc w:val="right"/>
        <w:ind w:right="346"/>
        <w:spacing w:after="0"/>
        <w:rPr>
          <w:sz w:val="20"/>
          <w:szCs w:val="20"/>
          <w:color w:val="auto"/>
        </w:rPr>
      </w:pPr>
      <w:r>
        <w:rPr>
          <w:rFonts w:ascii="Times New Roman" w:cs="Times New Roman" w:eastAsia="Times New Roman" w:hAnsi="Times New Roman"/>
          <w:sz w:val="18"/>
          <w:szCs w:val="18"/>
          <w:i w:val="1"/>
          <w:iCs w:val="1"/>
          <w:color w:val="auto"/>
        </w:rPr>
        <w:t>6 of 8</w:t>
      </w:r>
    </w:p>
    <w:p>
      <w:pPr>
        <w:sectPr>
          <w:pgSz w:w="11900" w:h="16838" w:orient="portrait"/>
          <w:cols w:equalWidth="0" w:num="1">
            <w:col w:w="9026"/>
          </w:cols>
          <w:pgMar w:left="1440" w:top="754" w:right="1440" w:bottom="148" w:gutter="0" w:footer="0" w:header="0"/>
          <w:type w:val="continuous"/>
        </w:sectPr>
      </w:pPr>
    </w:p>
    <w:p>
      <w:pPr>
        <w:spacing w:after="0" w:line="10" w:lineRule="exact"/>
        <w:rPr>
          <w:sz w:val="20"/>
          <w:szCs w:val="20"/>
          <w:color w:val="auto"/>
        </w:rPr>
      </w:pPr>
    </w:p>
    <w:p>
      <w:pPr>
        <w:jc w:val="center"/>
        <w:ind w:left="1640" w:right="1626"/>
        <w:spacing w:after="0" w:line="236" w:lineRule="auto"/>
        <w:rPr>
          <w:sz w:val="20"/>
          <w:szCs w:val="20"/>
          <w:color w:val="auto"/>
        </w:rPr>
      </w:pPr>
      <w:r>
        <w:rPr>
          <w:rFonts w:ascii="Times New Roman" w:cs="Times New Roman" w:eastAsia="Times New Roman" w:hAnsi="Times New Roman"/>
          <w:sz w:val="18"/>
          <w:szCs w:val="18"/>
          <w:i w:val="1"/>
          <w:iCs w:val="1"/>
          <w:color w:val="auto"/>
        </w:rPr>
        <w:t>Veterans' Entitlements (Statements of Principles—Cumulative Equivalent Dose) Amendment Determination 2017 (No. 58 of 2017) Veterans' Entitlements Act 1986</w:t>
      </w:r>
    </w:p>
    <w:p>
      <w:pPr>
        <w:sectPr>
          <w:pgSz w:w="11900" w:h="16838" w:orient="portrait"/>
          <w:cols w:equalWidth="0" w:num="1">
            <w:col w:w="9026"/>
          </w:cols>
          <w:pgMar w:left="1440" w:top="754" w:right="1440" w:bottom="148" w:gutter="0" w:footer="0" w:header="0"/>
          <w:type w:val="continuous"/>
        </w:sectPr>
      </w:pPr>
    </w:p>
    <w:bookmarkStart w:id="6" w:name="page7"/>
    <w:bookmarkEnd w:id="6"/>
    <w:p>
      <w:pPr>
        <w:ind w:left="360"/>
        <w:spacing w:after="0"/>
        <w:rPr>
          <w:sz w:val="20"/>
          <w:szCs w:val="20"/>
          <w:color w:val="auto"/>
        </w:rPr>
      </w:pPr>
      <w:r>
        <w:rPr>
          <w:rFonts w:ascii="Times New Roman" w:cs="Times New Roman" w:eastAsia="Times New Roman" w:hAnsi="Times New Roman"/>
          <w:sz w:val="19"/>
          <w:szCs w:val="19"/>
          <w:b w:val="1"/>
          <w:bCs w:val="1"/>
          <w:color w:val="auto"/>
        </w:rPr>
        <w:t xml:space="preserve">Schedule 1 </w:t>
      </w:r>
      <w:r>
        <w:rPr>
          <w:rFonts w:ascii="Times New Roman" w:cs="Times New Roman" w:eastAsia="Times New Roman" w:hAnsi="Times New Roman"/>
          <w:sz w:val="19"/>
          <w:szCs w:val="19"/>
          <w:color w:val="auto"/>
        </w:rPr>
        <w:t>- Amendments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353060</wp:posOffset>
                </wp:positionV>
                <wp:extent cx="5316855"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27.8pt" to="435.1pt,27.8pt" o:allowincell="f" strokecolor="#000000" strokeweight="0.72pt"/>
            </w:pict>
          </mc:Fallback>
        </mc:AlternateContent>
      </w:r>
    </w:p>
    <w:p>
      <w:pPr>
        <w:sectPr>
          <w:pgSz w:w="11900" w:h="16838" w:orient="portrait"/>
          <w:cols w:equalWidth="0" w:num="1">
            <w:col w:w="9026"/>
          </w:cols>
          <w:pgMar w:left="1440" w:top="754" w:right="1440" w:bottom="14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4" w:lineRule="exact"/>
        <w:rPr>
          <w:sz w:val="20"/>
          <w:szCs w:val="20"/>
          <w:color w:val="auto"/>
        </w:rPr>
      </w:pPr>
    </w:p>
    <w:p>
      <w:pPr>
        <w:ind w:left="360" w:right="906"/>
        <w:spacing w:after="0" w:line="234" w:lineRule="auto"/>
        <w:rPr>
          <w:sz w:val="20"/>
          <w:szCs w:val="20"/>
          <w:color w:val="auto"/>
        </w:rPr>
      </w:pPr>
      <w:r>
        <w:rPr>
          <w:rFonts w:ascii="Times New Roman" w:cs="Times New Roman" w:eastAsia="Times New Roman" w:hAnsi="Times New Roman"/>
          <w:sz w:val="32"/>
          <w:szCs w:val="32"/>
          <w:b w:val="1"/>
          <w:bCs w:val="1"/>
          <w:color w:val="auto"/>
        </w:rPr>
        <w:t>Part 2—Amendments of clause 1 of Schedule 1 to certain Statements of Principles</w:t>
      </w:r>
    </w:p>
    <w:p>
      <w:pPr>
        <w:spacing w:after="0" w:line="220" w:lineRule="exact"/>
        <w:rPr>
          <w:sz w:val="20"/>
          <w:szCs w:val="20"/>
          <w:color w:val="auto"/>
        </w:rPr>
      </w:pPr>
    </w:p>
    <w:p>
      <w:pPr>
        <w:ind w:left="780" w:hanging="422"/>
        <w:spacing w:after="0"/>
        <w:tabs>
          <w:tab w:leader="none" w:pos="780" w:val="left"/>
        </w:tabs>
        <w:numPr>
          <w:ilvl w:val="0"/>
          <w:numId w:val="4"/>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Amendments of definition</w:t>
      </w:r>
    </w:p>
    <w:p>
      <w:pPr>
        <w:spacing w:after="0" w:line="88" w:lineRule="exact"/>
        <w:rPr>
          <w:rFonts w:ascii="Times New Roman" w:cs="Times New Roman" w:eastAsia="Times New Roman" w:hAnsi="Times New Roman"/>
          <w:sz w:val="24"/>
          <w:szCs w:val="24"/>
          <w:b w:val="1"/>
          <w:bCs w:val="1"/>
          <w:color w:val="auto"/>
        </w:rPr>
      </w:pPr>
    </w:p>
    <w:p>
      <w:pPr>
        <w:ind w:left="780" w:right="986"/>
        <w:spacing w:after="0" w:line="236" w:lineRule="auto"/>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2"/>
          <w:szCs w:val="22"/>
          <w:color w:val="auto"/>
        </w:rPr>
        <w:t xml:space="preserve">Omit the definition of </w:t>
      </w:r>
      <w:r>
        <w:rPr>
          <w:rFonts w:ascii="Times New Roman" w:cs="Times New Roman" w:eastAsia="Times New Roman" w:hAnsi="Times New Roman"/>
          <w:sz w:val="22"/>
          <w:szCs w:val="22"/>
          <w:b w:val="1"/>
          <w:bCs w:val="1"/>
          <w:i w:val="1"/>
          <w:iCs w:val="1"/>
          <w:color w:val="auto"/>
        </w:rPr>
        <w:t>cumulative equivalent dose</w:t>
      </w:r>
      <w:r>
        <w:rPr>
          <w:rFonts w:ascii="Times New Roman" w:cs="Times New Roman" w:eastAsia="Times New Roman" w:hAnsi="Times New Roman"/>
          <w:sz w:val="22"/>
          <w:szCs w:val="22"/>
          <w:color w:val="auto"/>
        </w:rPr>
        <w:t xml:space="preserve"> in clause 1 of Schedule 1 to the Statements of Principles to be amended as listed in paragraph 2 of this Part and substitute:</w:t>
      </w:r>
    </w:p>
    <w:p>
      <w:pPr>
        <w:spacing w:after="0" w:line="192" w:lineRule="exact"/>
        <w:rPr>
          <w:sz w:val="20"/>
          <w:szCs w:val="20"/>
          <w:color w:val="auto"/>
        </w:rPr>
      </w:pPr>
    </w:p>
    <w:p>
      <w:pPr>
        <w:ind w:left="1500" w:right="566"/>
        <w:spacing w:after="0" w:line="238" w:lineRule="auto"/>
        <w:rPr>
          <w:sz w:val="20"/>
          <w:szCs w:val="20"/>
          <w:color w:val="auto"/>
        </w:rPr>
      </w:pPr>
      <w:r>
        <w:rPr>
          <w:rFonts w:ascii="Times New Roman" w:cs="Times New Roman" w:eastAsia="Times New Roman" w:hAnsi="Times New Roman"/>
          <w:sz w:val="22"/>
          <w:szCs w:val="22"/>
          <w:b w:val="1"/>
          <w:bCs w:val="1"/>
          <w:i w:val="1"/>
          <w:iCs w:val="1"/>
          <w:color w:val="auto"/>
        </w:rPr>
        <w:t xml:space="preserve">cumulative equivalent dose </w:t>
      </w:r>
      <w:r>
        <w:rPr>
          <w:rFonts w:ascii="Times New Roman" w:cs="Times New Roman" w:eastAsia="Times New Roman" w:hAnsi="Times New Roman"/>
          <w:sz w:val="22"/>
          <w:szCs w:val="22"/>
          <w:color w:val="auto"/>
        </w:rPr>
        <w:t>means the total dose of ionising radiation received</w:t>
      </w:r>
      <w:r>
        <w:rPr>
          <w:rFonts w:ascii="Times New Roman" w:cs="Times New Roman" w:eastAsia="Times New Roman" w:hAnsi="Times New Roman"/>
          <w:sz w:val="22"/>
          <w:szCs w:val="22"/>
          <w:b w:val="1"/>
          <w:bCs w:val="1"/>
          <w:i w:val="1"/>
          <w:iCs w:val="1"/>
          <w:color w:val="auto"/>
        </w:rPr>
        <w:t xml:space="preserve"> </w:t>
      </w:r>
      <w:r>
        <w:rPr>
          <w:rFonts w:ascii="Times New Roman" w:cs="Times New Roman" w:eastAsia="Times New Roman" w:hAnsi="Times New Roman"/>
          <w:sz w:val="22"/>
          <w:szCs w:val="22"/>
          <w:color w:val="auto"/>
        </w:rPr>
        <w:t xml:space="preserve">by the particular organ or tissue from external exposure, internal exposure or both, apart from normal background radiation exposure in Australia, calculated in accordance with the methodology set out in </w:t>
      </w:r>
      <w:r>
        <w:rPr>
          <w:rFonts w:ascii="Times New Roman" w:cs="Times New Roman" w:eastAsia="Times New Roman" w:hAnsi="Times New Roman"/>
          <w:sz w:val="22"/>
          <w:szCs w:val="22"/>
          <w:i w:val="1"/>
          <w:iCs w:val="1"/>
          <w:color w:val="auto"/>
        </w:rPr>
        <w:t>Guide to calculation of</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'cumulative equivalent dose' for the purpose of applying ionising radiation factors contained in Statements of Principles determined under Part XIA of the Veterans' Entitlements Act 1986 (Cth)</w:t>
      </w:r>
      <w:r>
        <w:rPr>
          <w:rFonts w:ascii="Times New Roman" w:cs="Times New Roman" w:eastAsia="Times New Roman" w:hAnsi="Times New Roman"/>
          <w:sz w:val="22"/>
          <w:szCs w:val="22"/>
          <w:color w:val="auto"/>
        </w:rPr>
        <w:t>, Australian Radiation Protection and</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Nuclear Safety Agency, as in force on 2 August 2017.</w:t>
      </w:r>
    </w:p>
    <w:p>
      <w:pPr>
        <w:spacing w:after="0" w:line="142" w:lineRule="exact"/>
        <w:rPr>
          <w:sz w:val="20"/>
          <w:szCs w:val="20"/>
          <w:color w:val="auto"/>
        </w:rPr>
      </w:pPr>
    </w:p>
    <w:p>
      <w:pPr>
        <w:ind w:left="2200" w:right="506" w:hanging="710"/>
        <w:spacing w:after="0" w:line="253" w:lineRule="auto"/>
        <w:tabs>
          <w:tab w:leader="none" w:pos="2180" w:val="left"/>
        </w:tabs>
        <w:rPr>
          <w:sz w:val="20"/>
          <w:szCs w:val="20"/>
          <w:color w:val="auto"/>
        </w:rPr>
      </w:pPr>
      <w:r>
        <w:rPr>
          <w:rFonts w:ascii="Times New Roman" w:cs="Times New Roman" w:eastAsia="Times New Roman" w:hAnsi="Times New Roman"/>
          <w:sz w:val="18"/>
          <w:szCs w:val="18"/>
          <w:color w:val="auto"/>
        </w:rPr>
        <w:t>Note 1:</w:t>
      </w:r>
      <w:r>
        <w:rPr>
          <w:sz w:val="20"/>
          <w:szCs w:val="20"/>
          <w:color w:val="auto"/>
        </w:rPr>
        <w:tab/>
      </w:r>
      <w:r>
        <w:rPr>
          <w:rFonts w:ascii="Times New Roman" w:cs="Times New Roman" w:eastAsia="Times New Roman" w:hAnsi="Times New Roman"/>
          <w:sz w:val="17"/>
          <w:szCs w:val="17"/>
          <w:color w:val="auto"/>
        </w:rPr>
        <w:t>Examples of circumstances that might lead to exposure to ionising radiation include being present during or subsequent to the testing or use of nuclear weapons, undergoing diagnostic or therapeutic medical procedures involving ionising radiation, and being a member of an aircrew, leading to increased levels of exposure to cosmic radiation.</w:t>
      </w:r>
    </w:p>
    <w:p>
      <w:pPr>
        <w:spacing w:after="0" w:line="124" w:lineRule="exact"/>
        <w:rPr>
          <w:sz w:val="20"/>
          <w:szCs w:val="20"/>
          <w:color w:val="auto"/>
        </w:rPr>
      </w:pPr>
    </w:p>
    <w:p>
      <w:pPr>
        <w:jc w:val="both"/>
        <w:ind w:left="2200" w:right="446" w:hanging="710"/>
        <w:spacing w:after="0" w:line="236" w:lineRule="auto"/>
        <w:tabs>
          <w:tab w:leader="none" w:pos="2180" w:val="left"/>
        </w:tabs>
        <w:rPr>
          <w:sz w:val="20"/>
          <w:szCs w:val="20"/>
          <w:color w:val="auto"/>
        </w:rPr>
      </w:pPr>
      <w:r>
        <w:rPr>
          <w:rFonts w:ascii="Times New Roman" w:cs="Times New Roman" w:eastAsia="Times New Roman" w:hAnsi="Times New Roman"/>
          <w:sz w:val="18"/>
          <w:szCs w:val="18"/>
          <w:color w:val="auto"/>
        </w:rPr>
        <w:t>Note 2:</w:t>
        <w:tab/>
        <w:t>For the purpose of dose reconstruction, dose is calculated as an average over the mass of a specific tissue or organ. If a tissue is exposed to multiple sources of ionising radiation, the various dose estimates for each type of radiation must be combined.</w:t>
      </w:r>
    </w:p>
    <w:p>
      <w:pPr>
        <w:spacing w:after="0" w:line="222" w:lineRule="exact"/>
        <w:rPr>
          <w:sz w:val="20"/>
          <w:szCs w:val="20"/>
          <w:color w:val="auto"/>
        </w:rPr>
      </w:pPr>
    </w:p>
    <w:p>
      <w:pPr>
        <w:ind w:left="780" w:hanging="422"/>
        <w:spacing w:after="0"/>
        <w:tabs>
          <w:tab w:leader="none" w:pos="780" w:val="left"/>
        </w:tabs>
        <w:numPr>
          <w:ilvl w:val="0"/>
          <w:numId w:val="5"/>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Statements of Principles to be amended:</w:t>
      </w:r>
    </w:p>
    <w:p>
      <w:pPr>
        <w:spacing w:after="0" w:line="275" w:lineRule="exact"/>
        <w:rPr>
          <w:rFonts w:ascii="Times New Roman" w:cs="Times New Roman" w:eastAsia="Times New Roman" w:hAnsi="Times New Roman"/>
          <w:sz w:val="24"/>
          <w:szCs w:val="24"/>
          <w:b w:val="1"/>
          <w:bCs w:val="1"/>
          <w:color w:val="auto"/>
        </w:rPr>
      </w:pPr>
    </w:p>
    <w:p>
      <w:pPr>
        <w:ind w:left="780" w:right="386"/>
        <w:spacing w:after="0" w:line="237" w:lineRule="auto"/>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2"/>
          <w:szCs w:val="22"/>
          <w:color w:val="auto"/>
        </w:rPr>
        <w:t>Statement of Principles concerning acquired cataract (Reasonable Hypothesis) (No. 87 of 2016)</w:t>
      </w:r>
    </w:p>
    <w:p>
      <w:pPr>
        <w:spacing w:after="0" w:line="21" w:lineRule="exact"/>
        <w:rPr>
          <w:rFonts w:ascii="Times New Roman" w:cs="Times New Roman" w:eastAsia="Times New Roman" w:hAnsi="Times New Roman"/>
          <w:sz w:val="24"/>
          <w:szCs w:val="24"/>
          <w:b w:val="1"/>
          <w:bCs w:val="1"/>
          <w:color w:val="auto"/>
        </w:rPr>
      </w:pPr>
    </w:p>
    <w:p>
      <w:pPr>
        <w:ind w:left="780" w:right="566"/>
        <w:spacing w:after="0" w:line="237" w:lineRule="auto"/>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2"/>
          <w:szCs w:val="22"/>
          <w:color w:val="auto"/>
        </w:rPr>
        <w:t>Statement of Principles concerning acquired cataract (Balance of Probabilities) (No. 88 of 2016)</w:t>
      </w:r>
    </w:p>
    <w:p>
      <w:pPr>
        <w:spacing w:after="0" w:line="18" w:lineRule="exact"/>
        <w:rPr>
          <w:rFonts w:ascii="Times New Roman" w:cs="Times New Roman" w:eastAsia="Times New Roman" w:hAnsi="Times New Roman"/>
          <w:sz w:val="24"/>
          <w:szCs w:val="24"/>
          <w:b w:val="1"/>
          <w:bCs w:val="1"/>
          <w:color w:val="auto"/>
        </w:rPr>
      </w:pPr>
    </w:p>
    <w:p>
      <w:pPr>
        <w:ind w:left="780" w:right="1066"/>
        <w:spacing w:after="0" w:line="238" w:lineRule="auto"/>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2"/>
          <w:szCs w:val="22"/>
          <w:color w:val="auto"/>
        </w:rPr>
        <w:t>Statement of Principles concerning acute myeloid leukaemia (No. 71 of 2015), as amended</w:t>
      </w:r>
    </w:p>
    <w:p>
      <w:pPr>
        <w:spacing w:after="0" w:line="19" w:lineRule="exact"/>
        <w:rPr>
          <w:rFonts w:ascii="Times New Roman" w:cs="Times New Roman" w:eastAsia="Times New Roman" w:hAnsi="Times New Roman"/>
          <w:sz w:val="24"/>
          <w:szCs w:val="24"/>
          <w:b w:val="1"/>
          <w:bCs w:val="1"/>
          <w:color w:val="auto"/>
        </w:rPr>
      </w:pPr>
    </w:p>
    <w:p>
      <w:pPr>
        <w:ind w:left="780" w:right="1066"/>
        <w:spacing w:after="0" w:line="237" w:lineRule="auto"/>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2"/>
          <w:szCs w:val="22"/>
          <w:color w:val="auto"/>
        </w:rPr>
        <w:t>Statement of Principles concerning acute myeloid leukaemia (No. 72 of 2015), as amended</w:t>
      </w:r>
    </w:p>
    <w:p>
      <w:pPr>
        <w:spacing w:after="0" w:line="21" w:lineRule="exact"/>
        <w:rPr>
          <w:rFonts w:ascii="Times New Roman" w:cs="Times New Roman" w:eastAsia="Times New Roman" w:hAnsi="Times New Roman"/>
          <w:sz w:val="24"/>
          <w:szCs w:val="24"/>
          <w:b w:val="1"/>
          <w:bCs w:val="1"/>
          <w:color w:val="auto"/>
        </w:rPr>
      </w:pPr>
    </w:p>
    <w:p>
      <w:pPr>
        <w:ind w:left="780" w:right="486"/>
        <w:spacing w:after="0" w:line="237" w:lineRule="auto"/>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2"/>
          <w:szCs w:val="22"/>
          <w:color w:val="auto"/>
        </w:rPr>
        <w:t>Statement of Principles concerning benign neoplasm of the eye and adnexa (Reasonable Hypothesis) (No. 41 of 2016)</w:t>
      </w:r>
    </w:p>
    <w:p>
      <w:pPr>
        <w:spacing w:after="0" w:line="18" w:lineRule="exact"/>
        <w:rPr>
          <w:rFonts w:ascii="Times New Roman" w:cs="Times New Roman" w:eastAsia="Times New Roman" w:hAnsi="Times New Roman"/>
          <w:sz w:val="24"/>
          <w:szCs w:val="24"/>
          <w:b w:val="1"/>
          <w:bCs w:val="1"/>
          <w:color w:val="auto"/>
        </w:rPr>
      </w:pPr>
    </w:p>
    <w:p>
      <w:pPr>
        <w:ind w:left="780" w:right="566"/>
        <w:spacing w:after="0" w:line="238" w:lineRule="auto"/>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2"/>
          <w:szCs w:val="22"/>
          <w:color w:val="auto"/>
        </w:rPr>
        <w:t>Statement of Principles concerning benign neoplasm of the eye and adnexa (Balance of Probabilities) (No. 42 of 2016)</w:t>
      </w:r>
    </w:p>
    <w:p>
      <w:pPr>
        <w:spacing w:after="0" w:line="19" w:lineRule="exact"/>
        <w:rPr>
          <w:rFonts w:ascii="Times New Roman" w:cs="Times New Roman" w:eastAsia="Times New Roman" w:hAnsi="Times New Roman"/>
          <w:sz w:val="24"/>
          <w:szCs w:val="24"/>
          <w:b w:val="1"/>
          <w:bCs w:val="1"/>
          <w:color w:val="auto"/>
        </w:rPr>
      </w:pPr>
    </w:p>
    <w:p>
      <w:pPr>
        <w:jc w:val="both"/>
        <w:ind w:left="780" w:right="2146"/>
        <w:spacing w:after="0" w:line="257" w:lineRule="auto"/>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1"/>
          <w:szCs w:val="21"/>
          <w:color w:val="auto"/>
        </w:rPr>
        <w:t>Statement of Principles concerning cardiomyopathy (No. 85 of 2015) Statement of Principles concerning cardiomyopathy (No. 86 of 2015)</w:t>
      </w:r>
    </w:p>
    <w:p>
      <w:pPr>
        <w:spacing w:after="0" w:line="3" w:lineRule="exact"/>
        <w:rPr>
          <w:rFonts w:ascii="Times New Roman" w:cs="Times New Roman" w:eastAsia="Times New Roman" w:hAnsi="Times New Roman"/>
          <w:sz w:val="24"/>
          <w:szCs w:val="24"/>
          <w:b w:val="1"/>
          <w:bCs w:val="1"/>
          <w:color w:val="auto"/>
        </w:rPr>
      </w:pPr>
    </w:p>
    <w:p>
      <w:pPr>
        <w:ind w:left="780" w:right="446"/>
        <w:spacing w:after="0" w:line="237" w:lineRule="auto"/>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2"/>
          <w:szCs w:val="22"/>
          <w:color w:val="auto"/>
        </w:rPr>
        <w:t>Statement of Principles concerning cirrhosis of the liver (Reasonable Hypothesis) (No. 1 of 2017)</w:t>
      </w:r>
    </w:p>
    <w:p>
      <w:pPr>
        <w:spacing w:after="0" w:line="19" w:lineRule="exact"/>
        <w:rPr>
          <w:rFonts w:ascii="Times New Roman" w:cs="Times New Roman" w:eastAsia="Times New Roman" w:hAnsi="Times New Roman"/>
          <w:sz w:val="24"/>
          <w:szCs w:val="24"/>
          <w:b w:val="1"/>
          <w:bCs w:val="1"/>
          <w:color w:val="auto"/>
        </w:rPr>
      </w:pPr>
    </w:p>
    <w:p>
      <w:pPr>
        <w:ind w:left="780" w:right="606"/>
        <w:spacing w:after="0" w:line="238" w:lineRule="auto"/>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2"/>
          <w:szCs w:val="22"/>
          <w:color w:val="auto"/>
        </w:rPr>
        <w:t>Statement of Principles concerning external burn (Reasonable Hypothesis) (No. 110 of 2015)</w:t>
      </w:r>
    </w:p>
    <w:p>
      <w:pPr>
        <w:spacing w:after="0" w:line="19" w:lineRule="exact"/>
        <w:rPr>
          <w:rFonts w:ascii="Times New Roman" w:cs="Times New Roman" w:eastAsia="Times New Roman" w:hAnsi="Times New Roman"/>
          <w:sz w:val="24"/>
          <w:szCs w:val="24"/>
          <w:b w:val="1"/>
          <w:bCs w:val="1"/>
          <w:color w:val="auto"/>
        </w:rPr>
      </w:pPr>
    </w:p>
    <w:p>
      <w:pPr>
        <w:ind w:left="780" w:right="546"/>
        <w:spacing w:after="0" w:line="237" w:lineRule="auto"/>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2"/>
          <w:szCs w:val="22"/>
          <w:color w:val="auto"/>
        </w:rPr>
        <w:t>Statement of Principles concerning external burn (Balance of Probabilities) (No. 111 of 2015)</w:t>
      </w:r>
    </w:p>
    <w:p>
      <w:pPr>
        <w:spacing w:after="0" w:line="21" w:lineRule="exact"/>
        <w:rPr>
          <w:rFonts w:ascii="Times New Roman" w:cs="Times New Roman" w:eastAsia="Times New Roman" w:hAnsi="Times New Roman"/>
          <w:sz w:val="24"/>
          <w:szCs w:val="24"/>
          <w:b w:val="1"/>
          <w:bCs w:val="1"/>
          <w:color w:val="auto"/>
        </w:rPr>
      </w:pPr>
    </w:p>
    <w:p>
      <w:pPr>
        <w:ind w:left="780" w:right="766"/>
        <w:spacing w:after="0" w:line="237" w:lineRule="auto"/>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2"/>
          <w:szCs w:val="22"/>
          <w:color w:val="auto"/>
        </w:rPr>
        <w:t>Statement of Principles concerning ischaemic heart disease (Reasonable Hypothesis) (No. 1 of 2016)</w:t>
      </w:r>
    </w:p>
    <w:p>
      <w:pPr>
        <w:spacing w:after="0" w:line="18" w:lineRule="exact"/>
        <w:rPr>
          <w:rFonts w:ascii="Times New Roman" w:cs="Times New Roman" w:eastAsia="Times New Roman" w:hAnsi="Times New Roman"/>
          <w:sz w:val="24"/>
          <w:szCs w:val="24"/>
          <w:b w:val="1"/>
          <w:bCs w:val="1"/>
          <w:color w:val="auto"/>
        </w:rPr>
      </w:pPr>
    </w:p>
    <w:p>
      <w:pPr>
        <w:ind w:left="780" w:right="726"/>
        <w:spacing w:after="0" w:line="238" w:lineRule="auto"/>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2"/>
          <w:szCs w:val="22"/>
          <w:color w:val="auto"/>
        </w:rPr>
        <w:t>Statement of Principles concerning ischaemic heart disease (Balance of Probabilities) (No. 2 of 2016)</w:t>
      </w:r>
    </w:p>
    <w:p>
      <w:pPr>
        <w:spacing w:after="0" w:line="108" w:lineRule="exact"/>
        <w:rPr>
          <w:sz w:val="20"/>
          <w:szCs w:val="20"/>
          <w:color w:val="auto"/>
        </w:rPr>
      </w:pPr>
    </w:p>
    <w:p>
      <w:pPr>
        <w:jc w:val="right"/>
        <w:ind w:right="346"/>
        <w:spacing w:after="0"/>
        <w:rPr>
          <w:sz w:val="20"/>
          <w:szCs w:val="20"/>
          <w:color w:val="auto"/>
        </w:rPr>
      </w:pPr>
      <w:r>
        <w:rPr>
          <w:rFonts w:ascii="Times New Roman" w:cs="Times New Roman" w:eastAsia="Times New Roman" w:hAnsi="Times New Roman"/>
          <w:sz w:val="18"/>
          <w:szCs w:val="18"/>
          <w:i w:val="1"/>
          <w:iCs w:val="1"/>
          <w:color w:val="auto"/>
        </w:rPr>
        <w:t>7 of 8</w:t>
      </w:r>
    </w:p>
    <w:p>
      <w:pPr>
        <w:sectPr>
          <w:pgSz w:w="11900" w:h="16838" w:orient="portrait"/>
          <w:cols w:equalWidth="0" w:num="1">
            <w:col w:w="9026"/>
          </w:cols>
          <w:pgMar w:left="1440" w:top="754" w:right="1440" w:bottom="148" w:gutter="0" w:footer="0" w:header="0"/>
          <w:type w:val="continuous"/>
        </w:sectPr>
      </w:pPr>
    </w:p>
    <w:p>
      <w:pPr>
        <w:spacing w:after="0" w:line="10" w:lineRule="exact"/>
        <w:rPr>
          <w:sz w:val="20"/>
          <w:szCs w:val="20"/>
          <w:color w:val="auto"/>
        </w:rPr>
      </w:pPr>
    </w:p>
    <w:p>
      <w:pPr>
        <w:jc w:val="center"/>
        <w:ind w:left="1640" w:right="1626"/>
        <w:spacing w:after="0" w:line="236" w:lineRule="auto"/>
        <w:rPr>
          <w:sz w:val="20"/>
          <w:szCs w:val="20"/>
          <w:color w:val="auto"/>
        </w:rPr>
      </w:pPr>
      <w:r>
        <w:rPr>
          <w:rFonts w:ascii="Times New Roman" w:cs="Times New Roman" w:eastAsia="Times New Roman" w:hAnsi="Times New Roman"/>
          <w:sz w:val="18"/>
          <w:szCs w:val="18"/>
          <w:i w:val="1"/>
          <w:iCs w:val="1"/>
          <w:color w:val="auto"/>
        </w:rPr>
        <w:t>Veterans' Entitlements (Statements of Principles—Cumulative Equivalent Dose) Amendment Determination 2017 (No. 58 of 2017) Veterans' Entitlements Act 1986</w:t>
      </w:r>
    </w:p>
    <w:p>
      <w:pPr>
        <w:sectPr>
          <w:pgSz w:w="11900" w:h="16838" w:orient="portrait"/>
          <w:cols w:equalWidth="0" w:num="1">
            <w:col w:w="9026"/>
          </w:cols>
          <w:pgMar w:left="1440" w:top="754" w:right="1440" w:bottom="148" w:gutter="0" w:footer="0" w:header="0"/>
          <w:type w:val="continuous"/>
        </w:sectPr>
      </w:pPr>
    </w:p>
    <w:bookmarkStart w:id="7" w:name="page8"/>
    <w:bookmarkEnd w:id="7"/>
    <w:p>
      <w:pPr>
        <w:ind w:left="360"/>
        <w:spacing w:after="0"/>
        <w:rPr>
          <w:sz w:val="20"/>
          <w:szCs w:val="20"/>
          <w:color w:val="auto"/>
        </w:rPr>
      </w:pPr>
      <w:r>
        <w:rPr>
          <w:rFonts w:ascii="Times New Roman" w:cs="Times New Roman" w:eastAsia="Times New Roman" w:hAnsi="Times New Roman"/>
          <w:sz w:val="19"/>
          <w:szCs w:val="19"/>
          <w:b w:val="1"/>
          <w:bCs w:val="1"/>
          <w:color w:val="auto"/>
        </w:rPr>
        <w:t xml:space="preserve">Schedule 1 </w:t>
      </w:r>
      <w:r>
        <w:rPr>
          <w:rFonts w:ascii="Times New Roman" w:cs="Times New Roman" w:eastAsia="Times New Roman" w:hAnsi="Times New Roman"/>
          <w:sz w:val="19"/>
          <w:szCs w:val="19"/>
          <w:color w:val="auto"/>
        </w:rPr>
        <w:t>- Amendments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353060</wp:posOffset>
                </wp:positionV>
                <wp:extent cx="5316855"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27.8pt" to="435.1pt,27.8pt" o:allowincell="f" strokecolor="#000000" strokeweight="0.72pt"/>
            </w:pict>
          </mc:Fallback>
        </mc:AlternateContent>
      </w:r>
    </w:p>
    <w:p>
      <w:pPr>
        <w:sectPr>
          <w:pgSz w:w="11900" w:h="16838" w:orient="portrait"/>
          <w:cols w:equalWidth="0" w:num="1">
            <w:col w:w="9026"/>
          </w:cols>
          <w:pgMar w:left="1440" w:top="754" w:right="1440" w:bottom="14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ind w:left="780" w:right="1106"/>
        <w:spacing w:after="0" w:line="238" w:lineRule="auto"/>
        <w:rPr>
          <w:sz w:val="20"/>
          <w:szCs w:val="20"/>
          <w:color w:val="auto"/>
        </w:rPr>
      </w:pPr>
      <w:r>
        <w:rPr>
          <w:rFonts w:ascii="Times New Roman" w:cs="Times New Roman" w:eastAsia="Times New Roman" w:hAnsi="Times New Roman"/>
          <w:sz w:val="22"/>
          <w:szCs w:val="22"/>
          <w:color w:val="auto"/>
        </w:rPr>
        <w:t>Statement of Principles concerning malignant neoplasm of the brain (Reasonable Hypothesis) (No. 85 of 2016)</w:t>
      </w:r>
    </w:p>
    <w:p>
      <w:pPr>
        <w:spacing w:after="0" w:line="19" w:lineRule="exact"/>
        <w:rPr>
          <w:sz w:val="20"/>
          <w:szCs w:val="20"/>
          <w:color w:val="auto"/>
        </w:rPr>
      </w:pPr>
    </w:p>
    <w:p>
      <w:pPr>
        <w:ind w:left="780" w:right="1186"/>
        <w:spacing w:after="0" w:line="237" w:lineRule="auto"/>
        <w:rPr>
          <w:sz w:val="20"/>
          <w:szCs w:val="20"/>
          <w:color w:val="auto"/>
        </w:rPr>
      </w:pPr>
      <w:r>
        <w:rPr>
          <w:rFonts w:ascii="Times New Roman" w:cs="Times New Roman" w:eastAsia="Times New Roman" w:hAnsi="Times New Roman"/>
          <w:sz w:val="22"/>
          <w:szCs w:val="22"/>
          <w:color w:val="auto"/>
        </w:rPr>
        <w:t>Statement of Principles concerning malignant neoplasm of the brain (Balance of Probabilities) (No. 86 of 2016)</w:t>
      </w:r>
    </w:p>
    <w:p>
      <w:pPr>
        <w:spacing w:after="0" w:line="21" w:lineRule="exact"/>
        <w:rPr>
          <w:sz w:val="20"/>
          <w:szCs w:val="20"/>
          <w:color w:val="auto"/>
        </w:rPr>
      </w:pPr>
    </w:p>
    <w:p>
      <w:pPr>
        <w:ind w:left="780" w:right="386"/>
        <w:spacing w:after="0" w:line="237" w:lineRule="auto"/>
        <w:rPr>
          <w:sz w:val="20"/>
          <w:szCs w:val="20"/>
          <w:color w:val="auto"/>
        </w:rPr>
      </w:pPr>
      <w:r>
        <w:rPr>
          <w:rFonts w:ascii="Times New Roman" w:cs="Times New Roman" w:eastAsia="Times New Roman" w:hAnsi="Times New Roman"/>
          <w:sz w:val="22"/>
          <w:szCs w:val="22"/>
          <w:color w:val="auto"/>
        </w:rPr>
        <w:t>Statement of Principles concerning malignant neoplasm of the endometrium (Reasonable Hypothesis) (No. 11 of 2016)</w:t>
      </w:r>
    </w:p>
    <w:p>
      <w:pPr>
        <w:spacing w:after="0" w:line="19" w:lineRule="exact"/>
        <w:rPr>
          <w:sz w:val="20"/>
          <w:szCs w:val="20"/>
          <w:color w:val="auto"/>
        </w:rPr>
      </w:pPr>
    </w:p>
    <w:p>
      <w:pPr>
        <w:ind w:left="780" w:right="466"/>
        <w:spacing w:after="0" w:line="238" w:lineRule="auto"/>
        <w:rPr>
          <w:sz w:val="20"/>
          <w:szCs w:val="20"/>
          <w:color w:val="auto"/>
        </w:rPr>
      </w:pPr>
      <w:r>
        <w:rPr>
          <w:rFonts w:ascii="Times New Roman" w:cs="Times New Roman" w:eastAsia="Times New Roman" w:hAnsi="Times New Roman"/>
          <w:sz w:val="22"/>
          <w:szCs w:val="22"/>
          <w:color w:val="auto"/>
        </w:rPr>
        <w:t>Statement of Principles concerning malignant neoplasm of the endometrium (Balance of Probabilities) (No. 12 of 2016)</w:t>
      </w:r>
    </w:p>
    <w:p>
      <w:pPr>
        <w:spacing w:after="0" w:line="19" w:lineRule="exact"/>
        <w:rPr>
          <w:sz w:val="20"/>
          <w:szCs w:val="20"/>
          <w:color w:val="auto"/>
        </w:rPr>
      </w:pPr>
    </w:p>
    <w:p>
      <w:pPr>
        <w:ind w:left="780" w:right="746"/>
        <w:spacing w:after="0" w:line="237" w:lineRule="auto"/>
        <w:rPr>
          <w:sz w:val="20"/>
          <w:szCs w:val="20"/>
          <w:color w:val="auto"/>
        </w:rPr>
      </w:pPr>
      <w:r>
        <w:rPr>
          <w:rFonts w:ascii="Times New Roman" w:cs="Times New Roman" w:eastAsia="Times New Roman" w:hAnsi="Times New Roman"/>
          <w:sz w:val="22"/>
          <w:szCs w:val="22"/>
          <w:color w:val="auto"/>
        </w:rPr>
        <w:t>Statement of Principles concerning malignant neoplasm of the gallbladder (No. 89 of 2015)</w:t>
      </w:r>
    </w:p>
    <w:p>
      <w:pPr>
        <w:spacing w:after="0" w:line="21" w:lineRule="exact"/>
        <w:rPr>
          <w:sz w:val="20"/>
          <w:szCs w:val="20"/>
          <w:color w:val="auto"/>
        </w:rPr>
      </w:pPr>
    </w:p>
    <w:p>
      <w:pPr>
        <w:ind w:left="780" w:right="746"/>
        <w:spacing w:after="0" w:line="237" w:lineRule="auto"/>
        <w:rPr>
          <w:sz w:val="20"/>
          <w:szCs w:val="20"/>
          <w:color w:val="auto"/>
        </w:rPr>
      </w:pPr>
      <w:r>
        <w:rPr>
          <w:rFonts w:ascii="Times New Roman" w:cs="Times New Roman" w:eastAsia="Times New Roman" w:hAnsi="Times New Roman"/>
          <w:sz w:val="22"/>
          <w:szCs w:val="22"/>
          <w:color w:val="auto"/>
        </w:rPr>
        <w:t>Statement of Principles concerning malignant neoplasm of the gallbladder (No. 90 of 2015)</w:t>
      </w:r>
    </w:p>
    <w:p>
      <w:pPr>
        <w:spacing w:after="0" w:line="19" w:lineRule="exact"/>
        <w:rPr>
          <w:sz w:val="20"/>
          <w:szCs w:val="20"/>
          <w:color w:val="auto"/>
        </w:rPr>
      </w:pPr>
    </w:p>
    <w:p>
      <w:pPr>
        <w:ind w:left="780" w:right="546"/>
        <w:spacing w:after="0" w:line="238" w:lineRule="auto"/>
        <w:rPr>
          <w:sz w:val="20"/>
          <w:szCs w:val="20"/>
          <w:color w:val="auto"/>
        </w:rPr>
      </w:pPr>
      <w:r>
        <w:rPr>
          <w:rFonts w:ascii="Times New Roman" w:cs="Times New Roman" w:eastAsia="Times New Roman" w:hAnsi="Times New Roman"/>
          <w:sz w:val="22"/>
          <w:szCs w:val="22"/>
          <w:color w:val="auto"/>
        </w:rPr>
        <w:t>Statement of Principles concerning malignant neoplasm of the oesophagus (Reasonable Hypothesis) (No. 120 of 2015), as amended</w:t>
      </w:r>
    </w:p>
    <w:p>
      <w:pPr>
        <w:spacing w:after="0" w:line="20" w:lineRule="exact"/>
        <w:rPr>
          <w:sz w:val="20"/>
          <w:szCs w:val="20"/>
          <w:color w:val="auto"/>
        </w:rPr>
      </w:pPr>
    </w:p>
    <w:p>
      <w:pPr>
        <w:ind w:left="780" w:right="606"/>
        <w:spacing w:after="0" w:line="237" w:lineRule="auto"/>
        <w:rPr>
          <w:sz w:val="20"/>
          <w:szCs w:val="20"/>
          <w:color w:val="auto"/>
        </w:rPr>
      </w:pPr>
      <w:r>
        <w:rPr>
          <w:rFonts w:ascii="Times New Roman" w:cs="Times New Roman" w:eastAsia="Times New Roman" w:hAnsi="Times New Roman"/>
          <w:sz w:val="22"/>
          <w:szCs w:val="22"/>
          <w:color w:val="auto"/>
        </w:rPr>
        <w:t>Statement of Principles concerning malignant neoplasm of the oesophagus (Balance of Probabilities) (No. 121 of 2015)</w:t>
      </w:r>
    </w:p>
    <w:p>
      <w:pPr>
        <w:spacing w:after="0" w:line="21" w:lineRule="exact"/>
        <w:rPr>
          <w:sz w:val="20"/>
          <w:szCs w:val="20"/>
          <w:color w:val="auto"/>
        </w:rPr>
      </w:pPr>
    </w:p>
    <w:p>
      <w:pPr>
        <w:ind w:left="780" w:right="526"/>
        <w:spacing w:after="0" w:line="237" w:lineRule="auto"/>
        <w:rPr>
          <w:sz w:val="20"/>
          <w:szCs w:val="20"/>
          <w:color w:val="auto"/>
        </w:rPr>
      </w:pPr>
      <w:r>
        <w:rPr>
          <w:rFonts w:ascii="Times New Roman" w:cs="Times New Roman" w:eastAsia="Times New Roman" w:hAnsi="Times New Roman"/>
          <w:sz w:val="22"/>
          <w:szCs w:val="22"/>
          <w:color w:val="auto"/>
        </w:rPr>
        <w:t>Statement of Principles concerning mesothelioma (Reasonable Hypothesis) (No. 104 of 2015)</w:t>
      </w:r>
    </w:p>
    <w:p>
      <w:pPr>
        <w:spacing w:after="0" w:line="19" w:lineRule="exact"/>
        <w:rPr>
          <w:sz w:val="20"/>
          <w:szCs w:val="20"/>
          <w:color w:val="auto"/>
        </w:rPr>
      </w:pPr>
    </w:p>
    <w:p>
      <w:pPr>
        <w:ind w:left="780" w:right="486"/>
        <w:spacing w:after="0" w:line="238" w:lineRule="auto"/>
        <w:rPr>
          <w:sz w:val="20"/>
          <w:szCs w:val="20"/>
          <w:color w:val="auto"/>
        </w:rPr>
      </w:pPr>
      <w:r>
        <w:rPr>
          <w:rFonts w:ascii="Times New Roman" w:cs="Times New Roman" w:eastAsia="Times New Roman" w:hAnsi="Times New Roman"/>
          <w:sz w:val="22"/>
          <w:szCs w:val="22"/>
          <w:color w:val="auto"/>
        </w:rPr>
        <w:t>Statement of Principles concerning mesothelioma (Balance of Probabilities) (No. 105 of 2015)</w:t>
      </w:r>
    </w:p>
    <w:p>
      <w:pPr>
        <w:spacing w:after="0" w:line="19" w:lineRule="exact"/>
        <w:rPr>
          <w:sz w:val="20"/>
          <w:szCs w:val="20"/>
          <w:color w:val="auto"/>
        </w:rPr>
      </w:pPr>
    </w:p>
    <w:p>
      <w:pPr>
        <w:ind w:left="780" w:right="926"/>
        <w:spacing w:after="0" w:line="237" w:lineRule="auto"/>
        <w:rPr>
          <w:sz w:val="20"/>
          <w:szCs w:val="20"/>
          <w:color w:val="auto"/>
        </w:rPr>
      </w:pPr>
      <w:r>
        <w:rPr>
          <w:rFonts w:ascii="Times New Roman" w:cs="Times New Roman" w:eastAsia="Times New Roman" w:hAnsi="Times New Roman"/>
          <w:sz w:val="22"/>
          <w:szCs w:val="22"/>
          <w:color w:val="auto"/>
        </w:rPr>
        <w:t>Statement of Principles concerning myelodysplastic syndrome (No. 73 of 2015), as amended</w:t>
      </w:r>
    </w:p>
    <w:p>
      <w:pPr>
        <w:spacing w:after="0" w:line="21" w:lineRule="exact"/>
        <w:rPr>
          <w:sz w:val="20"/>
          <w:szCs w:val="20"/>
          <w:color w:val="auto"/>
        </w:rPr>
      </w:pPr>
    </w:p>
    <w:p>
      <w:pPr>
        <w:ind w:left="780" w:right="926"/>
        <w:spacing w:after="0" w:line="237" w:lineRule="auto"/>
        <w:rPr>
          <w:sz w:val="20"/>
          <w:szCs w:val="20"/>
          <w:color w:val="auto"/>
        </w:rPr>
      </w:pPr>
      <w:r>
        <w:rPr>
          <w:rFonts w:ascii="Times New Roman" w:cs="Times New Roman" w:eastAsia="Times New Roman" w:hAnsi="Times New Roman"/>
          <w:sz w:val="22"/>
          <w:szCs w:val="22"/>
          <w:color w:val="auto"/>
        </w:rPr>
        <w:t>Statement of Principles concerning myelodysplastic syndrome (No. 74 of 2015), as amended</w:t>
      </w:r>
    </w:p>
    <w:p>
      <w:pPr>
        <w:spacing w:after="0" w:line="19" w:lineRule="exact"/>
        <w:rPr>
          <w:sz w:val="20"/>
          <w:szCs w:val="20"/>
          <w:color w:val="auto"/>
        </w:rPr>
      </w:pPr>
    </w:p>
    <w:p>
      <w:pPr>
        <w:ind w:left="780" w:right="1006"/>
        <w:spacing w:after="0" w:line="238" w:lineRule="auto"/>
        <w:rPr>
          <w:sz w:val="20"/>
          <w:szCs w:val="20"/>
          <w:color w:val="auto"/>
        </w:rPr>
      </w:pPr>
      <w:r>
        <w:rPr>
          <w:rFonts w:ascii="Times New Roman" w:cs="Times New Roman" w:eastAsia="Times New Roman" w:hAnsi="Times New Roman"/>
          <w:sz w:val="22"/>
          <w:szCs w:val="22"/>
          <w:color w:val="auto"/>
        </w:rPr>
        <w:t>Statement of Principles concerning non-melanotic malignant neoplasm of the skin (Reasonable Hypothesis) (No. 7 of 2016)</w:t>
      </w:r>
    </w:p>
    <w:p>
      <w:pPr>
        <w:spacing w:after="0" w:line="19" w:lineRule="exact"/>
        <w:rPr>
          <w:sz w:val="20"/>
          <w:szCs w:val="20"/>
          <w:color w:val="auto"/>
        </w:rPr>
      </w:pPr>
    </w:p>
    <w:p>
      <w:pPr>
        <w:ind w:left="780" w:right="1006"/>
        <w:spacing w:after="0" w:line="237" w:lineRule="auto"/>
        <w:rPr>
          <w:sz w:val="20"/>
          <w:szCs w:val="20"/>
          <w:color w:val="auto"/>
        </w:rPr>
      </w:pPr>
      <w:r>
        <w:rPr>
          <w:rFonts w:ascii="Times New Roman" w:cs="Times New Roman" w:eastAsia="Times New Roman" w:hAnsi="Times New Roman"/>
          <w:sz w:val="22"/>
          <w:szCs w:val="22"/>
          <w:color w:val="auto"/>
        </w:rPr>
        <w:t>Statement of Principles concerning non-melanotic malignant neoplasm of the skin (Balance of Probabilities) (No. 8 of 2016)</w:t>
      </w:r>
    </w:p>
    <w:p>
      <w:pPr>
        <w:spacing w:after="0" w:line="22" w:lineRule="exact"/>
        <w:rPr>
          <w:sz w:val="20"/>
          <w:szCs w:val="20"/>
          <w:color w:val="auto"/>
        </w:rPr>
      </w:pPr>
    </w:p>
    <w:p>
      <w:pPr>
        <w:ind w:left="780" w:right="1446"/>
        <w:spacing w:after="0" w:line="237" w:lineRule="auto"/>
        <w:rPr>
          <w:sz w:val="20"/>
          <w:szCs w:val="20"/>
          <w:color w:val="auto"/>
        </w:rPr>
      </w:pPr>
      <w:r>
        <w:rPr>
          <w:rFonts w:ascii="Times New Roman" w:cs="Times New Roman" w:eastAsia="Times New Roman" w:hAnsi="Times New Roman"/>
          <w:sz w:val="22"/>
          <w:szCs w:val="22"/>
          <w:color w:val="auto"/>
        </w:rPr>
        <w:t>Statement of Principles concerning optochiasmatic arachnoiditis (Reasonable Hypothesis) (No. 57 of 2016)</w:t>
      </w:r>
    </w:p>
    <w:p>
      <w:pPr>
        <w:spacing w:after="0" w:line="19" w:lineRule="exact"/>
        <w:rPr>
          <w:sz w:val="20"/>
          <w:szCs w:val="20"/>
          <w:color w:val="auto"/>
        </w:rPr>
      </w:pPr>
    </w:p>
    <w:p>
      <w:pPr>
        <w:ind w:left="780" w:right="1506"/>
        <w:spacing w:after="0" w:line="238" w:lineRule="auto"/>
        <w:rPr>
          <w:sz w:val="20"/>
          <w:szCs w:val="20"/>
          <w:color w:val="auto"/>
        </w:rPr>
      </w:pPr>
      <w:r>
        <w:rPr>
          <w:rFonts w:ascii="Times New Roman" w:cs="Times New Roman" w:eastAsia="Times New Roman" w:hAnsi="Times New Roman"/>
          <w:sz w:val="22"/>
          <w:szCs w:val="22"/>
          <w:color w:val="auto"/>
        </w:rPr>
        <w:t>Statement of Principles concerning optochiasmatic arachnoiditis (Balance of Probabilities) (No. 58 of 2016)</w:t>
      </w:r>
    </w:p>
    <w:p>
      <w:pPr>
        <w:spacing w:after="0" w:line="19" w:lineRule="exact"/>
        <w:rPr>
          <w:sz w:val="20"/>
          <w:szCs w:val="20"/>
          <w:color w:val="auto"/>
        </w:rPr>
      </w:pPr>
    </w:p>
    <w:p>
      <w:pPr>
        <w:ind w:left="780" w:right="426"/>
        <w:spacing w:after="0" w:line="237" w:lineRule="auto"/>
        <w:rPr>
          <w:sz w:val="20"/>
          <w:szCs w:val="20"/>
          <w:color w:val="auto"/>
        </w:rPr>
      </w:pPr>
      <w:r>
        <w:rPr>
          <w:rFonts w:ascii="Times New Roman" w:cs="Times New Roman" w:eastAsia="Times New Roman" w:hAnsi="Times New Roman"/>
          <w:sz w:val="22"/>
          <w:szCs w:val="22"/>
          <w:color w:val="auto"/>
        </w:rPr>
        <w:t>Statement of Principles concerning peritoneal adhesions (Reasonable Hypothesis) (No. 3 of 2016)</w:t>
      </w:r>
    </w:p>
    <w:p>
      <w:pPr>
        <w:spacing w:after="0" w:line="21" w:lineRule="exact"/>
        <w:rPr>
          <w:sz w:val="20"/>
          <w:szCs w:val="20"/>
          <w:color w:val="auto"/>
        </w:rPr>
      </w:pPr>
    </w:p>
    <w:p>
      <w:pPr>
        <w:ind w:left="780" w:right="366"/>
        <w:spacing w:after="0" w:line="237" w:lineRule="auto"/>
        <w:rPr>
          <w:sz w:val="20"/>
          <w:szCs w:val="20"/>
          <w:color w:val="auto"/>
        </w:rPr>
      </w:pPr>
      <w:r>
        <w:rPr>
          <w:rFonts w:ascii="Times New Roman" w:cs="Times New Roman" w:eastAsia="Times New Roman" w:hAnsi="Times New Roman"/>
          <w:sz w:val="22"/>
          <w:szCs w:val="22"/>
          <w:color w:val="auto"/>
        </w:rPr>
        <w:t>Statement of Principles concerning peritoneal adhesions (Balance of Probabilities) (No. 4 of 2016)</w:t>
      </w:r>
    </w:p>
    <w:p>
      <w:pPr>
        <w:spacing w:after="0" w:line="7"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22"/>
          <w:szCs w:val="22"/>
          <w:color w:val="auto"/>
        </w:rPr>
        <w:t>Statement of Principles concerning trigeminal neuropathy (No. 79 of 2015)</w:t>
      </w:r>
    </w:p>
    <w:p>
      <w:pPr>
        <w:spacing w:after="0" w:line="9"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22"/>
          <w:szCs w:val="22"/>
          <w:color w:val="auto"/>
        </w:rPr>
        <w:t>Statement of Principles concerning trigeminal neuropathy (No. 80 of 2015)</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jc w:val="right"/>
        <w:ind w:right="346"/>
        <w:spacing w:after="0"/>
        <w:rPr>
          <w:sz w:val="20"/>
          <w:szCs w:val="20"/>
          <w:color w:val="auto"/>
        </w:rPr>
      </w:pPr>
      <w:r>
        <w:rPr>
          <w:rFonts w:ascii="Times New Roman" w:cs="Times New Roman" w:eastAsia="Times New Roman" w:hAnsi="Times New Roman"/>
          <w:sz w:val="18"/>
          <w:szCs w:val="18"/>
          <w:i w:val="1"/>
          <w:iCs w:val="1"/>
          <w:color w:val="auto"/>
        </w:rPr>
        <w:t>8 of 8</w:t>
      </w:r>
    </w:p>
    <w:p>
      <w:pPr>
        <w:sectPr>
          <w:pgSz w:w="11900" w:h="16838" w:orient="portrait"/>
          <w:cols w:equalWidth="0" w:num="1">
            <w:col w:w="9026"/>
          </w:cols>
          <w:pgMar w:left="1440" w:top="754" w:right="1440" w:bottom="148" w:gutter="0" w:footer="0" w:header="0"/>
          <w:type w:val="continuous"/>
        </w:sectPr>
      </w:pPr>
    </w:p>
    <w:p>
      <w:pPr>
        <w:spacing w:after="0" w:line="10" w:lineRule="exact"/>
        <w:rPr>
          <w:sz w:val="20"/>
          <w:szCs w:val="20"/>
          <w:color w:val="auto"/>
        </w:rPr>
      </w:pPr>
    </w:p>
    <w:p>
      <w:pPr>
        <w:jc w:val="center"/>
        <w:ind w:left="1640" w:right="1626"/>
        <w:spacing w:after="0" w:line="236" w:lineRule="auto"/>
        <w:rPr>
          <w:sz w:val="20"/>
          <w:szCs w:val="20"/>
          <w:color w:val="auto"/>
        </w:rPr>
      </w:pPr>
      <w:r>
        <w:rPr>
          <w:rFonts w:ascii="Times New Roman" w:cs="Times New Roman" w:eastAsia="Times New Roman" w:hAnsi="Times New Roman"/>
          <w:sz w:val="18"/>
          <w:szCs w:val="18"/>
          <w:i w:val="1"/>
          <w:iCs w:val="1"/>
          <w:color w:val="auto"/>
        </w:rPr>
        <w:t>Veterans' Entitlements (Statements of Principles—Cumulative Equivalent Dose) Amendment Determination 2017 (No. 58 of 2017) Veterans' Entitlements Act 1986</w:t>
      </w:r>
    </w:p>
    <w:sectPr>
      <w:pgSz w:w="11900" w:h="16838" w:orient="portrait"/>
      <w:cols w:equalWidth="0" w:num="1">
        <w:col w:w="9026"/>
      </w:cols>
      <w:pgMar w:left="1440" w:top="754" w:right="1440" w:bottom="148"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19495CFF"/>
    <w:multiLevelType w:val="hybridMultilevel"/>
    <w:lvl w:ilvl="0">
      <w:lvlJc w:val="left"/>
      <w:lvlText w:val="%1"/>
      <w:numFmt w:val="decimal"/>
      <w:start w:val="1"/>
    </w:lvl>
  </w:abstractNum>
  <w:abstractNum w:abstractNumId="1">
    <w:nsid w:val="2AE8944A"/>
    <w:multiLevelType w:val="hybridMultilevel"/>
    <w:lvl w:ilvl="0">
      <w:lvlJc w:val="left"/>
      <w:lvlText w:val="%1."/>
      <w:numFmt w:val="decimal"/>
      <w:start w:val="1"/>
    </w:lvl>
  </w:abstractNum>
  <w:abstractNum w:abstractNumId="2">
    <w:nsid w:val="625558EC"/>
    <w:multiLevelType w:val="hybridMultilevel"/>
    <w:lvl w:ilvl="0">
      <w:lvlJc w:val="left"/>
      <w:lvlText w:val="%1."/>
      <w:numFmt w:val="decimal"/>
      <w:start w:val="2"/>
    </w:lvl>
  </w:abstractNum>
  <w:abstractNum w:abstractNumId="3">
    <w:nsid w:val="238E1F29"/>
    <w:multiLevelType w:val="hybridMultilevel"/>
    <w:lvl w:ilvl="0">
      <w:lvlJc w:val="left"/>
      <w:lvlText w:val="%1."/>
      <w:numFmt w:val="decimal"/>
      <w:start w:val="1"/>
    </w:lvl>
  </w:abstractNum>
  <w:abstractNum w:abstractNumId="4">
    <w:nsid w:val="46E87CCD"/>
    <w:multiLevelType w:val="hybridMultilevel"/>
    <w:lvl w:ilvl="0">
      <w:lvlJc w:val="left"/>
      <w:lvlText w:val="%1."/>
      <w:numFmt w:val="decimal"/>
      <w:start w:val="2"/>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2018-05-17T20:58:09Z</dcterms:created>
  <dcterms:modified xsi:type="dcterms:W3CDTF">2018-05-17T20:58:09Z</dcterms:modified>
</cp:coreProperties>
</file>