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39" w:rsidRDefault="00693419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A39" w:rsidRDefault="00A60A39">
      <w:pPr>
        <w:pStyle w:val="sop"/>
        <w:ind w:left="0"/>
        <w:rPr>
          <w:rFonts w:ascii="Arial" w:hAnsi="Arial"/>
        </w:rPr>
      </w:pPr>
    </w:p>
    <w:p w:rsidR="00A60A39" w:rsidRDefault="00A60A39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A60A39" w:rsidRDefault="00A60A39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</w:p>
    <w:p w:rsidR="00A60A39" w:rsidRDefault="004B5D9C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APLASTIC ANAEMIA</w:t>
      </w:r>
    </w:p>
    <w:p w:rsidR="00A60A39" w:rsidRDefault="00A60A39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8D5A38">
        <w:rPr>
          <w:rFonts w:ascii="Arial" w:hAnsi="Arial"/>
          <w:b/>
          <w:sz w:val="40"/>
        </w:rPr>
        <w:t>31</w:t>
      </w:r>
      <w:r>
        <w:rPr>
          <w:rFonts w:ascii="Arial" w:hAnsi="Arial"/>
          <w:b/>
          <w:sz w:val="40"/>
        </w:rPr>
        <w:t xml:space="preserve"> of </w:t>
      </w:r>
      <w:r w:rsidR="003C2C7A">
        <w:rPr>
          <w:rFonts w:ascii="Arial" w:hAnsi="Arial"/>
          <w:b/>
          <w:sz w:val="40"/>
        </w:rPr>
        <w:t>2016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A60A39" w:rsidRDefault="00A60A39">
      <w:pPr>
        <w:ind w:left="0"/>
        <w:jc w:val="center"/>
        <w:rPr>
          <w:rFonts w:ascii="Arial" w:hAnsi="Arial"/>
          <w:sz w:val="24"/>
        </w:rPr>
      </w:pPr>
    </w:p>
    <w:p w:rsidR="00A60A39" w:rsidRDefault="00A60A39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A60A39" w:rsidRDefault="00A60A39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A60A39" w:rsidRDefault="00A60A39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006612">
        <w:rPr>
          <w:sz w:val="24"/>
          <w:szCs w:val="24"/>
        </w:rPr>
        <w:t xml:space="preserve">This Instrument may be cited as Amendment Statement of Principles concerning </w:t>
      </w:r>
      <w:r w:rsidR="004B5D9C">
        <w:rPr>
          <w:sz w:val="24"/>
          <w:szCs w:val="24"/>
        </w:rPr>
        <w:t>aplastic anaemia</w:t>
      </w:r>
      <w:r w:rsidRPr="00006612">
        <w:rPr>
          <w:sz w:val="24"/>
          <w:szCs w:val="24"/>
        </w:rPr>
        <w:t xml:space="preserve"> No. </w:t>
      </w:r>
      <w:r w:rsidR="008D5A38">
        <w:rPr>
          <w:sz w:val="24"/>
          <w:szCs w:val="24"/>
        </w:rPr>
        <w:t>31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caps/>
          <w:sz w:val="24"/>
          <w:szCs w:val="24"/>
        </w:rPr>
        <w:t>T</w:t>
      </w:r>
      <w:r w:rsidRPr="00006612">
        <w:rPr>
          <w:sz w:val="24"/>
          <w:szCs w:val="24"/>
        </w:rPr>
        <w:t xml:space="preserve">he Repatriation Medical Authority amends, under subsection 196B(8)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>,</w:t>
      </w:r>
      <w:r w:rsidRPr="00006612">
        <w:rPr>
          <w:i/>
          <w:sz w:val="24"/>
          <w:szCs w:val="24"/>
        </w:rPr>
        <w:t xml:space="preserve"> </w:t>
      </w:r>
      <w:r w:rsidRPr="00006612">
        <w:rPr>
          <w:sz w:val="24"/>
          <w:szCs w:val="24"/>
        </w:rPr>
        <w:t xml:space="preserve">Statement of Principles concerning </w:t>
      </w:r>
      <w:r w:rsidR="004B5D9C">
        <w:rPr>
          <w:sz w:val="24"/>
          <w:szCs w:val="24"/>
        </w:rPr>
        <w:t>aplastic anaemia</w:t>
      </w:r>
      <w:r w:rsidRPr="00006612">
        <w:rPr>
          <w:sz w:val="24"/>
          <w:szCs w:val="24"/>
        </w:rPr>
        <w:t xml:space="preserve"> Instrument No. </w:t>
      </w:r>
      <w:r w:rsidR="004B5D9C">
        <w:rPr>
          <w:sz w:val="24"/>
          <w:szCs w:val="24"/>
        </w:rPr>
        <w:t>50</w:t>
      </w:r>
      <w:r w:rsidRPr="00006612">
        <w:rPr>
          <w:sz w:val="24"/>
          <w:szCs w:val="24"/>
        </w:rPr>
        <w:t xml:space="preserve"> of </w:t>
      </w:r>
      <w:r w:rsidR="003C2C7A">
        <w:rPr>
          <w:sz w:val="24"/>
          <w:szCs w:val="24"/>
        </w:rPr>
        <w:t>2012</w:t>
      </w:r>
      <w:r w:rsidRPr="00006612">
        <w:rPr>
          <w:sz w:val="24"/>
          <w:szCs w:val="24"/>
        </w:rPr>
        <w:t>, by:</w:t>
      </w:r>
    </w:p>
    <w:p w:rsidR="0088048F" w:rsidRPr="00A24CD5" w:rsidRDefault="0088048F" w:rsidP="0088048F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Replacing </w:t>
      </w:r>
      <w:r w:rsidR="0030386E">
        <w:rPr>
          <w:sz w:val="24"/>
          <w:szCs w:val="24"/>
        </w:rPr>
        <w:t xml:space="preserve">existing </w:t>
      </w:r>
      <w:r w:rsidRPr="00A24CD5">
        <w:rPr>
          <w:sz w:val="24"/>
          <w:szCs w:val="24"/>
        </w:rPr>
        <w:t>factor "(</w:t>
      </w:r>
      <w:r>
        <w:rPr>
          <w:sz w:val="24"/>
          <w:szCs w:val="24"/>
        </w:rPr>
        <w:t>g</w:t>
      </w:r>
      <w:r w:rsidRPr="00A24CD5">
        <w:rPr>
          <w:sz w:val="24"/>
          <w:szCs w:val="24"/>
        </w:rPr>
        <w:t>)" in clause 6 as follows:</w:t>
      </w:r>
    </w:p>
    <w:p w:rsidR="0088048F" w:rsidRDefault="0088048F" w:rsidP="00EA48C8">
      <w:pPr>
        <w:pStyle w:val="BodyTextIndent"/>
        <w:tabs>
          <w:tab w:val="num" w:pos="2127"/>
        </w:tabs>
        <w:spacing w:after="120"/>
        <w:ind w:left="1985" w:hanging="567"/>
        <w:rPr>
          <w:sz w:val="24"/>
          <w:szCs w:val="24"/>
        </w:rPr>
      </w:pPr>
      <w:r w:rsidRPr="00A24CD5">
        <w:rPr>
          <w:sz w:val="24"/>
          <w:szCs w:val="24"/>
        </w:rPr>
        <w:t>"(</w:t>
      </w:r>
      <w:r w:rsidR="004B091F">
        <w:rPr>
          <w:sz w:val="24"/>
          <w:szCs w:val="24"/>
        </w:rPr>
        <w:t>g</w:t>
      </w:r>
      <w:r w:rsidRPr="00A24CD5">
        <w:rPr>
          <w:sz w:val="24"/>
          <w:szCs w:val="24"/>
        </w:rPr>
        <w:t>)</w:t>
      </w:r>
      <w:r w:rsidRPr="00A24CD5">
        <w:rPr>
          <w:sz w:val="24"/>
          <w:szCs w:val="24"/>
        </w:rPr>
        <w:tab/>
        <w:t xml:space="preserve">being exposed to benzene </w:t>
      </w:r>
      <w:r>
        <w:rPr>
          <w:sz w:val="24"/>
          <w:szCs w:val="24"/>
        </w:rPr>
        <w:t xml:space="preserve">as specified </w:t>
      </w:r>
      <w:r w:rsidRPr="00A24CD5">
        <w:rPr>
          <w:sz w:val="24"/>
          <w:szCs w:val="24"/>
        </w:rPr>
        <w:t xml:space="preserve">on at least </w:t>
      </w:r>
      <w:r>
        <w:rPr>
          <w:sz w:val="24"/>
          <w:szCs w:val="24"/>
        </w:rPr>
        <w:t>30</w:t>
      </w:r>
      <w:r w:rsidRPr="00A24CD5">
        <w:rPr>
          <w:sz w:val="24"/>
          <w:szCs w:val="24"/>
        </w:rPr>
        <w:t xml:space="preserve"> days within the </w:t>
      </w:r>
      <w:r>
        <w:rPr>
          <w:sz w:val="24"/>
          <w:szCs w:val="24"/>
        </w:rPr>
        <w:t>six</w:t>
      </w:r>
      <w:r w:rsidRPr="00A24CD5">
        <w:rPr>
          <w:sz w:val="24"/>
          <w:szCs w:val="24"/>
        </w:rPr>
        <w:t xml:space="preserve"> months before the clinical onset of aplastic anaemia; or"</w:t>
      </w:r>
      <w:r w:rsidR="008D5A38">
        <w:rPr>
          <w:sz w:val="24"/>
          <w:szCs w:val="24"/>
          <w:lang w:val="en-US"/>
        </w:rPr>
        <w:t>; and</w:t>
      </w:r>
    </w:p>
    <w:p w:rsidR="003C2C7A" w:rsidRDefault="003C2C7A" w:rsidP="003C2C7A">
      <w:pPr>
        <w:pStyle w:val="BodyTextIndent"/>
        <w:numPr>
          <w:ilvl w:val="0"/>
          <w:numId w:val="24"/>
        </w:numPr>
        <w:tabs>
          <w:tab w:val="num" w:pos="1560"/>
        </w:tabs>
        <w:spacing w:after="120"/>
        <w:ind w:hanging="578"/>
        <w:rPr>
          <w:sz w:val="24"/>
          <w:szCs w:val="24"/>
        </w:rPr>
      </w:pPr>
      <w:r>
        <w:rPr>
          <w:sz w:val="24"/>
          <w:szCs w:val="24"/>
        </w:rPr>
        <w:t xml:space="preserve">Replacing the definition of "being exposed </w:t>
      </w:r>
      <w:r w:rsidR="0088048F">
        <w:rPr>
          <w:sz w:val="24"/>
          <w:szCs w:val="24"/>
        </w:rPr>
        <w:t>to</w:t>
      </w:r>
      <w:r>
        <w:rPr>
          <w:sz w:val="24"/>
          <w:szCs w:val="24"/>
        </w:rPr>
        <w:t xml:space="preserve"> benzene" </w:t>
      </w:r>
      <w:r w:rsidR="00EA48C8">
        <w:rPr>
          <w:sz w:val="24"/>
          <w:szCs w:val="24"/>
        </w:rPr>
        <w:t xml:space="preserve">in clause 9 </w:t>
      </w:r>
      <w:r w:rsidR="0088048F">
        <w:rPr>
          <w:sz w:val="24"/>
          <w:szCs w:val="24"/>
        </w:rPr>
        <w:t xml:space="preserve">with the definition of "being exposed to benzene as specified" </w:t>
      </w:r>
      <w:r>
        <w:rPr>
          <w:sz w:val="24"/>
          <w:szCs w:val="24"/>
        </w:rPr>
        <w:t>as follows:</w:t>
      </w:r>
    </w:p>
    <w:p w:rsidR="003C2C7A" w:rsidRPr="003C2C7A" w:rsidRDefault="00743FAF" w:rsidP="003C2C7A">
      <w:pPr>
        <w:spacing w:after="60"/>
        <w:ind w:left="1418"/>
        <w:rPr>
          <w:sz w:val="24"/>
          <w:szCs w:val="24"/>
        </w:rPr>
      </w:pPr>
      <w:r w:rsidRPr="00743FAF">
        <w:rPr>
          <w:sz w:val="24"/>
          <w:szCs w:val="24"/>
        </w:rPr>
        <w:t>'</w:t>
      </w:r>
      <w:r w:rsidR="003C2C7A" w:rsidRPr="003C2C7A">
        <w:rPr>
          <w:b/>
          <w:sz w:val="24"/>
          <w:szCs w:val="24"/>
        </w:rPr>
        <w:t>"being exposed to benzene</w:t>
      </w:r>
      <w:r w:rsidR="0088048F">
        <w:rPr>
          <w:b/>
          <w:sz w:val="24"/>
          <w:szCs w:val="24"/>
        </w:rPr>
        <w:t xml:space="preserve"> as specified</w:t>
      </w:r>
      <w:r w:rsidR="003C2C7A">
        <w:rPr>
          <w:b/>
          <w:sz w:val="24"/>
          <w:szCs w:val="24"/>
        </w:rPr>
        <w:t>"</w:t>
      </w:r>
      <w:r w:rsidR="003C2C7A" w:rsidRPr="003C2C7A">
        <w:rPr>
          <w:i/>
          <w:sz w:val="24"/>
          <w:szCs w:val="24"/>
        </w:rPr>
        <w:t xml:space="preserve"> </w:t>
      </w:r>
      <w:r w:rsidR="003C2C7A" w:rsidRPr="003C2C7A">
        <w:rPr>
          <w:sz w:val="24"/>
          <w:szCs w:val="24"/>
        </w:rPr>
        <w:t>means:</w:t>
      </w:r>
    </w:p>
    <w:p w:rsidR="003C2C7A" w:rsidRPr="003C2C7A" w:rsidRDefault="003C2C7A" w:rsidP="00B86E25">
      <w:pPr>
        <w:pStyle w:val="ListParagraph"/>
        <w:numPr>
          <w:ilvl w:val="0"/>
          <w:numId w:val="26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 xml:space="preserve">having cutaneous contact with liquids containing benzene greater than </w:t>
      </w:r>
      <w:r w:rsidR="0088048F">
        <w:rPr>
          <w:rFonts w:ascii="Times New Roman" w:hAnsi="Times New Roman"/>
          <w:sz w:val="24"/>
          <w:szCs w:val="24"/>
        </w:rPr>
        <w:t>5</w:t>
      </w:r>
      <w:r w:rsidRPr="003C2C7A">
        <w:rPr>
          <w:rFonts w:ascii="Times New Roman" w:hAnsi="Times New Roman"/>
          <w:sz w:val="24"/>
          <w:szCs w:val="24"/>
        </w:rPr>
        <w:t xml:space="preserve">% by volume; </w:t>
      </w:r>
      <w:r w:rsidR="0088048F">
        <w:rPr>
          <w:rFonts w:ascii="Times New Roman" w:hAnsi="Times New Roman"/>
          <w:sz w:val="24"/>
          <w:szCs w:val="24"/>
        </w:rPr>
        <w:t>or</w:t>
      </w:r>
    </w:p>
    <w:p w:rsidR="003C2C7A" w:rsidRPr="003C2C7A" w:rsidRDefault="003C2C7A" w:rsidP="00B86E25">
      <w:pPr>
        <w:pStyle w:val="ListParagraph"/>
        <w:numPr>
          <w:ilvl w:val="0"/>
          <w:numId w:val="26"/>
        </w:numPr>
        <w:tabs>
          <w:tab w:val="left" w:pos="601"/>
        </w:tabs>
        <w:spacing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 xml:space="preserve">ingesting liquids containing benzene greater than </w:t>
      </w:r>
      <w:r w:rsidR="0088048F">
        <w:rPr>
          <w:rFonts w:ascii="Times New Roman" w:hAnsi="Times New Roman"/>
          <w:sz w:val="24"/>
          <w:szCs w:val="24"/>
        </w:rPr>
        <w:t>5</w:t>
      </w:r>
      <w:r w:rsidRPr="003C2C7A">
        <w:rPr>
          <w:rFonts w:ascii="Times New Roman" w:hAnsi="Times New Roman"/>
          <w:sz w:val="24"/>
          <w:szCs w:val="24"/>
        </w:rPr>
        <w:t xml:space="preserve">% by volume; or  </w:t>
      </w:r>
    </w:p>
    <w:p w:rsidR="003C2C7A" w:rsidRPr="00743FAF" w:rsidRDefault="003C2C7A" w:rsidP="00B86E25">
      <w:pPr>
        <w:pStyle w:val="ListParagraph"/>
        <w:numPr>
          <w:ilvl w:val="0"/>
          <w:numId w:val="26"/>
        </w:numPr>
        <w:tabs>
          <w:tab w:val="left" w:pos="601"/>
        </w:tabs>
        <w:spacing w:after="120" w:line="240" w:lineRule="auto"/>
        <w:ind w:left="2127" w:hanging="709"/>
        <w:rPr>
          <w:rFonts w:ascii="Times New Roman" w:hAnsi="Times New Roman"/>
          <w:sz w:val="24"/>
          <w:szCs w:val="24"/>
        </w:rPr>
      </w:pPr>
      <w:r w:rsidRPr="003C2C7A">
        <w:rPr>
          <w:rFonts w:ascii="Times New Roman" w:hAnsi="Times New Roman"/>
          <w:sz w:val="24"/>
          <w:szCs w:val="24"/>
        </w:rPr>
        <w:t>inhaling benzene vapour where such exposure occurs at an ambient 8-hour time-weighted average benzene concentration exceeding five parts per million</w:t>
      </w:r>
      <w:r w:rsidR="00743FAF">
        <w:rPr>
          <w:rFonts w:ascii="Times New Roman" w:hAnsi="Times New Roman"/>
          <w:sz w:val="24"/>
          <w:szCs w:val="24"/>
        </w:rPr>
        <w:t>;'.</w:t>
      </w:r>
    </w:p>
    <w:p w:rsidR="00A60A39" w:rsidRPr="00006612" w:rsidRDefault="00A60A39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t>The amendment</w:t>
      </w:r>
      <w:r w:rsidR="008D5A38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appl</w:t>
      </w:r>
      <w:r w:rsidR="008D5A38">
        <w:rPr>
          <w:sz w:val="24"/>
          <w:szCs w:val="24"/>
        </w:rPr>
        <w:t>y</w:t>
      </w:r>
      <w:r w:rsidRPr="00006612">
        <w:rPr>
          <w:sz w:val="24"/>
          <w:szCs w:val="24"/>
        </w:rPr>
        <w:t xml:space="preserve"> to all matters to which Instrument No. </w:t>
      </w:r>
      <w:r w:rsidR="004B5D9C">
        <w:rPr>
          <w:sz w:val="24"/>
          <w:szCs w:val="24"/>
        </w:rPr>
        <w:t>50</w:t>
      </w:r>
      <w:r w:rsidRPr="00006612">
        <w:rPr>
          <w:sz w:val="24"/>
          <w:szCs w:val="24"/>
        </w:rPr>
        <w:t xml:space="preserve"> of </w:t>
      </w:r>
      <w:r w:rsidR="00743FAF">
        <w:rPr>
          <w:sz w:val="24"/>
          <w:szCs w:val="24"/>
        </w:rPr>
        <w:t>2012</w:t>
      </w:r>
      <w:r w:rsidRPr="00006612">
        <w:rPr>
          <w:sz w:val="24"/>
          <w:szCs w:val="24"/>
        </w:rPr>
        <w:t xml:space="preserve">, section 120A of the </w:t>
      </w:r>
      <w:r w:rsidRPr="00006612">
        <w:rPr>
          <w:i/>
          <w:sz w:val="24"/>
          <w:szCs w:val="24"/>
        </w:rPr>
        <w:t>Veterans’ Entitlements Act 1986</w:t>
      </w:r>
      <w:r w:rsidRPr="00006612">
        <w:rPr>
          <w:sz w:val="24"/>
          <w:szCs w:val="24"/>
        </w:rPr>
        <w:t xml:space="preserve"> and section 338 of the </w:t>
      </w:r>
      <w:r w:rsidRPr="00006612">
        <w:rPr>
          <w:i/>
          <w:sz w:val="24"/>
          <w:szCs w:val="24"/>
        </w:rPr>
        <w:t xml:space="preserve">Military Rehabilitation and Compensation Act 2004 </w:t>
      </w:r>
      <w:r w:rsidRPr="00006612">
        <w:rPr>
          <w:sz w:val="24"/>
          <w:szCs w:val="24"/>
        </w:rPr>
        <w:t>apply.</w:t>
      </w:r>
    </w:p>
    <w:p w:rsidR="00A60A39" w:rsidRPr="00006612" w:rsidRDefault="00A60A39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006612">
        <w:rPr>
          <w:sz w:val="24"/>
          <w:szCs w:val="24"/>
        </w:rPr>
        <w:lastRenderedPageBreak/>
        <w:t>The amendment</w:t>
      </w:r>
      <w:r w:rsidR="008D5A38">
        <w:rPr>
          <w:sz w:val="24"/>
          <w:szCs w:val="24"/>
        </w:rPr>
        <w:t>s</w:t>
      </w:r>
      <w:r w:rsidRPr="00006612">
        <w:rPr>
          <w:sz w:val="24"/>
          <w:szCs w:val="24"/>
        </w:rPr>
        <w:t xml:space="preserve"> made by this instrument take effect from </w:t>
      </w:r>
      <w:r w:rsidR="008D5A38">
        <w:rPr>
          <w:sz w:val="24"/>
          <w:szCs w:val="24"/>
        </w:rPr>
        <w:t>4</w:t>
      </w:r>
      <w:r w:rsidRPr="00006612">
        <w:rPr>
          <w:sz w:val="24"/>
          <w:szCs w:val="24"/>
        </w:rPr>
        <w:t> </w:t>
      </w:r>
      <w:r w:rsidR="008D5A38">
        <w:rPr>
          <w:sz w:val="24"/>
          <w:szCs w:val="24"/>
        </w:rPr>
        <w:t>April</w:t>
      </w:r>
      <w:r w:rsidRPr="00006612">
        <w:rPr>
          <w:sz w:val="24"/>
          <w:szCs w:val="24"/>
        </w:rPr>
        <w:t> </w:t>
      </w:r>
      <w:r w:rsidR="003C2C7A">
        <w:rPr>
          <w:sz w:val="24"/>
          <w:szCs w:val="24"/>
        </w:rPr>
        <w:t>2016</w:t>
      </w:r>
      <w:r w:rsidRPr="00006612">
        <w:rPr>
          <w:sz w:val="24"/>
          <w:szCs w:val="24"/>
        </w:rPr>
        <w:t>.</w:t>
      </w:r>
    </w:p>
    <w:p w:rsidR="008D5A38" w:rsidRDefault="008D5A38" w:rsidP="008D5A38">
      <w:pPr>
        <w:spacing w:before="240" w:after="120" w:line="240" w:lineRule="auto"/>
        <w:ind w:left="0"/>
        <w:rPr>
          <w:noProof/>
          <w:lang w:val="en-AU"/>
        </w:rPr>
      </w:pPr>
      <w:r>
        <w:rPr>
          <w:sz w:val="24"/>
          <w:szCs w:val="24"/>
        </w:rPr>
        <w:t xml:space="preserve">Dated this   </w:t>
      </w:r>
      <w:r w:rsidR="00B70C90">
        <w:rPr>
          <w:rFonts w:ascii="Brush Script MT" w:hAnsi="Brush Script MT"/>
          <w:sz w:val="44"/>
          <w:szCs w:val="44"/>
        </w:rPr>
        <w:t>fourth</w:t>
      </w:r>
      <w:r>
        <w:rPr>
          <w:sz w:val="24"/>
          <w:szCs w:val="24"/>
        </w:rPr>
        <w:t xml:space="preserve">   day of   </w:t>
      </w:r>
      <w:r>
        <w:rPr>
          <w:rFonts w:ascii="Brush Script MT" w:hAnsi="Brush Script MT"/>
          <w:sz w:val="44"/>
          <w:szCs w:val="44"/>
        </w:rPr>
        <w:t>March</w:t>
      </w:r>
      <w:r>
        <w:rPr>
          <w:sz w:val="24"/>
          <w:szCs w:val="24"/>
        </w:rPr>
        <w:t xml:space="preserve">   2016</w:t>
      </w:r>
    </w:p>
    <w:p w:rsidR="008D5A38" w:rsidRDefault="008D5A38" w:rsidP="008D5A38">
      <w:pPr>
        <w:spacing w:line="240" w:lineRule="auto"/>
        <w:ind w:hanging="72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 wp14:anchorId="433E26AF" wp14:editId="425ED799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The Common Seal of the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8D5A38" w:rsidRDefault="008D5A38" w:rsidP="008D5A38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Repatriation Medical Authority</w:t>
      </w:r>
      <w:r>
        <w:rPr>
          <w:sz w:val="24"/>
          <w:szCs w:val="24"/>
        </w:rPr>
        <w:tab/>
        <w:t>)</w:t>
      </w:r>
    </w:p>
    <w:p w:rsidR="008D5A38" w:rsidRDefault="008D5A38" w:rsidP="008D5A38">
      <w:p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was affixed at the direction of:</w:t>
      </w:r>
      <w:r>
        <w:rPr>
          <w:sz w:val="24"/>
          <w:szCs w:val="24"/>
        </w:rPr>
        <w:tab/>
        <w:t>)</w:t>
      </w:r>
    </w:p>
    <w:p w:rsidR="008D5A38" w:rsidRDefault="008D5A38" w:rsidP="008D5A38">
      <w:pPr>
        <w:spacing w:before="240" w:line="240" w:lineRule="auto"/>
        <w:ind w:left="3600"/>
        <w:outlineLvl w:val="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A60A39" w:rsidRDefault="008D5A38" w:rsidP="008D5A38">
      <w:pPr>
        <w:spacing w:before="120" w:after="120" w:line="240" w:lineRule="auto"/>
        <w:ind w:left="2880" w:firstLine="720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A60A39">
      <w:headerReference w:type="default" r:id="rId9"/>
      <w:footerReference w:type="default" r:id="rId10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A39" w:rsidRDefault="00A60A39">
      <w:r>
        <w:separator/>
      </w:r>
    </w:p>
  </w:endnote>
  <w:endnote w:type="continuationSeparator" w:id="0">
    <w:p w:rsidR="00A60A39" w:rsidRDefault="00A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4E6277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4E6277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 w:rsidR="008D5A38">
      <w:rPr>
        <w:rFonts w:ascii="Arial" w:hAnsi="Arial"/>
        <w:b w:val="0"/>
      </w:rPr>
      <w:t xml:space="preserve"> of Instrument No. 31</w:t>
    </w:r>
    <w:r>
      <w:rPr>
        <w:rFonts w:ascii="Arial" w:hAnsi="Arial"/>
        <w:b w:val="0"/>
      </w:rPr>
      <w:t xml:space="preserve"> of </w:t>
    </w:r>
    <w:r w:rsidR="00E628F3">
      <w:rPr>
        <w:rFonts w:ascii="Arial" w:hAnsi="Arial"/>
        <w:b w:val="0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A39" w:rsidRDefault="00A60A39">
      <w:r>
        <w:separator/>
      </w:r>
    </w:p>
  </w:footnote>
  <w:footnote w:type="continuationSeparator" w:id="0">
    <w:p w:rsidR="00A60A39" w:rsidRDefault="00A6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A39" w:rsidRDefault="00A60A39">
    <w:pPr>
      <w:pStyle w:val="Header"/>
      <w:jc w:val="center"/>
      <w:rPr>
        <w:b/>
        <w:sz w:val="28"/>
        <w:lang w:val="en-AU"/>
      </w:rPr>
    </w:pPr>
  </w:p>
  <w:p w:rsidR="00A60A39" w:rsidRDefault="00A60A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6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9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5CB5AF2"/>
    <w:multiLevelType w:val="singleLevel"/>
    <w:tmpl w:val="2542CB5C"/>
    <w:lvl w:ilvl="0">
      <w:start w:val="1"/>
      <w:numFmt w:val="upp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  <w:strike w:val="0"/>
      </w:rPr>
    </w:lvl>
  </w:abstractNum>
  <w:abstractNum w:abstractNumId="13" w15:restartNumberingAfterBreak="0">
    <w:nsid w:val="41DC61AF"/>
    <w:multiLevelType w:val="hybridMultilevel"/>
    <w:tmpl w:val="4F5835E2"/>
    <w:lvl w:ilvl="0" w:tplc="EE806B50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19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1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3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4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5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14"/>
  </w:num>
  <w:num w:numId="6">
    <w:abstractNumId w:val="25"/>
  </w:num>
  <w:num w:numId="7">
    <w:abstractNumId w:val="0"/>
  </w:num>
  <w:num w:numId="8">
    <w:abstractNumId w:val="20"/>
  </w:num>
  <w:num w:numId="9">
    <w:abstractNumId w:val="24"/>
  </w:num>
  <w:num w:numId="10">
    <w:abstractNumId w:val="6"/>
  </w:num>
  <w:num w:numId="11">
    <w:abstractNumId w:val="5"/>
  </w:num>
  <w:num w:numId="12">
    <w:abstractNumId w:val="11"/>
  </w:num>
  <w:num w:numId="13">
    <w:abstractNumId w:val="17"/>
  </w:num>
  <w:num w:numId="14">
    <w:abstractNumId w:val="3"/>
  </w:num>
  <w:num w:numId="15">
    <w:abstractNumId w:val="19"/>
  </w:num>
  <w:num w:numId="16">
    <w:abstractNumId w:val="8"/>
  </w:num>
  <w:num w:numId="17">
    <w:abstractNumId w:val="16"/>
  </w:num>
  <w:num w:numId="18">
    <w:abstractNumId w:val="7"/>
  </w:num>
  <w:num w:numId="19">
    <w:abstractNumId w:val="23"/>
  </w:num>
  <w:num w:numId="20">
    <w:abstractNumId w:val="4"/>
  </w:num>
  <w:num w:numId="21">
    <w:abstractNumId w:val="9"/>
  </w:num>
  <w:num w:numId="22">
    <w:abstractNumId w:val="15"/>
  </w:num>
  <w:num w:numId="23">
    <w:abstractNumId w:val="21"/>
  </w:num>
  <w:num w:numId="24">
    <w:abstractNumId w:val="12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12"/>
    <w:rsid w:val="00006612"/>
    <w:rsid w:val="0030386E"/>
    <w:rsid w:val="003C2C7A"/>
    <w:rsid w:val="004B091F"/>
    <w:rsid w:val="004B5D9C"/>
    <w:rsid w:val="004E6277"/>
    <w:rsid w:val="00540A94"/>
    <w:rsid w:val="00693419"/>
    <w:rsid w:val="00743FAF"/>
    <w:rsid w:val="0088048F"/>
    <w:rsid w:val="008D5A38"/>
    <w:rsid w:val="00904B2D"/>
    <w:rsid w:val="00A60A39"/>
    <w:rsid w:val="00B50A33"/>
    <w:rsid w:val="00B70C90"/>
    <w:rsid w:val="00B86E25"/>
    <w:rsid w:val="00DA013C"/>
    <w:rsid w:val="00E628F3"/>
    <w:rsid w:val="00E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link w:val="BodyTextIndentChar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3C2C7A"/>
    <w:pPr>
      <w:spacing w:line="288" w:lineRule="auto"/>
      <w:contextualSpacing/>
      <w:jc w:val="left"/>
    </w:pPr>
    <w:rPr>
      <w:rFonts w:ascii="Arial" w:hAnsi="Arial"/>
      <w:sz w:val="22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88048F"/>
    <w:rPr>
      <w:rFonts w:ascii="Times New Roman" w:hAnsi="Times New Roman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2016-02-24T02:05:00Z</dcterms:created>
  <dcterms:modified xsi:type="dcterms:W3CDTF">2016-02-26T05:59:00Z</dcterms:modified>
</cp:coreProperties>
</file>