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72" w:rsidRPr="00FA33FB" w:rsidRDefault="00D40672" w:rsidP="00D40672">
      <w:pPr>
        <w:pStyle w:val="Plain"/>
        <w:jc w:val="center"/>
        <w:rPr>
          <w:sz w:val="28"/>
        </w:rPr>
      </w:pPr>
      <w:bookmarkStart w:id="0" w:name="_GoBack"/>
      <w:bookmarkEnd w:id="0"/>
      <w:r>
        <w:rPr>
          <w:noProof/>
        </w:rPr>
        <w:drawing>
          <wp:inline distT="0" distB="0" distL="0" distR="0" wp14:anchorId="34760452" wp14:editId="2E909EAC">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D40672" w:rsidRPr="00FA33FB" w:rsidRDefault="00D40672" w:rsidP="00D40672">
      <w:pPr>
        <w:rPr>
          <w:sz w:val="19"/>
        </w:rPr>
      </w:pPr>
    </w:p>
    <w:p w:rsidR="00715914" w:rsidRPr="00D40672" w:rsidRDefault="00715914" w:rsidP="000D4D03">
      <w:pPr>
        <w:pStyle w:val="Plain"/>
        <w:jc w:val="center"/>
        <w:rPr>
          <w:sz w:val="40"/>
          <w:szCs w:val="40"/>
        </w:rPr>
      </w:pPr>
    </w:p>
    <w:p w:rsidR="000F76FA" w:rsidRPr="00831C11" w:rsidRDefault="00E55F66" w:rsidP="006647B7">
      <w:pPr>
        <w:pStyle w:val="Plainheader"/>
      </w:pPr>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A30FF1" w:rsidRDefault="00831C11" w:rsidP="006647B7">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2E0E9F" w:rsidRPr="002E0E9F">
        <w:t>FRACTURE</w:t>
      </w:r>
      <w:r w:rsidRPr="00831C11">
        <w:fldChar w:fldCharType="end"/>
      </w:r>
      <w:r w:rsidR="00CF4400">
        <w:t xml:space="preserve"> </w:t>
      </w:r>
    </w:p>
    <w:p w:rsidR="00CF4400" w:rsidRDefault="00CF4400" w:rsidP="006647B7">
      <w:pPr>
        <w:pStyle w:val="Plainheader"/>
      </w:pPr>
      <w:r>
        <w:t>(Reasonable Hypothesis)</w:t>
      </w:r>
    </w:p>
    <w:p w:rsidR="00715914" w:rsidRPr="00831C11" w:rsidRDefault="00E55F66" w:rsidP="006647B7">
      <w:pPr>
        <w:pStyle w:val="Plainheader"/>
      </w:pPr>
      <w:r w:rsidRPr="00831C11">
        <w:t xml:space="preserve">(No. </w:t>
      </w:r>
      <w:bookmarkStart w:id="1" w:name="BP"/>
      <w:r w:rsidR="003176E8">
        <w:t>94</w:t>
      </w:r>
      <w:bookmarkEnd w:id="1"/>
      <w:r w:rsidRPr="00831C11">
        <w:t xml:space="preserve"> of</w:t>
      </w:r>
      <w:r w:rsidR="00085567" w:rsidRPr="00831C11">
        <w:t xml:space="preserve"> </w:t>
      </w:r>
      <w:bookmarkStart w:id="2" w:name="year"/>
      <w:r w:rsidR="00773601">
        <w:t>2015</w:t>
      </w:r>
      <w:bookmarkEnd w:id="2"/>
      <w:r w:rsidRPr="00831C11">
        <w:t>)</w:t>
      </w:r>
    </w:p>
    <w:p w:rsidR="00F67B67" w:rsidRPr="003176E8" w:rsidRDefault="00F67B67" w:rsidP="007527C1">
      <w:pPr>
        <w:pStyle w:val="SignCoverPageStart"/>
        <w:ind w:right="-51"/>
        <w:jc w:val="left"/>
        <w:rPr>
          <w:sz w:val="24"/>
          <w:szCs w:val="24"/>
        </w:rPr>
      </w:pPr>
      <w:r w:rsidRPr="003176E8">
        <w:rPr>
          <w:sz w:val="24"/>
          <w:szCs w:val="24"/>
        </w:rPr>
        <w:t>The Repatriation Medical Authority determines the following Statement of Principles</w:t>
      </w:r>
      <w:r w:rsidR="003176E8" w:rsidRPr="003176E8">
        <w:rPr>
          <w:sz w:val="24"/>
          <w:szCs w:val="24"/>
        </w:rPr>
        <w:t xml:space="preserve"> under subsection 196B(2) of the </w:t>
      </w:r>
      <w:r w:rsidR="003176E8" w:rsidRPr="003176E8">
        <w:rPr>
          <w:i/>
          <w:sz w:val="24"/>
          <w:szCs w:val="24"/>
        </w:rPr>
        <w:t>Veterans’ Entitlements Act 1986</w:t>
      </w:r>
      <w:r w:rsidR="003176E8" w:rsidRPr="003176E8">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F1125F">
        <w:t>21 August</w:t>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Pr="007527C1">
        <w:fldChar w:fldCharType="begin"/>
      </w:r>
      <w:r w:rsidRPr="007527C1">
        <w:instrText xml:space="preserve"> DATE  \@ "2015" </w:instrText>
      </w:r>
      <w:r w:rsidRPr="007527C1">
        <w:fldChar w:fldCharType="separate"/>
      </w:r>
      <w:r w:rsidR="005C401D">
        <w:rPr>
          <w:noProof/>
        </w:rPr>
        <w:t>2015</w:t>
      </w:r>
      <w:r w:rsidRPr="007527C1">
        <w:fldChar w:fldCharType="end"/>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2927A8" w:rsidRDefault="002927A8" w:rsidP="002927A8">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2927A8" w:rsidRDefault="002927A8" w:rsidP="002927A8">
      <w:pPr>
        <w:pStyle w:val="Plain"/>
      </w:pPr>
      <w:r>
        <w:rPr>
          <w:noProof/>
        </w:rPr>
        <w:drawing>
          <wp:anchor distT="0" distB="0" distL="114300" distR="114300" simplePos="0" relativeHeight="251659264" behindDoc="1" locked="0" layoutInCell="1" allowOverlap="1" wp14:anchorId="71BEE091" wp14:editId="42BA1F99">
            <wp:simplePos x="0" y="0"/>
            <wp:positionH relativeFrom="column">
              <wp:posOffset>104775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2927A8" w:rsidRDefault="002927A8" w:rsidP="002927A8">
      <w:pPr>
        <w:pStyle w:val="Plain"/>
      </w:pPr>
    </w:p>
    <w:p w:rsidR="002927A8" w:rsidRDefault="002927A8" w:rsidP="002927A8">
      <w:pPr>
        <w:pStyle w:val="Plain"/>
      </w:pPr>
    </w:p>
    <w:p w:rsidR="002927A8" w:rsidRDefault="002927A8" w:rsidP="002927A8">
      <w:pPr>
        <w:pStyle w:val="Plain"/>
      </w:pPr>
    </w:p>
    <w:p w:rsidR="002927A8" w:rsidRPr="007527C1" w:rsidRDefault="002927A8" w:rsidP="002927A8">
      <w:pPr>
        <w:pStyle w:val="Plain"/>
      </w:pPr>
    </w:p>
    <w:p w:rsidR="002927A8" w:rsidRPr="007527C1" w:rsidRDefault="002927A8" w:rsidP="002927A8">
      <w:pPr>
        <w:pStyle w:val="Plain"/>
      </w:pPr>
      <w:r w:rsidRPr="007527C1">
        <w:t>Professor Nicholas Saunders AO</w:t>
      </w:r>
    </w:p>
    <w:p w:rsidR="002927A8" w:rsidRDefault="002927A8" w:rsidP="002927A8">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2E0E9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E0E9F">
        <w:rPr>
          <w:noProof/>
        </w:rPr>
        <w:t>1</w:t>
      </w:r>
      <w:r w:rsidR="002E0E9F">
        <w:rPr>
          <w:rFonts w:asciiTheme="minorHAnsi" w:eastAsiaTheme="minorEastAsia" w:hAnsiTheme="minorHAnsi" w:cstheme="minorBidi"/>
          <w:noProof/>
          <w:kern w:val="0"/>
          <w:sz w:val="22"/>
          <w:szCs w:val="22"/>
        </w:rPr>
        <w:tab/>
      </w:r>
      <w:r w:rsidR="002E0E9F">
        <w:rPr>
          <w:noProof/>
        </w:rPr>
        <w:t>Name</w:t>
      </w:r>
      <w:r w:rsidR="002E0E9F">
        <w:rPr>
          <w:noProof/>
        </w:rPr>
        <w:tab/>
      </w:r>
      <w:r w:rsidR="002E0E9F">
        <w:rPr>
          <w:noProof/>
        </w:rPr>
        <w:fldChar w:fldCharType="begin"/>
      </w:r>
      <w:r w:rsidR="002E0E9F">
        <w:rPr>
          <w:noProof/>
        </w:rPr>
        <w:instrText xml:space="preserve"> PAGEREF _Toc426028021 \h </w:instrText>
      </w:r>
      <w:r w:rsidR="002E0E9F">
        <w:rPr>
          <w:noProof/>
        </w:rPr>
      </w:r>
      <w:r w:rsidR="002E0E9F">
        <w:rPr>
          <w:noProof/>
        </w:rPr>
        <w:fldChar w:fldCharType="separate"/>
      </w:r>
      <w:r w:rsidR="002E0E9F">
        <w:rPr>
          <w:noProof/>
        </w:rPr>
        <w:t>3</w:t>
      </w:r>
      <w:r w:rsidR="002E0E9F">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_Toc426028022 \h </w:instrText>
      </w:r>
      <w:r>
        <w:rPr>
          <w:noProof/>
        </w:rPr>
      </w:r>
      <w:r>
        <w:rPr>
          <w:noProof/>
        </w:rPr>
        <w:fldChar w:fldCharType="separate"/>
      </w:r>
      <w:r>
        <w:rPr>
          <w:noProof/>
        </w:rPr>
        <w:t>3</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_Toc426028023 \h </w:instrText>
      </w:r>
      <w:r>
        <w:rPr>
          <w:noProof/>
        </w:rPr>
      </w:r>
      <w:r>
        <w:rPr>
          <w:noProof/>
        </w:rPr>
        <w:fldChar w:fldCharType="separate"/>
      </w:r>
      <w:r>
        <w:rPr>
          <w:noProof/>
        </w:rPr>
        <w:t>3</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_Toc426028024 \h </w:instrText>
      </w:r>
      <w:r>
        <w:rPr>
          <w:noProof/>
        </w:rPr>
      </w:r>
      <w:r>
        <w:rPr>
          <w:noProof/>
        </w:rPr>
        <w:fldChar w:fldCharType="separate"/>
      </w:r>
      <w:r>
        <w:rPr>
          <w:noProof/>
        </w:rPr>
        <w:t>3</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_Toc426028025 \h </w:instrText>
      </w:r>
      <w:r>
        <w:rPr>
          <w:noProof/>
        </w:rPr>
      </w:r>
      <w:r>
        <w:rPr>
          <w:noProof/>
        </w:rPr>
        <w:fldChar w:fldCharType="separate"/>
      </w:r>
      <w:r>
        <w:rPr>
          <w:noProof/>
        </w:rPr>
        <w:t>3</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_Toc426028026 \h </w:instrText>
      </w:r>
      <w:r>
        <w:rPr>
          <w:noProof/>
        </w:rPr>
      </w:r>
      <w:r>
        <w:rPr>
          <w:noProof/>
        </w:rPr>
        <w:fldChar w:fldCharType="separate"/>
      </w:r>
      <w:r>
        <w:rPr>
          <w:noProof/>
        </w:rPr>
        <w:t>3</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_Toc426028027 \h </w:instrText>
      </w:r>
      <w:r>
        <w:rPr>
          <w:noProof/>
        </w:rPr>
      </w:r>
      <w:r>
        <w:rPr>
          <w:noProof/>
        </w:rPr>
        <w:fldChar w:fldCharType="separate"/>
      </w:r>
      <w:r>
        <w:rPr>
          <w:noProof/>
        </w:rPr>
        <w:t>3</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_Toc426028028 \h </w:instrText>
      </w:r>
      <w:r>
        <w:rPr>
          <w:noProof/>
        </w:rPr>
      </w:r>
      <w:r>
        <w:rPr>
          <w:noProof/>
        </w:rPr>
        <w:fldChar w:fldCharType="separate"/>
      </w:r>
      <w:r>
        <w:rPr>
          <w:noProof/>
        </w:rPr>
        <w:t>3</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_Toc426028029 \h </w:instrText>
      </w:r>
      <w:r>
        <w:rPr>
          <w:noProof/>
        </w:rPr>
      </w:r>
      <w:r>
        <w:rPr>
          <w:noProof/>
        </w:rPr>
        <w:fldChar w:fldCharType="separate"/>
      </w:r>
      <w:r>
        <w:rPr>
          <w:noProof/>
        </w:rPr>
        <w:t>4</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_Toc426028030 \h </w:instrText>
      </w:r>
      <w:r>
        <w:rPr>
          <w:noProof/>
        </w:rPr>
      </w:r>
      <w:r>
        <w:rPr>
          <w:noProof/>
        </w:rPr>
        <w:fldChar w:fldCharType="separate"/>
      </w:r>
      <w:r>
        <w:rPr>
          <w:noProof/>
        </w:rPr>
        <w:t>6</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_Toc426028031 \h </w:instrText>
      </w:r>
      <w:r>
        <w:rPr>
          <w:noProof/>
        </w:rPr>
      </w:r>
      <w:r>
        <w:rPr>
          <w:noProof/>
        </w:rPr>
        <w:fldChar w:fldCharType="separate"/>
      </w:r>
      <w:r>
        <w:rPr>
          <w:noProof/>
        </w:rPr>
        <w:t>6</w:t>
      </w:r>
      <w:r>
        <w:rPr>
          <w:noProof/>
        </w:rPr>
        <w:fldChar w:fldCharType="end"/>
      </w:r>
    </w:p>
    <w:p w:rsidR="002E0E9F" w:rsidRDefault="002E0E9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_Toc426028032 \h </w:instrText>
      </w:r>
      <w:r>
        <w:rPr>
          <w:noProof/>
        </w:rPr>
      </w:r>
      <w:r>
        <w:rPr>
          <w:noProof/>
        </w:rPr>
        <w:fldChar w:fldCharType="separate"/>
      </w:r>
      <w:r>
        <w:rPr>
          <w:noProof/>
        </w:rPr>
        <w:t>7</w:t>
      </w:r>
      <w:r>
        <w:rPr>
          <w:noProof/>
        </w:rPr>
        <w:fldChar w:fldCharType="end"/>
      </w:r>
    </w:p>
    <w:p w:rsidR="002E0E9F" w:rsidRDefault="002E0E9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_Toc426028033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5119"/>
      <w:bookmarkStart w:id="6" w:name="_Toc426028021"/>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773601" w:rsidRPr="002E0E9F">
        <w:rPr>
          <w:i/>
        </w:rPr>
        <w:t>fracture</w:t>
      </w:r>
      <w:bookmarkEnd w:id="8"/>
      <w:r w:rsidR="008E4A16">
        <w:rPr>
          <w:b/>
        </w:rPr>
        <w:t xml:space="preserve"> </w:t>
      </w:r>
      <w:r w:rsidR="002E0E9F" w:rsidRPr="00E93D9B">
        <w:rPr>
          <w:i/>
        </w:rPr>
        <w:t>(Reasonable Hypothesis)</w:t>
      </w:r>
      <w:r w:rsidR="002E0E9F" w:rsidRPr="00F97A62">
        <w:t xml:space="preserve"> </w:t>
      </w:r>
      <w:r w:rsidR="00E55F66" w:rsidRPr="00F97A62">
        <w:t xml:space="preserve">(No. </w:t>
      </w:r>
      <w:r w:rsidR="002E0E9F">
        <w:t>94</w:t>
      </w:r>
      <w:r w:rsidR="00085567">
        <w:t xml:space="preserve"> </w:t>
      </w:r>
      <w:r w:rsidR="00E55F66" w:rsidRPr="00F97A62">
        <w:t>of</w:t>
      </w:r>
      <w:r w:rsidR="00085567">
        <w:t xml:space="preserve"> </w:t>
      </w:r>
      <w:fldSimple w:instr=" REF year \* Charformat \* MERGEFORMAT ">
        <w:r w:rsidR="002E0E9F">
          <w:t>2015</w:t>
        </w:r>
      </w:fldSimple>
      <w:r w:rsidR="00E55F66" w:rsidRPr="00F97A62">
        <w:t>)</w:t>
      </w:r>
      <w:r w:rsidRPr="00F97A62">
        <w:t>.</w:t>
      </w:r>
    </w:p>
    <w:p w:rsidR="00F67B67" w:rsidRPr="00684C0E" w:rsidRDefault="00F67B67" w:rsidP="00C96667">
      <w:pPr>
        <w:pStyle w:val="LV1"/>
      </w:pPr>
      <w:bookmarkStart w:id="9" w:name="_Toc418945120"/>
      <w:bookmarkStart w:id="10" w:name="_Toc426028022"/>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F1125F">
        <w:rPr>
          <w:b/>
        </w:rPr>
        <w:t>21 September 2015</w:t>
      </w:r>
      <w:r w:rsidR="00F67B67" w:rsidRPr="007527C1">
        <w:t>.</w:t>
      </w:r>
    </w:p>
    <w:p w:rsidR="00F67B67" w:rsidRPr="00684C0E" w:rsidRDefault="00F67B67" w:rsidP="00C96667">
      <w:pPr>
        <w:pStyle w:val="LV1"/>
      </w:pPr>
      <w:bookmarkStart w:id="11" w:name="_Toc418945121"/>
      <w:bookmarkStart w:id="12" w:name="_Toc426028023"/>
      <w:r w:rsidRPr="00684C0E">
        <w:t>Authority</w:t>
      </w:r>
      <w:bookmarkEnd w:id="11"/>
      <w:bookmarkEnd w:id="12"/>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247C85" w:rsidRDefault="00247C85" w:rsidP="00247C85">
      <w:pPr>
        <w:pStyle w:val="LV1"/>
      </w:pPr>
      <w:bookmarkStart w:id="13" w:name="_Toc418945123"/>
      <w:bookmarkStart w:id="14" w:name="_Toc426028024"/>
      <w:bookmarkStart w:id="15" w:name="_Toc418945122"/>
      <w:r>
        <w:t>Revocation</w:t>
      </w:r>
      <w:bookmarkEnd w:id="13"/>
      <w:bookmarkEnd w:id="14"/>
    </w:p>
    <w:p w:rsidR="00247C85" w:rsidRPr="007527C1" w:rsidRDefault="00247C85" w:rsidP="00247C85">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2E0E9F" w:rsidRPr="002E0E9F">
        <w:t>fracture</w:t>
      </w:r>
      <w:r>
        <w:fldChar w:fldCharType="end"/>
      </w:r>
      <w:r>
        <w:t xml:space="preserve"> No. 53 of 2006 made under subsection 196B(2</w:t>
      </w:r>
      <w:r w:rsidRPr="000B755A">
        <w:t xml:space="preserve">) of the </w:t>
      </w:r>
      <w:r w:rsidRPr="00A545B3">
        <w:t>VEA</w:t>
      </w:r>
      <w:r w:rsidRPr="000B755A">
        <w:t xml:space="preserve"> is revoked.</w:t>
      </w:r>
    </w:p>
    <w:p w:rsidR="007C7DEE" w:rsidRPr="00684C0E" w:rsidRDefault="007C7DEE" w:rsidP="00C96667">
      <w:pPr>
        <w:pStyle w:val="LV1"/>
      </w:pPr>
      <w:bookmarkStart w:id="16" w:name="_Toc426028025"/>
      <w:r w:rsidRPr="00684C0E">
        <w:t>Application</w:t>
      </w:r>
      <w:bookmarkEnd w:id="15"/>
      <w:bookmarkEnd w:id="16"/>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5124"/>
      <w:bookmarkStart w:id="19" w:name="_Toc426028026"/>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5125"/>
      <w:bookmarkStart w:id="24" w:name="_Toc426028027"/>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2E0E9F" w:rsidRPr="002E0E9F">
        <w:t>fracture</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2E0E9F" w:rsidRPr="002E0E9F">
        <w:rPr>
          <w:b/>
          <w:i/>
        </w:rPr>
        <w:t>fracture</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002716E4" w:rsidRPr="00237BAF">
        <w:t>:</w:t>
      </w:r>
      <w:bookmarkEnd w:id="26"/>
    </w:p>
    <w:p w:rsidR="002716E4" w:rsidRPr="008E76DC" w:rsidRDefault="007C7DEE" w:rsidP="00B065E5">
      <w:pPr>
        <w:pStyle w:val="LV3"/>
      </w:pPr>
      <w:r w:rsidRPr="008E76DC">
        <w:t xml:space="preserve">means </w:t>
      </w:r>
      <w:r w:rsidR="00B065E5" w:rsidRPr="00B065E5">
        <w:t>an acquired break or rupture of bone</w:t>
      </w:r>
      <w:r w:rsidR="002716E4" w:rsidRPr="008E76DC">
        <w:t>; and</w:t>
      </w:r>
    </w:p>
    <w:p w:rsidR="000F76FA" w:rsidRDefault="007534B2" w:rsidP="00B065E5">
      <w:pPr>
        <w:pStyle w:val="LV3"/>
      </w:pPr>
      <w:r w:rsidRPr="008E76DC">
        <w:t xml:space="preserve">excludes </w:t>
      </w:r>
      <w:r w:rsidR="00B065E5" w:rsidRPr="00B065E5">
        <w:t>spondylolysis</w:t>
      </w:r>
      <w:r w:rsidR="007C7DEE" w:rsidRPr="008E76DC">
        <w:t>.</w:t>
      </w:r>
      <w:bookmarkEnd w:id="27"/>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2E0E9F" w:rsidRPr="002E0E9F">
        <w:rPr>
          <w:b/>
          <w:i/>
        </w:rPr>
        <w:t>fracture</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E0026">
        <w:t>–</w:t>
      </w:r>
      <w:r w:rsidR="00D32F71">
        <w:t xml:space="preserve"> </w:t>
      </w:r>
      <w:r w:rsidR="00885EAB" w:rsidRPr="00046E67">
        <w:t>Dictionary</w:t>
      </w:r>
      <w:r w:rsidR="00776551">
        <w:t>.</w:t>
      </w:r>
    </w:p>
    <w:p w:rsidR="00775F47" w:rsidRDefault="00775F47">
      <w:pPr>
        <w:spacing w:line="240" w:lineRule="auto"/>
        <w:rPr>
          <w:b/>
          <w:sz w:val="24"/>
          <w:szCs w:val="24"/>
        </w:rPr>
      </w:pPr>
      <w:bookmarkStart w:id="28" w:name="_Toc418945126"/>
      <w:bookmarkStart w:id="29" w:name="_Toc426028028"/>
      <w:r>
        <w:br w:type="page"/>
      </w:r>
    </w:p>
    <w:p w:rsidR="007C7DEE" w:rsidRPr="00A20CA1" w:rsidRDefault="007C7DEE" w:rsidP="00C96667">
      <w:pPr>
        <w:pStyle w:val="LV1"/>
      </w:pPr>
      <w:r w:rsidRPr="00A20CA1">
        <w:lastRenderedPageBreak/>
        <w:t>Basis for determining the factors</w:t>
      </w:r>
      <w:bookmarkEnd w:id="28"/>
      <w:bookmarkEnd w:id="29"/>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5127"/>
      <w:bookmarkStart w:id="34" w:name="_Toc426028029"/>
      <w:r w:rsidRPr="00301C54">
        <w:t xml:space="preserve">Factors that must </w:t>
      </w:r>
      <w:r w:rsidR="00D32F71">
        <w:t>exist</w:t>
      </w:r>
      <w:bookmarkEnd w:id="30"/>
      <w:bookmarkEnd w:id="31"/>
      <w:bookmarkEnd w:id="32"/>
      <w:bookmarkEnd w:id="33"/>
      <w:bookmarkEnd w:id="34"/>
    </w:p>
    <w:p w:rsidR="007C7DEE" w:rsidRPr="00AA6D8B" w:rsidRDefault="00D33883" w:rsidP="006647B7">
      <w:pPr>
        <w:pStyle w:val="PlainIndent"/>
      </w:pPr>
      <w:bookmarkStart w:id="35"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35"/>
    </w:p>
    <w:p w:rsidR="00B065E5" w:rsidRDefault="00B065E5" w:rsidP="00B065E5">
      <w:pPr>
        <w:pStyle w:val="LV2"/>
      </w:pPr>
      <w:r w:rsidRPr="00B065E5">
        <w:t>having physical trauma to the affected bone at the time of the clinical onset of fracture;</w:t>
      </w:r>
    </w:p>
    <w:p w:rsidR="007C7DEE" w:rsidRDefault="00B065E5" w:rsidP="00B065E5">
      <w:pPr>
        <w:pStyle w:val="LV2"/>
      </w:pPr>
      <w:r w:rsidRPr="00B065E5">
        <w:t>for stress fracture only, having repetitive loading stress to the affected region of the body at the time of the clinical onset of fracture;</w:t>
      </w:r>
    </w:p>
    <w:p w:rsidR="008A4C04" w:rsidRDefault="008A4C04" w:rsidP="008A4C04">
      <w:pPr>
        <w:pStyle w:val="NOTE"/>
      </w:pPr>
      <w:r w:rsidRPr="00815C04">
        <w:t xml:space="preserve">Note: </w:t>
      </w:r>
      <w:r w:rsidRPr="008A4C04">
        <w:rPr>
          <w:b/>
          <w:i/>
        </w:rPr>
        <w:t>repetitive loading stress</w:t>
      </w:r>
      <w:r w:rsidRPr="00815C04">
        <w:t xml:space="preserve"> is defined in the Schedule 1 - Dictionary.</w:t>
      </w:r>
    </w:p>
    <w:p w:rsidR="00735DA0" w:rsidRDefault="00735DA0" w:rsidP="00735DA0">
      <w:pPr>
        <w:pStyle w:val="LV2"/>
      </w:pPr>
      <w:r w:rsidRPr="00735DA0">
        <w:t>for stress fracture of the lower limb only, having a significant biomechanical abnormality affecting the lower limb at the time of the clinical onset of fracture;</w:t>
      </w:r>
    </w:p>
    <w:p w:rsidR="00A05EC2" w:rsidRDefault="00A05EC2" w:rsidP="00A05EC2">
      <w:pPr>
        <w:pStyle w:val="NOTE"/>
      </w:pPr>
      <w:r w:rsidRPr="00815C04">
        <w:t xml:space="preserve">Note: </w:t>
      </w:r>
      <w:r>
        <w:rPr>
          <w:b/>
          <w:i/>
        </w:rPr>
        <w:t>significant biomechanical abnormality</w:t>
      </w:r>
      <w:r w:rsidRPr="00815C04">
        <w:t xml:space="preserve"> is defined </w:t>
      </w:r>
      <w:r w:rsidR="008A4C04">
        <w:t>in the Schedule 1 - Dictionary.</w:t>
      </w:r>
    </w:p>
    <w:p w:rsidR="00B065E5" w:rsidRPr="00815C04" w:rsidRDefault="00B065E5" w:rsidP="00B065E5">
      <w:pPr>
        <w:pStyle w:val="LV2"/>
      </w:pPr>
      <w:r w:rsidRPr="00815C04">
        <w:t>having Paget</w:t>
      </w:r>
      <w:r w:rsidR="00BA3492">
        <w:t>'</w:t>
      </w:r>
      <w:r w:rsidRPr="00815C04">
        <w:t>s disease of bone involving the affected region of bone at the time of the clinical onset of fracture;</w:t>
      </w:r>
    </w:p>
    <w:p w:rsidR="00B065E5" w:rsidRPr="00815C04" w:rsidRDefault="00B065E5" w:rsidP="00B065E5">
      <w:pPr>
        <w:pStyle w:val="LV2"/>
      </w:pPr>
      <w:r w:rsidRPr="00815C04">
        <w:t>having osteoporosis involving the affected region of bone at the time of the clinical onset of fracture;</w:t>
      </w:r>
    </w:p>
    <w:p w:rsidR="00B065E5" w:rsidRPr="00815C04" w:rsidRDefault="00B065E5" w:rsidP="00B065E5">
      <w:pPr>
        <w:pStyle w:val="LV2"/>
      </w:pPr>
      <w:r w:rsidRPr="00815C04">
        <w:t>having osteomalacia involving the affected region of bone at the time of the clinical onset of fracture;</w:t>
      </w:r>
    </w:p>
    <w:p w:rsidR="00885EAB" w:rsidRPr="00815C04" w:rsidRDefault="00046E67" w:rsidP="002717B2">
      <w:pPr>
        <w:pStyle w:val="NOTE"/>
      </w:pPr>
      <w:r w:rsidRPr="00815C04">
        <w:t xml:space="preserve">Note: </w:t>
      </w:r>
      <w:r w:rsidR="00B065E5" w:rsidRPr="00815C04">
        <w:rPr>
          <w:b/>
          <w:i/>
        </w:rPr>
        <w:t>osteomalacia</w:t>
      </w:r>
      <w:r w:rsidR="00885EAB" w:rsidRPr="00815C04">
        <w:t xml:space="preserve"> is defined in the </w:t>
      </w:r>
      <w:r w:rsidR="00FA0587" w:rsidRPr="00815C04">
        <w:t xml:space="preserve">Schedule 1 - </w:t>
      </w:r>
      <w:r w:rsidR="00885EAB" w:rsidRPr="00815C04">
        <w:t>Dictionary.</w:t>
      </w:r>
      <w:r w:rsidR="002716E4" w:rsidRPr="00815C04">
        <w:tab/>
      </w:r>
      <w:r w:rsidR="00EB2BC4" w:rsidRPr="00815C04">
        <w:t xml:space="preserve"> </w:t>
      </w:r>
    </w:p>
    <w:p w:rsidR="00B065E5" w:rsidRPr="00815C04" w:rsidRDefault="00B065E5" w:rsidP="00B065E5">
      <w:pPr>
        <w:pStyle w:val="LV2"/>
      </w:pPr>
      <w:r w:rsidRPr="00815C04">
        <w:t>having osteonecrosis involving the affected region of bone at the time of the clinical onset of fracture;</w:t>
      </w:r>
    </w:p>
    <w:p w:rsidR="007C7DEE" w:rsidRPr="00815C04" w:rsidRDefault="00B065E5" w:rsidP="00B065E5">
      <w:pPr>
        <w:pStyle w:val="NOTE"/>
      </w:pPr>
      <w:r w:rsidRPr="00815C04">
        <w:t xml:space="preserve">Note: </w:t>
      </w:r>
      <w:r w:rsidRPr="00815C04">
        <w:rPr>
          <w:b/>
          <w:i/>
        </w:rPr>
        <w:t>osteonecrosis</w:t>
      </w:r>
      <w:r w:rsidRPr="00815C04">
        <w:t xml:space="preserve"> is defined in the Schedule 1 - Dictionary.</w:t>
      </w:r>
    </w:p>
    <w:p w:rsidR="00B065E5" w:rsidRPr="00815C04" w:rsidRDefault="00B065E5" w:rsidP="00B065E5">
      <w:pPr>
        <w:pStyle w:val="LV2"/>
      </w:pPr>
      <w:r w:rsidRPr="00815C04">
        <w:t>having osteomyelitis involving the affected region of bone at the time of the clinical onset of fracture;</w:t>
      </w:r>
    </w:p>
    <w:p w:rsidR="00B065E5" w:rsidRPr="00815C04" w:rsidRDefault="00B065E5" w:rsidP="00B065E5">
      <w:pPr>
        <w:pStyle w:val="LV2"/>
      </w:pPr>
      <w:r w:rsidRPr="00815C04">
        <w:rPr>
          <w:lang w:val="en-US"/>
        </w:rPr>
        <w:t>having a malignant neoplasm involving the affected region of bone at the time of the clinical onset of fracture;</w:t>
      </w:r>
    </w:p>
    <w:p w:rsidR="00B065E5" w:rsidRPr="00815C04" w:rsidRDefault="00B065E5" w:rsidP="00B065E5">
      <w:pPr>
        <w:pStyle w:val="LV2"/>
      </w:pPr>
      <w:r w:rsidRPr="00815C04">
        <w:t>having a benign neoplasm involving the affected region of bone at the time of the clinical onset of fracture;</w:t>
      </w:r>
    </w:p>
    <w:p w:rsidR="00B065E5" w:rsidRPr="00815C04" w:rsidRDefault="00B065E5" w:rsidP="00B065E5">
      <w:pPr>
        <w:pStyle w:val="LV2"/>
      </w:pPr>
      <w:r w:rsidRPr="00815C04">
        <w:rPr>
          <w:lang w:val="en-US"/>
        </w:rPr>
        <w:lastRenderedPageBreak/>
        <w:t xml:space="preserve">having </w:t>
      </w:r>
      <w:r w:rsidRPr="00815C04">
        <w:t xml:space="preserve">osteogenesis imperfecta </w:t>
      </w:r>
      <w:r w:rsidRPr="00815C04">
        <w:rPr>
          <w:lang w:val="en-US"/>
        </w:rPr>
        <w:t>at the time of</w:t>
      </w:r>
      <w:r w:rsidRPr="00815C04">
        <w:rPr>
          <w:b/>
          <w:lang w:val="en-US"/>
        </w:rPr>
        <w:t xml:space="preserve"> </w:t>
      </w:r>
      <w:r w:rsidRPr="00815C04">
        <w:rPr>
          <w:lang w:val="en-US"/>
        </w:rPr>
        <w:t>the clinical onset of fracture</w:t>
      </w:r>
      <w:r w:rsidRPr="00815C04">
        <w:t>;</w:t>
      </w:r>
    </w:p>
    <w:p w:rsidR="00B065E5" w:rsidRPr="00815C04" w:rsidRDefault="007743DB" w:rsidP="00E027E3">
      <w:pPr>
        <w:pStyle w:val="LV2"/>
        <w:keepNext/>
      </w:pPr>
      <w:r w:rsidRPr="00815C04">
        <w:rPr>
          <w:lang w:val="en-US"/>
        </w:rPr>
        <w:t>for minimal trauma fracture only:</w:t>
      </w:r>
    </w:p>
    <w:p w:rsidR="00E027E3" w:rsidRPr="00E027E3" w:rsidRDefault="00E027E3" w:rsidP="00E027E3">
      <w:pPr>
        <w:pStyle w:val="LV3"/>
      </w:pPr>
      <w:r w:rsidRPr="00E027E3">
        <w:t>smoking at least 20 pack-years of cigarettes, or the equivalent thereof in other tobacco products, before the clinical onset of fracture, and where smoking has ceased, the clinical onset of fracture has occurred within ten years of cessation;</w:t>
      </w:r>
    </w:p>
    <w:p w:rsidR="00E027E3" w:rsidRPr="00E027E3" w:rsidRDefault="00E027E3" w:rsidP="00E027E3">
      <w:pPr>
        <w:pStyle w:val="LV3"/>
      </w:pPr>
      <w:r w:rsidRPr="00E027E3">
        <w:t>drinking at least 55 kilograms of alcohol within the five years before the clinical onset of fracture;</w:t>
      </w:r>
    </w:p>
    <w:p w:rsidR="007C7DEE" w:rsidRPr="00815C04" w:rsidRDefault="007743DB" w:rsidP="007743DB">
      <w:pPr>
        <w:pStyle w:val="LV3"/>
      </w:pPr>
      <w:r w:rsidRPr="00815C04">
        <w:t>having diabetes mellitus at the time of the clinical onset of fracture;</w:t>
      </w:r>
      <w:r w:rsidR="00CF2367" w:rsidRPr="00815C04">
        <w:t xml:space="preserve"> </w:t>
      </w:r>
    </w:p>
    <w:p w:rsidR="007743DB" w:rsidRPr="00815C04" w:rsidRDefault="007743DB" w:rsidP="007743DB">
      <w:pPr>
        <w:pStyle w:val="LV3"/>
      </w:pPr>
      <w:r w:rsidRPr="00815C04">
        <w:rPr>
          <w:lang w:val="en-US"/>
        </w:rPr>
        <w:t xml:space="preserve">being infected with </w:t>
      </w:r>
      <w:r w:rsidRPr="00815C04">
        <w:rPr>
          <w:lang w:val="en-GB" w:eastAsia="en-US"/>
        </w:rPr>
        <w:t>human immunodeficiency virus</w:t>
      </w:r>
      <w:r w:rsidRPr="00815C04">
        <w:rPr>
          <w:lang w:val="en-US"/>
        </w:rPr>
        <w:t xml:space="preserve"> at the time of the clinical onset of fracture;</w:t>
      </w:r>
    </w:p>
    <w:p w:rsidR="007743DB" w:rsidRPr="00815C04" w:rsidRDefault="007743DB" w:rsidP="006647B7">
      <w:pPr>
        <w:pStyle w:val="LV3"/>
      </w:pPr>
      <w:r w:rsidRPr="00815C04">
        <w:rPr>
          <w:lang w:val="en-US"/>
        </w:rPr>
        <w:t>being treated with a glucocorticoid drug</w:t>
      </w:r>
      <w:r w:rsidR="00775F47">
        <w:rPr>
          <w:lang w:val="en-US"/>
        </w:rPr>
        <w:t xml:space="preserve"> as specified </w:t>
      </w:r>
      <w:r w:rsidRPr="00815C04">
        <w:rPr>
          <w:lang w:val="en-US"/>
        </w:rPr>
        <w:t>before the clinical onset of fracture;</w:t>
      </w:r>
    </w:p>
    <w:p w:rsidR="007743DB" w:rsidRPr="00815C04" w:rsidRDefault="00735DA0" w:rsidP="00735DA0">
      <w:pPr>
        <w:pStyle w:val="LV3"/>
      </w:pPr>
      <w:r w:rsidRPr="00815C04">
        <w:t>having rheumatoid arthritis at the time of the clinical onset of fracture;</w:t>
      </w:r>
    </w:p>
    <w:p w:rsidR="00B753CD" w:rsidRPr="00815C04" w:rsidRDefault="00B753CD" w:rsidP="00B753CD">
      <w:pPr>
        <w:pStyle w:val="LV3"/>
      </w:pPr>
      <w:r w:rsidRPr="00815C04">
        <w:rPr>
          <w:lang w:val="en-US"/>
        </w:rPr>
        <w:t>being treated with an aromatase inhibitor before the clinical onset of fracture;</w:t>
      </w:r>
    </w:p>
    <w:p w:rsidR="00B753CD" w:rsidRPr="00815C04" w:rsidRDefault="00B753CD" w:rsidP="00B753CD">
      <w:pPr>
        <w:pStyle w:val="LV3"/>
      </w:pPr>
      <w:r w:rsidRPr="00815C04">
        <w:t>being treated with a proton pump inhibitor for at least six months, within the three years before the clinical onset of fracture; or</w:t>
      </w:r>
      <w:r w:rsidRPr="00815C04">
        <w:rPr>
          <w:lang w:val="en-US"/>
        </w:rPr>
        <w:t xml:space="preserve"> </w:t>
      </w:r>
    </w:p>
    <w:p w:rsidR="00B753CD" w:rsidRPr="00815C04" w:rsidRDefault="00B753CD" w:rsidP="00B753CD">
      <w:pPr>
        <w:pStyle w:val="LV3"/>
      </w:pPr>
      <w:r w:rsidRPr="00815C04">
        <w:rPr>
          <w:lang w:val="en-US"/>
        </w:rPr>
        <w:t>having chronic infection with the hepatitis C virus at the time of the clinical onset of fracture;</w:t>
      </w:r>
    </w:p>
    <w:p w:rsidR="00885EAB" w:rsidRPr="00815C04" w:rsidRDefault="00046E67" w:rsidP="00046E67">
      <w:pPr>
        <w:pStyle w:val="NOTE"/>
      </w:pPr>
      <w:r w:rsidRPr="00815C04">
        <w:t xml:space="preserve">Note: </w:t>
      </w:r>
      <w:r w:rsidR="00E027E3" w:rsidRPr="00815C04">
        <w:rPr>
          <w:b/>
          <w:i/>
        </w:rPr>
        <w:t>alcohol</w:t>
      </w:r>
      <w:r w:rsidR="00E027E3">
        <w:t xml:space="preserve">, </w:t>
      </w:r>
      <w:r w:rsidR="007743DB" w:rsidRPr="00815C04">
        <w:rPr>
          <w:b/>
          <w:i/>
        </w:rPr>
        <w:t>chronic infection with the hepatitis C virus</w:t>
      </w:r>
      <w:r w:rsidR="007743DB" w:rsidRPr="00815C04">
        <w:t xml:space="preserve">, </w:t>
      </w:r>
      <w:r w:rsidR="00775F47" w:rsidRPr="00C74B07">
        <w:rPr>
          <w:b/>
          <w:i/>
          <w:szCs w:val="24"/>
          <w:lang w:val="en-US"/>
        </w:rPr>
        <w:t>glucocorticoid drug</w:t>
      </w:r>
      <w:r w:rsidR="00775F47">
        <w:rPr>
          <w:b/>
          <w:i/>
          <w:szCs w:val="24"/>
          <w:lang w:val="en-US"/>
        </w:rPr>
        <w:t xml:space="preserve"> as specified</w:t>
      </w:r>
      <w:r w:rsidR="00775F47">
        <w:rPr>
          <w:szCs w:val="24"/>
          <w:lang w:val="en-US"/>
        </w:rPr>
        <w:t>,</w:t>
      </w:r>
      <w:r w:rsidR="00775F47" w:rsidRPr="00815C04">
        <w:t xml:space="preserve"> </w:t>
      </w:r>
      <w:r w:rsidR="00546115" w:rsidRPr="00815C04">
        <w:rPr>
          <w:b/>
          <w:i/>
        </w:rPr>
        <w:t>minimal trauma fracture</w:t>
      </w:r>
      <w:r w:rsidR="00775F47">
        <w:rPr>
          <w:b/>
          <w:i/>
        </w:rPr>
        <w:t xml:space="preserve"> </w:t>
      </w:r>
      <w:r w:rsidR="00775F47">
        <w:t>and</w:t>
      </w:r>
      <w:r w:rsidR="00E027E3">
        <w:t xml:space="preserve"> </w:t>
      </w:r>
      <w:r w:rsidR="00E027E3" w:rsidRPr="00815C04">
        <w:rPr>
          <w:b/>
          <w:i/>
        </w:rPr>
        <w:t>pack-years of cigarettes, or the equivalent thereof in other tobacco products</w:t>
      </w:r>
      <w:r w:rsidR="00546115" w:rsidRPr="00815C04">
        <w:rPr>
          <w:szCs w:val="24"/>
          <w:lang w:val="en-US"/>
        </w:rPr>
        <w:t xml:space="preserve"> </w:t>
      </w:r>
      <w:r w:rsidR="00F115CB" w:rsidRPr="00815C04">
        <w:rPr>
          <w:szCs w:val="24"/>
          <w:lang w:val="en-US"/>
        </w:rPr>
        <w:t>a</w:t>
      </w:r>
      <w:r w:rsidR="008C6A80">
        <w:rPr>
          <w:szCs w:val="24"/>
          <w:lang w:val="en-US"/>
        </w:rPr>
        <w:t>re</w:t>
      </w:r>
      <w:r w:rsidR="00F115CB" w:rsidRPr="00815C04">
        <w:rPr>
          <w:szCs w:val="24"/>
          <w:lang w:val="en-US"/>
        </w:rPr>
        <w:t xml:space="preserve"> </w:t>
      </w:r>
      <w:r w:rsidR="00885EAB" w:rsidRPr="00815C04">
        <w:t xml:space="preserve">defined in the </w:t>
      </w:r>
      <w:r w:rsidR="00FA0587" w:rsidRPr="00815C04">
        <w:t xml:space="preserve">Schedule 1 - </w:t>
      </w:r>
      <w:r w:rsidR="00885EAB" w:rsidRPr="00815C04">
        <w:t>Dictionary.</w:t>
      </w:r>
      <w:r w:rsidR="002716E4" w:rsidRPr="00815C04">
        <w:tab/>
      </w:r>
      <w:bookmarkStart w:id="36" w:name="_Ref402530260"/>
    </w:p>
    <w:p w:rsidR="00B753CD" w:rsidRPr="00815C04" w:rsidRDefault="00B753CD" w:rsidP="00B753CD">
      <w:pPr>
        <w:pStyle w:val="LV2"/>
      </w:pPr>
      <w:bookmarkStart w:id="37" w:name="_Ref409598844"/>
      <w:r w:rsidRPr="00815C04">
        <w:t>having physical trauma to the affected bone at the time of the clinical worsening of fracture;</w:t>
      </w:r>
    </w:p>
    <w:p w:rsidR="00B753CD" w:rsidRDefault="00B753CD" w:rsidP="00B753CD">
      <w:pPr>
        <w:pStyle w:val="LV2"/>
      </w:pPr>
      <w:r w:rsidRPr="00815C04">
        <w:t>for stress fracture only, having repetitive loading stress to the affected region of the body at the time of the clinical worsening of fracture;</w:t>
      </w:r>
    </w:p>
    <w:p w:rsidR="008A4C04" w:rsidRPr="00815C04" w:rsidRDefault="008A4C04" w:rsidP="008A4C04">
      <w:pPr>
        <w:pStyle w:val="NOTE"/>
      </w:pPr>
      <w:r w:rsidRPr="00815C04">
        <w:t xml:space="preserve">Note: </w:t>
      </w:r>
      <w:r w:rsidRPr="008A4C04">
        <w:rPr>
          <w:b/>
          <w:i/>
        </w:rPr>
        <w:t>repetitive loading stress</w:t>
      </w:r>
      <w:r w:rsidRPr="00815C04">
        <w:t xml:space="preserve"> is defined in the Schedule 1 - Dictionary.</w:t>
      </w:r>
    </w:p>
    <w:p w:rsidR="00B753CD" w:rsidRPr="00815C04" w:rsidRDefault="00B753CD" w:rsidP="00B753CD">
      <w:pPr>
        <w:pStyle w:val="LV2"/>
      </w:pPr>
      <w:r w:rsidRPr="00815C04">
        <w:t>having osteonecrosis involving the affected region of bone at the time of the clinical worsening of fracture;</w:t>
      </w:r>
    </w:p>
    <w:p w:rsidR="00B753CD" w:rsidRPr="00815C04" w:rsidRDefault="00B753CD" w:rsidP="00B753CD">
      <w:pPr>
        <w:pStyle w:val="NOTE"/>
      </w:pPr>
      <w:r w:rsidRPr="00815C04">
        <w:t xml:space="preserve">Note: </w:t>
      </w:r>
      <w:r w:rsidRPr="00815C04">
        <w:rPr>
          <w:b/>
          <w:i/>
        </w:rPr>
        <w:t>osteonecrosis</w:t>
      </w:r>
      <w:r w:rsidRPr="00815C04">
        <w:t xml:space="preserve"> is defined in the Schedule 1 - Dictionary.</w:t>
      </w:r>
    </w:p>
    <w:p w:rsidR="00B753CD" w:rsidRPr="00815C04" w:rsidRDefault="00B753CD" w:rsidP="00B753CD">
      <w:pPr>
        <w:pStyle w:val="LV2"/>
      </w:pPr>
      <w:r w:rsidRPr="00815C04">
        <w:t>having osteomyelitis involving the affected region of bone at the time of the clinical worsening of fracture;</w:t>
      </w:r>
    </w:p>
    <w:p w:rsidR="00B753CD" w:rsidRPr="00815C04" w:rsidRDefault="00B753CD" w:rsidP="00B753CD">
      <w:pPr>
        <w:pStyle w:val="LV2"/>
      </w:pPr>
      <w:r w:rsidRPr="00815C04">
        <w:rPr>
          <w:lang w:val="en-US"/>
        </w:rPr>
        <w:t xml:space="preserve">having </w:t>
      </w:r>
      <w:r w:rsidRPr="00815C04">
        <w:t xml:space="preserve">osteogenesis imperfecta </w:t>
      </w:r>
      <w:r w:rsidRPr="00815C04">
        <w:rPr>
          <w:lang w:val="en-US"/>
        </w:rPr>
        <w:t>at the time of</w:t>
      </w:r>
      <w:r w:rsidRPr="00815C04">
        <w:rPr>
          <w:b/>
          <w:lang w:val="en-US"/>
        </w:rPr>
        <w:t xml:space="preserve"> </w:t>
      </w:r>
      <w:r w:rsidRPr="00815C04">
        <w:rPr>
          <w:lang w:val="en-US"/>
        </w:rPr>
        <w:t>the clinical worsening of fracture</w:t>
      </w:r>
      <w:r w:rsidRPr="00815C04">
        <w:t>;</w:t>
      </w:r>
    </w:p>
    <w:p w:rsidR="00B753CD" w:rsidRPr="00815C04" w:rsidRDefault="00B753CD" w:rsidP="00815C04">
      <w:pPr>
        <w:pStyle w:val="LV2"/>
        <w:rPr>
          <w:lang w:val="en-US"/>
        </w:rPr>
      </w:pPr>
      <w:r w:rsidRPr="00815C04">
        <w:rPr>
          <w:lang w:val="en-US"/>
        </w:rPr>
        <w:t xml:space="preserve">having diabetes mellitus at the time of the clinical </w:t>
      </w:r>
      <w:r w:rsidR="00815C04" w:rsidRPr="00815C04">
        <w:rPr>
          <w:lang w:val="en-US"/>
        </w:rPr>
        <w:t>worsening</w:t>
      </w:r>
      <w:r w:rsidRPr="00815C04">
        <w:rPr>
          <w:lang w:val="en-US"/>
        </w:rPr>
        <w:t xml:space="preserve"> of fracture; </w:t>
      </w:r>
    </w:p>
    <w:p w:rsidR="00B753CD" w:rsidRPr="00815C04" w:rsidRDefault="00B753CD" w:rsidP="00815C04">
      <w:pPr>
        <w:pStyle w:val="LV2"/>
        <w:rPr>
          <w:lang w:val="en-US"/>
        </w:rPr>
      </w:pPr>
      <w:r w:rsidRPr="00815C04">
        <w:rPr>
          <w:lang w:val="en-US"/>
        </w:rPr>
        <w:lastRenderedPageBreak/>
        <w:t xml:space="preserve">being infected with human immunodeficiency virus at the time of the clinical </w:t>
      </w:r>
      <w:r w:rsidR="00815C04" w:rsidRPr="00815C04">
        <w:rPr>
          <w:lang w:val="en-US"/>
        </w:rPr>
        <w:t>worsening</w:t>
      </w:r>
      <w:r w:rsidRPr="00815C04">
        <w:rPr>
          <w:lang w:val="en-US"/>
        </w:rPr>
        <w:t xml:space="preserve"> of fracture;</w:t>
      </w:r>
    </w:p>
    <w:p w:rsidR="00B753CD" w:rsidRPr="00815C04" w:rsidRDefault="00B753CD" w:rsidP="00815C04">
      <w:pPr>
        <w:pStyle w:val="LV2"/>
        <w:rPr>
          <w:lang w:val="en-US"/>
        </w:rPr>
      </w:pPr>
      <w:r w:rsidRPr="00815C04">
        <w:rPr>
          <w:lang w:val="en-US"/>
        </w:rPr>
        <w:t>being treated with a glucocorticoid drug</w:t>
      </w:r>
      <w:r w:rsidR="00775F47">
        <w:rPr>
          <w:lang w:val="en-US"/>
        </w:rPr>
        <w:t xml:space="preserve"> as specified</w:t>
      </w:r>
      <w:r w:rsidRPr="00815C04">
        <w:rPr>
          <w:lang w:val="en-US"/>
        </w:rPr>
        <w:t xml:space="preserve"> before the clinical </w:t>
      </w:r>
      <w:r w:rsidR="00815C04" w:rsidRPr="00815C04">
        <w:rPr>
          <w:lang w:val="en-US"/>
        </w:rPr>
        <w:t>worsening</w:t>
      </w:r>
      <w:r w:rsidRPr="00815C04">
        <w:rPr>
          <w:lang w:val="en-US"/>
        </w:rPr>
        <w:t xml:space="preserve"> of fracture;</w:t>
      </w:r>
    </w:p>
    <w:p w:rsidR="00815C04" w:rsidRPr="00815C04" w:rsidRDefault="00815C04" w:rsidP="00815C04">
      <w:pPr>
        <w:pStyle w:val="NOTE"/>
        <w:rPr>
          <w:lang w:val="en-US"/>
        </w:rPr>
      </w:pPr>
      <w:r w:rsidRPr="00815C04">
        <w:t xml:space="preserve">Note: </w:t>
      </w:r>
      <w:r w:rsidR="00C74B07" w:rsidRPr="00C74B07">
        <w:rPr>
          <w:b/>
          <w:i/>
          <w:szCs w:val="24"/>
          <w:lang w:val="en-US"/>
        </w:rPr>
        <w:t>glucocorticoid drug</w:t>
      </w:r>
      <w:r w:rsidR="00775F47">
        <w:rPr>
          <w:b/>
          <w:i/>
          <w:szCs w:val="24"/>
          <w:lang w:val="en-US"/>
        </w:rPr>
        <w:t xml:space="preserve"> as specified</w:t>
      </w:r>
      <w:r w:rsidRPr="00815C04">
        <w:t xml:space="preserve"> is defined in the Schedule 1 - Dictionary.</w:t>
      </w:r>
    </w:p>
    <w:p w:rsidR="00B753CD" w:rsidRPr="00815C04" w:rsidRDefault="00B753CD" w:rsidP="00815C04">
      <w:pPr>
        <w:pStyle w:val="LV2"/>
        <w:rPr>
          <w:lang w:val="en-US"/>
        </w:rPr>
      </w:pPr>
      <w:r w:rsidRPr="00815C04">
        <w:rPr>
          <w:lang w:val="en-US"/>
        </w:rPr>
        <w:t xml:space="preserve">having rheumatoid arthritis at the time of the clinical </w:t>
      </w:r>
      <w:r w:rsidR="00815C04" w:rsidRPr="00815C04">
        <w:rPr>
          <w:lang w:val="en-US"/>
        </w:rPr>
        <w:t>worsening</w:t>
      </w:r>
      <w:r w:rsidRPr="00815C04">
        <w:rPr>
          <w:lang w:val="en-US"/>
        </w:rPr>
        <w:t xml:space="preserve"> of fracture;</w:t>
      </w:r>
    </w:p>
    <w:p w:rsidR="00B753CD" w:rsidRPr="00815C04" w:rsidRDefault="00B753CD" w:rsidP="00815C04">
      <w:pPr>
        <w:pStyle w:val="LV2"/>
        <w:rPr>
          <w:lang w:val="en-US"/>
        </w:rPr>
      </w:pPr>
      <w:r w:rsidRPr="00815C04">
        <w:rPr>
          <w:lang w:val="en-US"/>
        </w:rPr>
        <w:t xml:space="preserve">being treated with an aromatase inhibitor before the clinical </w:t>
      </w:r>
      <w:r w:rsidR="00815C04" w:rsidRPr="00815C04">
        <w:rPr>
          <w:lang w:val="en-US"/>
        </w:rPr>
        <w:t>worsening</w:t>
      </w:r>
      <w:r w:rsidRPr="00815C04">
        <w:rPr>
          <w:lang w:val="en-US"/>
        </w:rPr>
        <w:t xml:space="preserve"> of fracture;</w:t>
      </w:r>
    </w:p>
    <w:p w:rsidR="007C7DEE" w:rsidRPr="008D1B8B" w:rsidRDefault="007C7DEE" w:rsidP="003802D6">
      <w:pPr>
        <w:pStyle w:val="LV2"/>
      </w:pPr>
      <w:r w:rsidRPr="00815C04">
        <w:t xml:space="preserve">inability to obtain appropriate </w:t>
      </w:r>
      <w:r w:rsidRPr="008D1B8B">
        <w:t>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00D5620B" w:rsidRPr="008D1B8B">
        <w:t>.</w:t>
      </w:r>
      <w:bookmarkEnd w:id="37"/>
    </w:p>
    <w:p w:rsidR="000C21A3" w:rsidRPr="00684C0E" w:rsidRDefault="00D32F71" w:rsidP="00C96667">
      <w:pPr>
        <w:pStyle w:val="LV1"/>
      </w:pPr>
      <w:bookmarkStart w:id="38" w:name="_Toc418945128"/>
      <w:bookmarkStart w:id="39" w:name="_Toc426028030"/>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D33542">
        <w:t xml:space="preserve"> 9</w:t>
      </w:r>
      <w:r w:rsidRPr="00187DE1">
        <w:t xml:space="preserve"> </w:t>
      </w:r>
      <w:r w:rsidR="00F977B4">
        <w:t>must be related to the relevant service rendered by the person.</w:t>
      </w:r>
    </w:p>
    <w:bookmarkEnd w:id="40"/>
    <w:p w:rsidR="00CF2367" w:rsidRPr="00187DE1" w:rsidRDefault="00F03C06" w:rsidP="003802D6">
      <w:pPr>
        <w:pStyle w:val="LV2"/>
      </w:pPr>
      <w:r w:rsidRPr="00187DE1">
        <w:t>The factor</w:t>
      </w:r>
      <w:r w:rsidR="00D33542">
        <w:t>s</w:t>
      </w:r>
      <w:r w:rsidRPr="00187DE1">
        <w:t xml:space="preserve"> set out in </w:t>
      </w:r>
      <w:r w:rsidR="002077D6">
        <w:t>subsection</w:t>
      </w:r>
      <w:r w:rsidR="00D33542">
        <w:t>s 9(</w:t>
      </w:r>
      <w:r w:rsidR="00815C04">
        <w:t>1</w:t>
      </w:r>
      <w:r w:rsidR="00E027E3">
        <w:t>3</w:t>
      </w:r>
      <w:r w:rsidR="00D33542">
        <w:t>)</w:t>
      </w:r>
      <w:r w:rsidR="00E027E3">
        <w:t xml:space="preserve"> to 9(23</w:t>
      </w:r>
      <w:r w:rsidR="00815C04">
        <w:t>)</w:t>
      </w:r>
      <w:r w:rsidR="00D33542">
        <w:t xml:space="preserve"> </w:t>
      </w:r>
      <w:r w:rsidRPr="00187DE1">
        <w:t>appl</w:t>
      </w:r>
      <w:r w:rsidR="00D33542">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2E0E9F" w:rsidRPr="002E0E9F">
        <w:t>fracture</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5129"/>
      <w:bookmarkStart w:id="42" w:name="_Toc426028031"/>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D33542">
        <w:t xml:space="preserve"> 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headerReference w:type="even" r:id="rId9"/>
          <w:headerReference w:type="default" r:id="rId10"/>
          <w:footerReference w:type="even" r:id="rId11"/>
          <w:footerReference w:type="default" r:id="rId12"/>
          <w:headerReference w:type="first" r:id="rId13"/>
          <w:footerReference w:type="first" r:id="rId14"/>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5130"/>
      <w:bookmarkStart w:id="46" w:name="_Toc42602803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CE6BD3">
        <w:t>6</w:t>
      </w:r>
    </w:p>
    <w:p w:rsidR="00BD3334" w:rsidRDefault="00702C42" w:rsidP="00516768">
      <w:pPr>
        <w:pStyle w:val="SH1"/>
      </w:pPr>
      <w:bookmarkStart w:id="47" w:name="_Toc405472918"/>
      <w:bookmarkStart w:id="48" w:name="_Toc418945131"/>
      <w:bookmarkStart w:id="49" w:name="_Toc426028033"/>
      <w:r w:rsidRPr="00D97BB3">
        <w:t>Definitions</w:t>
      </w:r>
      <w:bookmarkEnd w:id="47"/>
      <w:bookmarkEnd w:id="48"/>
      <w:bookmarkEnd w:id="49"/>
    </w:p>
    <w:p w:rsidR="00AB7D8E" w:rsidRPr="00516768" w:rsidRDefault="00AB7D8E" w:rsidP="00AB7D8E">
      <w:pPr>
        <w:pStyle w:val="SH2"/>
      </w:pPr>
      <w:r w:rsidRPr="00516768">
        <w:t>In this instrument:</w:t>
      </w:r>
    </w:p>
    <w:p w:rsidR="00AB7D8E" w:rsidRDefault="00C90130" w:rsidP="00C90130">
      <w:pPr>
        <w:pStyle w:val="SH3"/>
      </w:pPr>
      <w:bookmarkStart w:id="50" w:name="_Ref402530810"/>
      <w:r w:rsidRPr="00C90130">
        <w:rPr>
          <w:b/>
          <w:i/>
        </w:rPr>
        <w:t>alcohol</w:t>
      </w:r>
      <w:r w:rsidRPr="00C90130">
        <w:t xml:space="preserve"> is measured by the alcohol consumption calculations utilising the Australian Standard of </w:t>
      </w:r>
      <w:r w:rsidR="0028382F">
        <w:t>ten</w:t>
      </w:r>
      <w:r w:rsidRPr="00C90130">
        <w:t xml:space="preserve"> grams of alcoh</w:t>
      </w:r>
      <w:r w:rsidR="00D315F5">
        <w:t>ol per standard alcoholic drink.</w:t>
      </w:r>
    </w:p>
    <w:p w:rsidR="00E131DF" w:rsidRDefault="00E131DF" w:rsidP="00E131DF">
      <w:pPr>
        <w:pStyle w:val="SH3"/>
        <w:spacing w:after="100"/>
      </w:pPr>
      <w:r w:rsidRPr="00E131DF">
        <w:rPr>
          <w:b/>
          <w:i/>
        </w:rPr>
        <w:t>chronic infection with the hepatitis C virus</w:t>
      </w:r>
      <w:r>
        <w:t xml:space="preserve"> means:</w:t>
      </w:r>
    </w:p>
    <w:p w:rsidR="00E131DF" w:rsidRPr="00E131DF" w:rsidRDefault="00E131DF" w:rsidP="00E131DF">
      <w:pPr>
        <w:numPr>
          <w:ilvl w:val="0"/>
          <w:numId w:val="20"/>
        </w:numPr>
        <w:spacing w:line="240" w:lineRule="auto"/>
        <w:ind w:left="1418" w:hanging="567"/>
        <w:jc w:val="both"/>
        <w:rPr>
          <w:sz w:val="24"/>
          <w:szCs w:val="24"/>
        </w:rPr>
      </w:pPr>
      <w:r w:rsidRPr="00E131DF">
        <w:rPr>
          <w:sz w:val="24"/>
          <w:szCs w:val="24"/>
        </w:rPr>
        <w:t xml:space="preserve">positive polymerase chain reaction testing for hepatitis C virus (HCV) ribonucleic acid (RNA); </w:t>
      </w:r>
    </w:p>
    <w:p w:rsidR="00E131DF" w:rsidRPr="00E131DF" w:rsidRDefault="00E131DF" w:rsidP="00E131DF">
      <w:pPr>
        <w:numPr>
          <w:ilvl w:val="0"/>
          <w:numId w:val="20"/>
        </w:numPr>
        <w:spacing w:line="240" w:lineRule="auto"/>
        <w:ind w:left="1418" w:hanging="567"/>
        <w:jc w:val="both"/>
        <w:rPr>
          <w:sz w:val="24"/>
          <w:szCs w:val="24"/>
        </w:rPr>
      </w:pPr>
      <w:r w:rsidRPr="00E131DF">
        <w:rPr>
          <w:sz w:val="24"/>
          <w:szCs w:val="24"/>
        </w:rPr>
        <w:t>the presence of anti-HCV and elevated serum aminotransferase levels, more than six months after evidence of an acute hepatitis C infection; or</w:t>
      </w:r>
    </w:p>
    <w:p w:rsidR="00E131DF" w:rsidRPr="00E131DF" w:rsidRDefault="00E131DF" w:rsidP="00E131DF">
      <w:pPr>
        <w:numPr>
          <w:ilvl w:val="0"/>
          <w:numId w:val="20"/>
        </w:numPr>
        <w:spacing w:line="240" w:lineRule="auto"/>
        <w:ind w:left="1418" w:hanging="567"/>
        <w:jc w:val="both"/>
        <w:rPr>
          <w:sz w:val="24"/>
          <w:szCs w:val="24"/>
        </w:rPr>
      </w:pPr>
      <w:r w:rsidRPr="00E131DF">
        <w:rPr>
          <w:sz w:val="24"/>
          <w:szCs w:val="24"/>
        </w:rPr>
        <w:t xml:space="preserve">positive serology for hepatitis C plus evidence of chronic hepatitis or other </w:t>
      </w:r>
      <w:r>
        <w:rPr>
          <w:sz w:val="24"/>
          <w:szCs w:val="24"/>
        </w:rPr>
        <w:t>chronic changes on liver biopsy.</w:t>
      </w:r>
    </w:p>
    <w:p w:rsidR="00E131DF" w:rsidRDefault="00E131DF" w:rsidP="00E131DF">
      <w:pPr>
        <w:pStyle w:val="SH3"/>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2E0E9F" w:rsidRPr="002E0E9F">
        <w:rPr>
          <w:b/>
          <w:i/>
        </w:rPr>
        <w:t>fracture</w:t>
      </w:r>
      <w:r w:rsidRPr="007142FB">
        <w:rPr>
          <w:b/>
          <w:i/>
        </w:rPr>
        <w:fldChar w:fldCharType="end"/>
      </w:r>
      <w:r w:rsidRPr="00513D05">
        <w:t>—see subsection</w:t>
      </w:r>
      <w:r>
        <w:t xml:space="preserve"> 7(2).</w:t>
      </w:r>
    </w:p>
    <w:p w:rsidR="00775F47" w:rsidRPr="00C90130" w:rsidRDefault="00775F47" w:rsidP="00775F47">
      <w:pPr>
        <w:pStyle w:val="SH3"/>
        <w:spacing w:after="120"/>
      </w:pPr>
      <w:r w:rsidRPr="00C74B07">
        <w:rPr>
          <w:b/>
          <w:i/>
          <w:lang w:val="en-US"/>
        </w:rPr>
        <w:t>glucocorticoid drug</w:t>
      </w:r>
      <w:r>
        <w:rPr>
          <w:b/>
          <w:i/>
          <w:lang w:val="en-US"/>
        </w:rPr>
        <w:t xml:space="preserve"> as specified</w:t>
      </w:r>
      <w:r w:rsidRPr="00C74B07">
        <w:rPr>
          <w:b/>
          <w:i/>
          <w:lang w:val="en-US"/>
        </w:rPr>
        <w:t xml:space="preserve"> </w:t>
      </w:r>
      <w:r w:rsidRPr="00C90130">
        <w:t xml:space="preserve">means any of the corticosteroid drugs listed in the following table, in the specified combinations of administration, dose </w:t>
      </w:r>
      <w:r>
        <w:t>level and duration of treatment:</w:t>
      </w:r>
    </w:p>
    <w:tbl>
      <w:tblPr>
        <w:tblW w:w="6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8"/>
        <w:gridCol w:w="851"/>
        <w:gridCol w:w="992"/>
        <w:gridCol w:w="1276"/>
        <w:gridCol w:w="1108"/>
      </w:tblGrid>
      <w:tr w:rsidR="00775F47" w:rsidTr="00AD4F4D">
        <w:trPr>
          <w:cantSplit/>
          <w:tblHeader/>
          <w:jc w:val="center"/>
        </w:trPr>
        <w:tc>
          <w:tcPr>
            <w:tcW w:w="1868" w:type="dxa"/>
            <w:shd w:val="pct5" w:color="auto" w:fill="auto"/>
          </w:tcPr>
          <w:p w:rsidR="00775F47" w:rsidRDefault="00775F47" w:rsidP="00590ECF">
            <w:pPr>
              <w:ind w:left="34" w:firstLine="11"/>
              <w:jc w:val="center"/>
              <w:rPr>
                <w:b/>
                <w:color w:val="000000"/>
                <w:sz w:val="20"/>
              </w:rPr>
            </w:pPr>
            <w:r>
              <w:rPr>
                <w:b/>
                <w:color w:val="000000"/>
                <w:sz w:val="20"/>
              </w:rPr>
              <w:t>Drug or Class of Drugs</w:t>
            </w:r>
          </w:p>
        </w:tc>
        <w:tc>
          <w:tcPr>
            <w:tcW w:w="851" w:type="dxa"/>
            <w:shd w:val="pct5" w:color="auto" w:fill="auto"/>
          </w:tcPr>
          <w:p w:rsidR="00775F47" w:rsidRDefault="00775F47" w:rsidP="00AD4F4D">
            <w:pPr>
              <w:ind w:left="34"/>
              <w:jc w:val="center"/>
              <w:rPr>
                <w:b/>
                <w:color w:val="000000"/>
                <w:sz w:val="20"/>
              </w:rPr>
            </w:pPr>
            <w:r>
              <w:rPr>
                <w:b/>
                <w:color w:val="000000"/>
                <w:sz w:val="20"/>
              </w:rPr>
              <w:t>Mode*</w:t>
            </w:r>
          </w:p>
        </w:tc>
        <w:tc>
          <w:tcPr>
            <w:tcW w:w="992" w:type="dxa"/>
            <w:shd w:val="pct5" w:color="auto" w:fill="auto"/>
          </w:tcPr>
          <w:p w:rsidR="00775F47" w:rsidRDefault="00775F47" w:rsidP="00590ECF">
            <w:pPr>
              <w:ind w:left="34"/>
              <w:jc w:val="center"/>
              <w:rPr>
                <w:b/>
                <w:color w:val="000000"/>
                <w:sz w:val="20"/>
              </w:rPr>
            </w:pPr>
            <w:r>
              <w:rPr>
                <w:b/>
                <w:color w:val="000000"/>
                <w:sz w:val="20"/>
              </w:rPr>
              <w:t>Dose</w:t>
            </w:r>
          </w:p>
        </w:tc>
        <w:tc>
          <w:tcPr>
            <w:tcW w:w="1276" w:type="dxa"/>
            <w:shd w:val="clear" w:color="auto" w:fill="F2F2F2"/>
          </w:tcPr>
          <w:p w:rsidR="00775F47" w:rsidRDefault="00775F47" w:rsidP="00590ECF">
            <w:pPr>
              <w:ind w:left="34"/>
              <w:jc w:val="center"/>
              <w:rPr>
                <w:b/>
                <w:color w:val="000000"/>
                <w:sz w:val="20"/>
              </w:rPr>
            </w:pPr>
            <w:r>
              <w:rPr>
                <w:b/>
                <w:color w:val="000000"/>
                <w:sz w:val="20"/>
              </w:rPr>
              <w:t>Minimum Duration of Treatment</w:t>
            </w:r>
          </w:p>
        </w:tc>
        <w:tc>
          <w:tcPr>
            <w:tcW w:w="1108" w:type="dxa"/>
            <w:shd w:val="clear" w:color="auto" w:fill="F2F2F2"/>
          </w:tcPr>
          <w:p w:rsidR="00775F47" w:rsidRPr="002755C5" w:rsidRDefault="00775F47" w:rsidP="00590ECF">
            <w:pPr>
              <w:ind w:left="34"/>
              <w:rPr>
                <w:b/>
                <w:color w:val="000000"/>
                <w:sz w:val="20"/>
              </w:rPr>
            </w:pPr>
            <w:r w:rsidRPr="002755C5">
              <w:rPr>
                <w:b/>
                <w:color w:val="000000"/>
                <w:sz w:val="20"/>
              </w:rPr>
              <w:t>Duration</w:t>
            </w:r>
          </w:p>
        </w:tc>
      </w:tr>
      <w:tr w:rsidR="00775F47" w:rsidTr="00AD4F4D">
        <w:trPr>
          <w:cantSplit/>
          <w:jc w:val="center"/>
        </w:trPr>
        <w:tc>
          <w:tcPr>
            <w:tcW w:w="1868" w:type="dxa"/>
            <w:vMerge w:val="restart"/>
          </w:tcPr>
          <w:p w:rsidR="00775F47" w:rsidRDefault="00775F47" w:rsidP="00590ECF">
            <w:pPr>
              <w:ind w:left="11" w:hanging="11"/>
              <w:rPr>
                <w:szCs w:val="22"/>
              </w:rPr>
            </w:pPr>
            <w:r>
              <w:rPr>
                <w:szCs w:val="22"/>
              </w:rPr>
              <w:t>prednisolone or</w:t>
            </w:r>
          </w:p>
          <w:p w:rsidR="00775F47" w:rsidRDefault="00775F47" w:rsidP="00590ECF">
            <w:pPr>
              <w:ind w:left="11" w:hanging="11"/>
              <w:rPr>
                <w:szCs w:val="22"/>
              </w:rPr>
            </w:pPr>
            <w:r>
              <w:rPr>
                <w:szCs w:val="22"/>
              </w:rPr>
              <w:t>pharmacologic</w:t>
            </w:r>
            <w:r w:rsidR="00AD4F4D">
              <w:rPr>
                <w:szCs w:val="22"/>
              </w:rPr>
              <w:t>ally</w:t>
            </w:r>
            <w:r>
              <w:rPr>
                <w:szCs w:val="22"/>
              </w:rPr>
              <w:t xml:space="preserve"> equivalent glucocorticoid</w:t>
            </w:r>
          </w:p>
        </w:tc>
        <w:tc>
          <w:tcPr>
            <w:tcW w:w="851" w:type="dxa"/>
            <w:vMerge w:val="restart"/>
            <w:vAlign w:val="center"/>
          </w:tcPr>
          <w:p w:rsidR="00775F47" w:rsidRDefault="00775F47" w:rsidP="00590ECF">
            <w:pPr>
              <w:pStyle w:val="FootnoteText"/>
              <w:ind w:left="66" w:hanging="141"/>
              <w:jc w:val="center"/>
              <w:rPr>
                <w:sz w:val="22"/>
                <w:szCs w:val="22"/>
              </w:rPr>
            </w:pPr>
            <w:r>
              <w:rPr>
                <w:sz w:val="22"/>
                <w:szCs w:val="22"/>
              </w:rPr>
              <w:t>IV, IM, O</w:t>
            </w:r>
          </w:p>
          <w:p w:rsidR="00775F47" w:rsidRDefault="00775F47" w:rsidP="00590ECF">
            <w:pPr>
              <w:pStyle w:val="FootnoteText"/>
              <w:ind w:left="66" w:hanging="141"/>
              <w:jc w:val="center"/>
              <w:rPr>
                <w:sz w:val="22"/>
                <w:szCs w:val="22"/>
              </w:rPr>
            </w:pPr>
          </w:p>
          <w:p w:rsidR="00775F47" w:rsidRDefault="00775F47" w:rsidP="00590ECF">
            <w:pPr>
              <w:pStyle w:val="FootnoteText"/>
              <w:ind w:left="66" w:hanging="141"/>
              <w:jc w:val="center"/>
              <w:rPr>
                <w:sz w:val="22"/>
                <w:szCs w:val="22"/>
              </w:rPr>
            </w:pPr>
          </w:p>
        </w:tc>
        <w:tc>
          <w:tcPr>
            <w:tcW w:w="992" w:type="dxa"/>
          </w:tcPr>
          <w:p w:rsidR="00775F47" w:rsidRDefault="00775F47" w:rsidP="00590ECF">
            <w:pPr>
              <w:pStyle w:val="FootnoteText"/>
              <w:ind w:left="34"/>
              <w:jc w:val="center"/>
              <w:rPr>
                <w:sz w:val="22"/>
                <w:szCs w:val="22"/>
              </w:rPr>
            </w:pPr>
            <w:r>
              <w:rPr>
                <w:sz w:val="22"/>
                <w:szCs w:val="22"/>
              </w:rPr>
              <w:sym w:font="Symbol" w:char="F0B3"/>
            </w:r>
            <w:r>
              <w:rPr>
                <w:sz w:val="22"/>
                <w:szCs w:val="22"/>
              </w:rPr>
              <w:t xml:space="preserve"> 0.5 grams over 6 months</w:t>
            </w:r>
          </w:p>
        </w:tc>
        <w:tc>
          <w:tcPr>
            <w:tcW w:w="1276" w:type="dxa"/>
            <w:vAlign w:val="center"/>
          </w:tcPr>
          <w:p w:rsidR="00775F47" w:rsidRDefault="00775F47" w:rsidP="00590ECF">
            <w:pPr>
              <w:ind w:left="34"/>
              <w:jc w:val="center"/>
              <w:rPr>
                <w:szCs w:val="22"/>
              </w:rPr>
            </w:pPr>
            <w:r>
              <w:rPr>
                <w:szCs w:val="22"/>
              </w:rPr>
              <w:t>6 months</w:t>
            </w:r>
          </w:p>
          <w:p w:rsidR="00775F47" w:rsidRDefault="00775F47" w:rsidP="00590ECF">
            <w:pPr>
              <w:ind w:left="34"/>
              <w:jc w:val="center"/>
              <w:rPr>
                <w:szCs w:val="22"/>
              </w:rPr>
            </w:pPr>
          </w:p>
        </w:tc>
        <w:tc>
          <w:tcPr>
            <w:tcW w:w="1108" w:type="dxa"/>
          </w:tcPr>
          <w:p w:rsidR="00775F47" w:rsidRDefault="00775F47" w:rsidP="00590ECF">
            <w:pPr>
              <w:ind w:left="34"/>
              <w:jc w:val="center"/>
              <w:rPr>
                <w:color w:val="000000"/>
                <w:sz w:val="20"/>
              </w:rPr>
            </w:pPr>
            <w:r>
              <w:rPr>
                <w:color w:val="000000"/>
                <w:sz w:val="20"/>
              </w:rPr>
              <w:t>within the 5 years</w:t>
            </w:r>
          </w:p>
        </w:tc>
      </w:tr>
      <w:tr w:rsidR="00775F47" w:rsidTr="00AD4F4D">
        <w:trPr>
          <w:cantSplit/>
          <w:trHeight w:val="735"/>
          <w:jc w:val="center"/>
        </w:trPr>
        <w:tc>
          <w:tcPr>
            <w:tcW w:w="1868" w:type="dxa"/>
            <w:vMerge/>
          </w:tcPr>
          <w:p w:rsidR="00775F47" w:rsidRDefault="00775F47" w:rsidP="00590ECF">
            <w:pPr>
              <w:ind w:left="11" w:hanging="11"/>
              <w:rPr>
                <w:szCs w:val="22"/>
              </w:rPr>
            </w:pPr>
          </w:p>
        </w:tc>
        <w:tc>
          <w:tcPr>
            <w:tcW w:w="851" w:type="dxa"/>
            <w:vMerge/>
          </w:tcPr>
          <w:p w:rsidR="00775F47" w:rsidRDefault="00775F47" w:rsidP="00590ECF">
            <w:pPr>
              <w:ind w:left="-75"/>
              <w:jc w:val="center"/>
              <w:rPr>
                <w:szCs w:val="22"/>
              </w:rPr>
            </w:pPr>
          </w:p>
        </w:tc>
        <w:tc>
          <w:tcPr>
            <w:tcW w:w="992" w:type="dxa"/>
            <w:vAlign w:val="center"/>
          </w:tcPr>
          <w:p w:rsidR="00775F47" w:rsidRDefault="00775F47" w:rsidP="00590ECF">
            <w:pPr>
              <w:pStyle w:val="BodyText2"/>
              <w:ind w:left="175"/>
              <w:jc w:val="center"/>
              <w:rPr>
                <w:sz w:val="22"/>
                <w:szCs w:val="22"/>
              </w:rPr>
            </w:pPr>
            <w:r>
              <w:rPr>
                <w:sz w:val="22"/>
                <w:szCs w:val="22"/>
              </w:rPr>
              <w:sym w:font="Symbol" w:char="F0B3"/>
            </w:r>
            <w:r>
              <w:rPr>
                <w:sz w:val="22"/>
                <w:szCs w:val="22"/>
              </w:rPr>
              <w:t xml:space="preserve"> 3 grams</w:t>
            </w:r>
          </w:p>
        </w:tc>
        <w:tc>
          <w:tcPr>
            <w:tcW w:w="1276" w:type="dxa"/>
            <w:vAlign w:val="center"/>
          </w:tcPr>
          <w:p w:rsidR="00775F47" w:rsidRDefault="00775F47" w:rsidP="00590ECF">
            <w:pPr>
              <w:ind w:left="34"/>
              <w:jc w:val="center"/>
              <w:rPr>
                <w:szCs w:val="22"/>
              </w:rPr>
            </w:pPr>
            <w:r>
              <w:rPr>
                <w:szCs w:val="22"/>
              </w:rPr>
              <w:t>NS</w:t>
            </w:r>
          </w:p>
        </w:tc>
        <w:tc>
          <w:tcPr>
            <w:tcW w:w="1108" w:type="dxa"/>
          </w:tcPr>
          <w:p w:rsidR="00775F47" w:rsidRDefault="00775F47" w:rsidP="00590ECF">
            <w:pPr>
              <w:ind w:left="34"/>
              <w:jc w:val="center"/>
              <w:rPr>
                <w:color w:val="000000"/>
                <w:sz w:val="20"/>
              </w:rPr>
            </w:pPr>
            <w:r>
              <w:rPr>
                <w:color w:val="000000"/>
                <w:sz w:val="20"/>
              </w:rPr>
              <w:t>within the 10 years</w:t>
            </w:r>
          </w:p>
        </w:tc>
      </w:tr>
      <w:tr w:rsidR="00775F47" w:rsidTr="00AD4F4D">
        <w:trPr>
          <w:cantSplit/>
          <w:trHeight w:val="735"/>
          <w:jc w:val="center"/>
        </w:trPr>
        <w:tc>
          <w:tcPr>
            <w:tcW w:w="1868" w:type="dxa"/>
            <w:vMerge/>
          </w:tcPr>
          <w:p w:rsidR="00775F47" w:rsidRDefault="00775F47" w:rsidP="00590ECF">
            <w:pPr>
              <w:ind w:left="11" w:hanging="11"/>
              <w:rPr>
                <w:szCs w:val="22"/>
              </w:rPr>
            </w:pPr>
          </w:p>
        </w:tc>
        <w:tc>
          <w:tcPr>
            <w:tcW w:w="851" w:type="dxa"/>
            <w:vMerge/>
          </w:tcPr>
          <w:p w:rsidR="00775F47" w:rsidRDefault="00775F47" w:rsidP="00590ECF">
            <w:pPr>
              <w:ind w:left="-75"/>
              <w:jc w:val="center"/>
              <w:rPr>
                <w:szCs w:val="22"/>
              </w:rPr>
            </w:pPr>
          </w:p>
        </w:tc>
        <w:tc>
          <w:tcPr>
            <w:tcW w:w="992" w:type="dxa"/>
            <w:vAlign w:val="center"/>
          </w:tcPr>
          <w:p w:rsidR="00775F47" w:rsidRPr="00587C49" w:rsidRDefault="00775F47" w:rsidP="00590ECF">
            <w:pPr>
              <w:pStyle w:val="BodyText2"/>
              <w:ind w:left="175"/>
              <w:jc w:val="center"/>
              <w:rPr>
                <w:color w:val="000000"/>
                <w:sz w:val="22"/>
                <w:szCs w:val="22"/>
              </w:rPr>
            </w:pPr>
            <w:r w:rsidRPr="00587C49">
              <w:rPr>
                <w:color w:val="000000"/>
                <w:sz w:val="22"/>
                <w:szCs w:val="22"/>
              </w:rPr>
              <w:sym w:font="Symbol" w:char="F0B3"/>
            </w:r>
            <w:r w:rsidRPr="00587C49">
              <w:rPr>
                <w:color w:val="000000"/>
                <w:sz w:val="22"/>
                <w:szCs w:val="22"/>
              </w:rPr>
              <w:t xml:space="preserve"> 10 grams</w:t>
            </w:r>
          </w:p>
          <w:p w:rsidR="00775F47" w:rsidRDefault="00775F47" w:rsidP="00590ECF">
            <w:pPr>
              <w:pStyle w:val="BodyText2"/>
              <w:ind w:left="175"/>
              <w:jc w:val="center"/>
              <w:rPr>
                <w:color w:val="000000"/>
              </w:rPr>
            </w:pPr>
          </w:p>
        </w:tc>
        <w:tc>
          <w:tcPr>
            <w:tcW w:w="1276" w:type="dxa"/>
            <w:vAlign w:val="center"/>
          </w:tcPr>
          <w:p w:rsidR="00775F47" w:rsidRDefault="00775F47" w:rsidP="00590ECF">
            <w:pPr>
              <w:ind w:left="34"/>
              <w:jc w:val="center"/>
              <w:rPr>
                <w:color w:val="000000"/>
                <w:sz w:val="20"/>
              </w:rPr>
            </w:pPr>
            <w:r>
              <w:rPr>
                <w:color w:val="000000"/>
                <w:sz w:val="20"/>
              </w:rPr>
              <w:t>NS</w:t>
            </w:r>
          </w:p>
          <w:p w:rsidR="00775F47" w:rsidRDefault="00775F47" w:rsidP="00590ECF">
            <w:pPr>
              <w:ind w:left="34"/>
              <w:jc w:val="center"/>
              <w:rPr>
                <w:color w:val="000000"/>
                <w:sz w:val="20"/>
              </w:rPr>
            </w:pPr>
          </w:p>
          <w:p w:rsidR="00775F47" w:rsidRDefault="00775F47" w:rsidP="00590ECF">
            <w:pPr>
              <w:ind w:left="34"/>
              <w:jc w:val="center"/>
              <w:rPr>
                <w:color w:val="0000FF"/>
                <w:sz w:val="20"/>
              </w:rPr>
            </w:pPr>
          </w:p>
        </w:tc>
        <w:tc>
          <w:tcPr>
            <w:tcW w:w="1108" w:type="dxa"/>
          </w:tcPr>
          <w:p w:rsidR="00775F47" w:rsidRDefault="00775F47" w:rsidP="00590ECF">
            <w:pPr>
              <w:ind w:left="34"/>
              <w:jc w:val="center"/>
              <w:rPr>
                <w:color w:val="000000"/>
                <w:sz w:val="20"/>
              </w:rPr>
            </w:pPr>
            <w:r>
              <w:rPr>
                <w:color w:val="000000"/>
                <w:sz w:val="20"/>
              </w:rPr>
              <w:t>NS</w:t>
            </w:r>
          </w:p>
        </w:tc>
      </w:tr>
    </w:tbl>
    <w:p w:rsidR="00775F47" w:rsidRPr="00751C06" w:rsidRDefault="00775F47" w:rsidP="00131F88">
      <w:pPr>
        <w:pStyle w:val="NOTEScheduleonly"/>
        <w:ind w:left="1134"/>
      </w:pPr>
      <w:r w:rsidRPr="00751C06">
        <w:t>Abbreviations: IV = intravenous; IM = intramuscular;</w:t>
      </w:r>
      <w:r>
        <w:t xml:space="preserve">  O = oral; NS = not specified.</w:t>
      </w:r>
    </w:p>
    <w:p w:rsidR="00E131DF" w:rsidRPr="00513D05" w:rsidRDefault="00E131DF" w:rsidP="00E131DF">
      <w:pPr>
        <w:pStyle w:val="SH3"/>
      </w:pPr>
      <w:r w:rsidRPr="00E131DF">
        <w:rPr>
          <w:b/>
          <w:i/>
        </w:rPr>
        <w:t>minimal trauma fracture</w:t>
      </w:r>
      <w:r w:rsidRPr="00E131DF">
        <w:t xml:space="preserve"> means a fracture that results from mechanical forces that would not ordinarily result in a fracture.</w:t>
      </w:r>
    </w:p>
    <w:p w:rsidR="00AB7D8E" w:rsidRDefault="00AB7D8E" w:rsidP="00AB7D8E">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815C04" w:rsidRDefault="00815C04" w:rsidP="00815C04">
      <w:pPr>
        <w:pStyle w:val="SH3"/>
      </w:pPr>
      <w:r w:rsidRPr="00E131DF">
        <w:rPr>
          <w:b/>
          <w:i/>
        </w:rPr>
        <w:t>osteomalacia</w:t>
      </w:r>
      <w:r w:rsidRPr="00815C04">
        <w:t xml:space="preserve"> means a disease of bone in which there is a reduction in the mineralisation of its organic matrix and bone softening, due to a deficiency of vitamin D or problems w</w:t>
      </w:r>
      <w:r w:rsidR="00E131DF">
        <w:t>ith the metabolism of vitamin D.</w:t>
      </w:r>
    </w:p>
    <w:p w:rsidR="00F52B66" w:rsidRDefault="00F52B66">
      <w:pPr>
        <w:spacing w:line="240" w:lineRule="auto"/>
        <w:rPr>
          <w:rFonts w:eastAsia="Times New Roman"/>
          <w:b/>
          <w:i/>
          <w:sz w:val="24"/>
          <w:szCs w:val="24"/>
          <w:lang w:eastAsia="en-AU"/>
        </w:rPr>
      </w:pPr>
      <w:r>
        <w:rPr>
          <w:b/>
          <w:i/>
        </w:rPr>
        <w:br w:type="page"/>
      </w:r>
    </w:p>
    <w:p w:rsidR="00E131DF" w:rsidRDefault="00E131DF" w:rsidP="00E131DF">
      <w:pPr>
        <w:pStyle w:val="SH3"/>
      </w:pPr>
      <w:r w:rsidRPr="00E131DF">
        <w:rPr>
          <w:b/>
          <w:i/>
        </w:rPr>
        <w:lastRenderedPageBreak/>
        <w:t>osteonecrosis</w:t>
      </w:r>
      <w:r w:rsidRPr="00E131DF">
        <w:t xml:space="preserve"> means a disease of bone where death of bone tissue occurs as a result of the temporary or permanent loss of blood supply to bone. </w:t>
      </w:r>
      <w:r w:rsidR="0028382F">
        <w:t xml:space="preserve"> </w:t>
      </w:r>
      <w:r w:rsidRPr="00E131DF">
        <w:t>Osteonecrosis is also known as avascular necrosis, aseptic</w:t>
      </w:r>
      <w:r>
        <w:t xml:space="preserve"> necrosis or ischaemic necrosis.</w:t>
      </w:r>
    </w:p>
    <w:p w:rsidR="00C90130" w:rsidRDefault="00C90130" w:rsidP="00C90130">
      <w:pPr>
        <w:pStyle w:val="SH3"/>
      </w:pPr>
      <w:r w:rsidRPr="00C90130">
        <w:rPr>
          <w:b/>
          <w:i/>
        </w:rPr>
        <w:t>pack-years of cigarettes, or the equivalent thereof in other tobacco products</w:t>
      </w:r>
      <w:r w:rsidRPr="00C90130">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w:t>
      </w:r>
      <w:r w:rsidR="00D315F5">
        <w:t>ked alone or in any combination.</w:t>
      </w:r>
    </w:p>
    <w:p w:rsidR="00AB7D8E" w:rsidRPr="009C404D" w:rsidRDefault="00AB7D8E" w:rsidP="00AB7D8E">
      <w:pPr>
        <w:pStyle w:val="SH3"/>
        <w:spacing w:after="100"/>
      </w:pPr>
      <w:r w:rsidRPr="00BC3C26">
        <w:rPr>
          <w:b/>
          <w:i/>
        </w:rPr>
        <w:t>relevant service</w:t>
      </w:r>
      <w:r w:rsidRPr="00BC3C26">
        <w:t xml:space="preserve"> means:</w:t>
      </w:r>
    </w:p>
    <w:p w:rsidR="00AB7D8E" w:rsidRPr="00BC3C26" w:rsidRDefault="00AB7D8E" w:rsidP="00E131DF">
      <w:pPr>
        <w:numPr>
          <w:ilvl w:val="0"/>
          <w:numId w:val="24"/>
        </w:numPr>
        <w:spacing w:line="240" w:lineRule="auto"/>
        <w:ind w:hanging="589"/>
        <w:jc w:val="both"/>
        <w:rPr>
          <w:sz w:val="24"/>
          <w:szCs w:val="24"/>
        </w:rPr>
      </w:pPr>
      <w:bookmarkStart w:id="51" w:name="_Ref402529607"/>
      <w:bookmarkEnd w:id="50"/>
      <w:r w:rsidRPr="00BC3C26">
        <w:rPr>
          <w:sz w:val="24"/>
          <w:szCs w:val="24"/>
        </w:rPr>
        <w:t xml:space="preserve">operational service under the VEA; </w:t>
      </w:r>
    </w:p>
    <w:p w:rsidR="00AB7D8E" w:rsidRPr="00BC3C26" w:rsidRDefault="00AB7D8E" w:rsidP="00E131DF">
      <w:pPr>
        <w:numPr>
          <w:ilvl w:val="0"/>
          <w:numId w:val="24"/>
        </w:numPr>
        <w:spacing w:line="240" w:lineRule="auto"/>
        <w:ind w:hanging="589"/>
        <w:jc w:val="both"/>
        <w:rPr>
          <w:sz w:val="24"/>
          <w:szCs w:val="24"/>
        </w:rPr>
      </w:pPr>
      <w:r w:rsidRPr="00BC3C26">
        <w:rPr>
          <w:sz w:val="24"/>
          <w:szCs w:val="24"/>
        </w:rPr>
        <w:t xml:space="preserve">peacekeeping service under the VEA; </w:t>
      </w:r>
    </w:p>
    <w:p w:rsidR="00AB7D8E" w:rsidRPr="00BC3C26" w:rsidRDefault="00AB7D8E" w:rsidP="00E131DF">
      <w:pPr>
        <w:numPr>
          <w:ilvl w:val="0"/>
          <w:numId w:val="24"/>
        </w:numPr>
        <w:spacing w:line="240" w:lineRule="auto"/>
        <w:ind w:hanging="589"/>
        <w:jc w:val="both"/>
        <w:rPr>
          <w:sz w:val="24"/>
          <w:szCs w:val="24"/>
        </w:rPr>
      </w:pPr>
      <w:r w:rsidRPr="00BC3C26">
        <w:rPr>
          <w:sz w:val="24"/>
          <w:szCs w:val="24"/>
        </w:rPr>
        <w:t xml:space="preserve">hazardous service under the VEA; </w:t>
      </w:r>
    </w:p>
    <w:p w:rsidR="00AB7D8E" w:rsidRPr="00BC3C26" w:rsidRDefault="00AB7D8E" w:rsidP="00E131DF">
      <w:pPr>
        <w:numPr>
          <w:ilvl w:val="0"/>
          <w:numId w:val="24"/>
        </w:numPr>
        <w:spacing w:line="240" w:lineRule="auto"/>
        <w:ind w:hanging="589"/>
        <w:jc w:val="both"/>
        <w:rPr>
          <w:sz w:val="24"/>
          <w:szCs w:val="24"/>
        </w:rPr>
      </w:pPr>
      <w:r w:rsidRPr="00BC3C26">
        <w:rPr>
          <w:sz w:val="24"/>
          <w:szCs w:val="24"/>
        </w:rPr>
        <w:t>British nuclear test defence service under the VEA;</w:t>
      </w:r>
    </w:p>
    <w:p w:rsidR="00AB7D8E" w:rsidRPr="00BC3C26" w:rsidRDefault="00AB7D8E" w:rsidP="00E131DF">
      <w:pPr>
        <w:numPr>
          <w:ilvl w:val="0"/>
          <w:numId w:val="24"/>
        </w:numPr>
        <w:spacing w:line="240" w:lineRule="auto"/>
        <w:ind w:hanging="589"/>
        <w:jc w:val="both"/>
      </w:pPr>
      <w:r w:rsidRPr="00BC3C26">
        <w:rPr>
          <w:sz w:val="24"/>
          <w:szCs w:val="24"/>
        </w:rPr>
        <w:t>warlike service under the MRCA; or</w:t>
      </w:r>
    </w:p>
    <w:p w:rsidR="00AB7D8E" w:rsidRPr="009E0B8A" w:rsidRDefault="00AB7D8E" w:rsidP="00E131DF">
      <w:pPr>
        <w:numPr>
          <w:ilvl w:val="0"/>
          <w:numId w:val="24"/>
        </w:numPr>
        <w:spacing w:line="240" w:lineRule="auto"/>
        <w:ind w:hanging="589"/>
        <w:jc w:val="both"/>
        <w:rPr>
          <w:sz w:val="24"/>
          <w:szCs w:val="24"/>
        </w:rPr>
      </w:pPr>
      <w:r w:rsidRPr="009E0B8A">
        <w:rPr>
          <w:sz w:val="24"/>
          <w:szCs w:val="24"/>
        </w:rPr>
        <w:t xml:space="preserve">non-warlike service under the MRCA. </w:t>
      </w:r>
    </w:p>
    <w:p w:rsidR="008A4C04" w:rsidRPr="008A4C04" w:rsidRDefault="008A4C04" w:rsidP="008A4C04">
      <w:pPr>
        <w:pStyle w:val="SH3"/>
      </w:pPr>
      <w:r w:rsidRPr="008A4C04">
        <w:rPr>
          <w:b/>
          <w:i/>
        </w:rPr>
        <w:t>repetitive loading stress</w:t>
      </w:r>
      <w:r w:rsidRPr="008A4C04">
        <w:t xml:space="preserve"> means ongoing physical activity which involves at least a moderate level of weight bearing exercise such as speed walking, jogging, athletics or running, or weight training for the upper limbs</w:t>
      </w:r>
      <w:r>
        <w:t>.</w:t>
      </w:r>
    </w:p>
    <w:p w:rsidR="00A05EC2" w:rsidRPr="00A05EC2" w:rsidRDefault="00A05EC2" w:rsidP="00A05EC2">
      <w:pPr>
        <w:pStyle w:val="SH3"/>
      </w:pPr>
      <w:r w:rsidRPr="00A05EC2">
        <w:rPr>
          <w:b/>
          <w:i/>
        </w:rPr>
        <w:t>significant biomechanical abnormality</w:t>
      </w:r>
      <w:r w:rsidRPr="00A05EC2">
        <w:t xml:space="preserve"> means an abnormality that causes significant alteration of biomechanical forces such as would occur in osteoarthritis with deformity, forefoot v</w:t>
      </w:r>
      <w:r w:rsidR="00D315F5">
        <w:t>arus or leg-length discrepancy.</w:t>
      </w:r>
    </w:p>
    <w:p w:rsidR="00AB7D8E" w:rsidRPr="009C404D" w:rsidRDefault="00AB7D8E" w:rsidP="00E131DF">
      <w:pPr>
        <w:pStyle w:val="SH3"/>
      </w:pPr>
      <w:r>
        <w:rPr>
          <w:b/>
          <w:i/>
        </w:rPr>
        <w:t>t</w:t>
      </w:r>
      <w:r w:rsidRPr="00973808">
        <w:rPr>
          <w:b/>
          <w:i/>
        </w:rPr>
        <w:t>erminal event</w:t>
      </w:r>
      <w:r w:rsidRPr="009C404D">
        <w:t xml:space="preserve"> means the proximate or ultimate cause of death and includes</w:t>
      </w:r>
      <w:bookmarkEnd w:id="51"/>
      <w:r w:rsidRPr="009C404D">
        <w:t xml:space="preserve"> the following:</w:t>
      </w:r>
    </w:p>
    <w:p w:rsidR="00AB7D8E" w:rsidRPr="00513D05" w:rsidRDefault="00AB7D8E" w:rsidP="00AB7D8E">
      <w:pPr>
        <w:pStyle w:val="SH4"/>
        <w:ind w:left="1418"/>
      </w:pPr>
      <w:r>
        <w:tab/>
      </w:r>
      <w:r w:rsidRPr="00513D05">
        <w:t>pneumonia;</w:t>
      </w:r>
    </w:p>
    <w:p w:rsidR="00AB7D8E" w:rsidRPr="00513D05" w:rsidRDefault="00AB7D8E" w:rsidP="00AB7D8E">
      <w:pPr>
        <w:pStyle w:val="SH4"/>
        <w:ind w:left="1418"/>
      </w:pPr>
      <w:r w:rsidRPr="00513D05">
        <w:tab/>
        <w:t>respiratory failure;</w:t>
      </w:r>
    </w:p>
    <w:p w:rsidR="00AB7D8E" w:rsidRPr="00513D05" w:rsidRDefault="00AB7D8E" w:rsidP="00AB7D8E">
      <w:pPr>
        <w:pStyle w:val="SH4"/>
        <w:ind w:left="1418"/>
      </w:pPr>
      <w:r w:rsidRPr="00513D05">
        <w:tab/>
        <w:t>cardiac arrest;</w:t>
      </w:r>
    </w:p>
    <w:p w:rsidR="00AB7D8E" w:rsidRPr="00513D05" w:rsidRDefault="00AB7D8E" w:rsidP="00AB7D8E">
      <w:pPr>
        <w:pStyle w:val="SH4"/>
        <w:ind w:left="1418"/>
      </w:pPr>
      <w:r w:rsidRPr="00513D05">
        <w:tab/>
        <w:t>circulatory failure;</w:t>
      </w:r>
      <w:r w:rsidR="007B706C">
        <w:t xml:space="preserve"> or</w:t>
      </w:r>
    </w:p>
    <w:p w:rsidR="00AB7D8E" w:rsidRPr="00BD3334" w:rsidRDefault="00AB7D8E" w:rsidP="00AB7D8E">
      <w:pPr>
        <w:pStyle w:val="SH4"/>
        <w:ind w:left="1418"/>
      </w:pPr>
      <w:r w:rsidRPr="00513D05">
        <w:tab/>
        <w:t>cessation of brain function.</w:t>
      </w:r>
    </w:p>
    <w:p w:rsidR="00D16A6B" w:rsidRPr="0019084F" w:rsidRDefault="00AB7D8E" w:rsidP="00AB7D8E">
      <w:pPr>
        <w:pStyle w:val="SH3"/>
      </w:pPr>
      <w:r w:rsidRPr="00CB1DCB">
        <w:rPr>
          <w:b/>
          <w:i/>
        </w:rPr>
        <w:t>VEA</w:t>
      </w:r>
      <w:r w:rsidRPr="0019084F">
        <w:t xml:space="preserve"> means the </w:t>
      </w:r>
      <w:r w:rsidRPr="0019084F">
        <w:rPr>
          <w:i/>
        </w:rPr>
        <w:t>Veterans</w:t>
      </w:r>
      <w:r w:rsidR="00D40672">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5"/>
          <w:headerReference w:type="default" r:id="rId16"/>
          <w:footerReference w:type="even" r:id="rId17"/>
          <w:footerReference w:type="default" r:id="rId18"/>
          <w:headerReference w:type="first" r:id="rId19"/>
          <w:footerReference w:type="first" r:id="rId20"/>
          <w:pgSz w:w="11907" w:h="16839" w:code="9"/>
          <w:pgMar w:top="1440" w:right="1797" w:bottom="1440" w:left="1797" w:header="720" w:footer="709" w:gutter="0"/>
          <w:cols w:space="720"/>
          <w:docGrid w:linePitch="299"/>
        </w:sectPr>
      </w:pPr>
    </w:p>
    <w:p w:rsidR="00F02383" w:rsidRDefault="00F02383" w:rsidP="003F4535">
      <w:pPr>
        <w:rPr>
          <w:b/>
          <w:i/>
        </w:rPr>
      </w:pPr>
    </w:p>
    <w:p w:rsidR="00DE599C" w:rsidRPr="00F02383" w:rsidRDefault="00DE599C" w:rsidP="00F02383"/>
    <w:sectPr w:rsidR="00DE599C" w:rsidRPr="00F02383" w:rsidSect="00FA33FB">
      <w:headerReference w:type="even" r:id="rId21"/>
      <w:headerReference w:type="default" r:id="rId22"/>
      <w:footerReference w:type="even" r:id="rId23"/>
      <w:footerReference w:type="default" r:id="rId24"/>
      <w:headerReference w:type="first" r:id="rId25"/>
      <w:footerReference w:type="first" r:id="rId26"/>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683022" w:rsidRDefault="00F03C06" w:rsidP="00683022">
          <w:pPr>
            <w:spacing w:line="0" w:lineRule="atLeast"/>
            <w:jc w:val="center"/>
            <w:rPr>
              <w:i/>
              <w:sz w:val="18"/>
            </w:rPr>
          </w:pPr>
          <w:r w:rsidRPr="00E55F66">
            <w:rPr>
              <w:i/>
              <w:sz w:val="18"/>
            </w:rPr>
            <w:t>Statement of Principles concer</w:t>
          </w:r>
          <w:r>
            <w:rPr>
              <w:i/>
              <w:sz w:val="18"/>
            </w:rPr>
            <w:t xml:space="preserve">ning </w:t>
          </w:r>
        </w:p>
        <w:p w:rsidR="00F03C06" w:rsidRPr="00C01863" w:rsidRDefault="00683022" w:rsidP="00683022">
          <w:pPr>
            <w:spacing w:line="0" w:lineRule="atLeast"/>
            <w:jc w:val="center"/>
            <w:rPr>
              <w:sz w:val="18"/>
            </w:rPr>
          </w:pPr>
          <w:r>
            <w:rPr>
              <w:i/>
              <w:sz w:val="18"/>
            </w:rPr>
            <w:t>F</w:t>
          </w:r>
          <w:r w:rsidR="00793E58" w:rsidRPr="00793E58">
            <w:rPr>
              <w:i/>
              <w:sz w:val="18"/>
              <w:szCs w:val="18"/>
            </w:rPr>
            <w:t>racture</w:t>
          </w:r>
          <w:r w:rsidR="003A2FFE" w:rsidRPr="003A2FFE">
            <w:rPr>
              <w:i/>
              <w:sz w:val="18"/>
            </w:rPr>
            <w:t xml:space="preserve"> </w:t>
          </w:r>
          <w:r>
            <w:rPr>
              <w:i/>
              <w:sz w:val="18"/>
            </w:rPr>
            <w:t>(Reasonable Hypothesis)</w:t>
          </w:r>
          <w:r w:rsidRPr="003A2FFE">
            <w:rPr>
              <w:i/>
              <w:sz w:val="18"/>
            </w:rPr>
            <w:t xml:space="preserve"> </w:t>
          </w:r>
          <w:r w:rsidR="003A2FFE" w:rsidRPr="003A2FFE">
            <w:rPr>
              <w:i/>
              <w:sz w:val="18"/>
            </w:rPr>
            <w:t xml:space="preserve">(No. </w:t>
          </w:r>
          <w:r>
            <w:rPr>
              <w:i/>
              <w:sz w:val="18"/>
              <w:szCs w:val="18"/>
            </w:rPr>
            <w:t>94</w:t>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793E58" w:rsidRPr="00793E58">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C401D">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683022" w:rsidRDefault="00F03C06" w:rsidP="00A02752">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F03C06" w:rsidRPr="00C01863" w:rsidRDefault="00683022" w:rsidP="00683022">
          <w:pPr>
            <w:spacing w:line="0" w:lineRule="atLeast"/>
            <w:jc w:val="center"/>
            <w:rPr>
              <w:sz w:val="18"/>
            </w:rPr>
          </w:pPr>
          <w:r w:rsidRPr="00683022">
            <w:rPr>
              <w:i/>
              <w:sz w:val="18"/>
            </w:rPr>
            <w:t>F</w:t>
          </w:r>
          <w:r w:rsidR="00793E58" w:rsidRPr="00793E58">
            <w:rPr>
              <w:i/>
              <w:sz w:val="18"/>
              <w:szCs w:val="18"/>
            </w:rPr>
            <w:t>racture</w:t>
          </w:r>
          <w:r>
            <w:rPr>
              <w:i/>
              <w:sz w:val="18"/>
              <w:szCs w:val="18"/>
            </w:rPr>
            <w:t xml:space="preserve"> </w:t>
          </w:r>
          <w:r>
            <w:rPr>
              <w:i/>
              <w:sz w:val="18"/>
            </w:rPr>
            <w:t xml:space="preserve">(Reasonable Hypothesis) </w:t>
          </w:r>
          <w:r w:rsidR="003A2FFE" w:rsidRPr="007F2378">
            <w:rPr>
              <w:i/>
              <w:sz w:val="18"/>
            </w:rPr>
            <w:t xml:space="preserve">(No. </w:t>
          </w:r>
          <w:r>
            <w:rPr>
              <w:i/>
              <w:sz w:val="18"/>
            </w:rPr>
            <w:t>94</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793E58" w:rsidRPr="00793E58">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C401D">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BD0F2C" w:rsidRDefault="007F2378" w:rsidP="00A02752">
          <w:pPr>
            <w:spacing w:line="0" w:lineRule="atLeast"/>
            <w:jc w:val="center"/>
            <w:rPr>
              <w:i/>
              <w:sz w:val="18"/>
            </w:rPr>
          </w:pPr>
          <w:r w:rsidRPr="007C5CE0">
            <w:rPr>
              <w:i/>
              <w:sz w:val="18"/>
            </w:rPr>
            <w:t>Statement of Principles concerning</w:t>
          </w:r>
        </w:p>
        <w:p w:rsidR="007F2378" w:rsidRPr="007C5CE0" w:rsidRDefault="007F2378" w:rsidP="00BD0F2C">
          <w:pPr>
            <w:spacing w:line="0" w:lineRule="atLeast"/>
            <w:jc w:val="center"/>
            <w:rPr>
              <w:sz w:val="18"/>
            </w:rPr>
          </w:pPr>
          <w:r w:rsidRPr="007C5CE0">
            <w:rPr>
              <w:i/>
              <w:sz w:val="18"/>
            </w:rPr>
            <w:t xml:space="preserve"> </w:t>
          </w:r>
          <w:r w:rsidR="00BD0F2C">
            <w:rPr>
              <w:i/>
              <w:sz w:val="18"/>
              <w:szCs w:val="18"/>
            </w:rPr>
            <w:t>F</w:t>
          </w:r>
          <w:r w:rsidR="00793E58" w:rsidRPr="00793E58">
            <w:rPr>
              <w:i/>
              <w:sz w:val="18"/>
              <w:szCs w:val="18"/>
            </w:rPr>
            <w:t>racture</w:t>
          </w:r>
          <w:r w:rsidR="00BD0F2C">
            <w:rPr>
              <w:i/>
              <w:sz w:val="18"/>
              <w:szCs w:val="18"/>
            </w:rPr>
            <w:t xml:space="preserve"> </w:t>
          </w:r>
          <w:r w:rsidR="00BD0F2C">
            <w:rPr>
              <w:i/>
              <w:sz w:val="18"/>
            </w:rPr>
            <w:t xml:space="preserve">(Reasonable Hypothesis) </w:t>
          </w:r>
          <w:r w:rsidRPr="007C5CE0">
            <w:rPr>
              <w:i/>
              <w:sz w:val="18"/>
            </w:rPr>
            <w:t xml:space="preserve">(No. </w:t>
          </w:r>
          <w:r w:rsidR="00BD0F2C">
            <w:rPr>
              <w:i/>
              <w:sz w:val="18"/>
              <w:szCs w:val="18"/>
            </w:rPr>
            <w:t>94</w:t>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BD0F2C" w:rsidRPr="00BD0F2C">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C401D">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104C5B"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Pr="00C01863" w:rsidRDefault="00104C5B" w:rsidP="00104C5B">
          <w:pPr>
            <w:spacing w:line="0" w:lineRule="atLeast"/>
            <w:jc w:val="center"/>
            <w:rPr>
              <w:sz w:val="18"/>
            </w:rPr>
          </w:pPr>
          <w:r>
            <w:rPr>
              <w:i/>
              <w:sz w:val="18"/>
              <w:szCs w:val="18"/>
            </w:rPr>
            <w:t>F</w:t>
          </w:r>
          <w:r w:rsidR="00793E58" w:rsidRPr="00793E58">
            <w:rPr>
              <w:i/>
              <w:sz w:val="18"/>
              <w:szCs w:val="18"/>
            </w:rPr>
            <w:t>racture</w:t>
          </w:r>
          <w:r>
            <w:rPr>
              <w:i/>
              <w:sz w:val="18"/>
              <w:szCs w:val="18"/>
            </w:rPr>
            <w:t xml:space="preserve"> </w:t>
          </w:r>
          <w:r>
            <w:rPr>
              <w:i/>
              <w:sz w:val="18"/>
            </w:rPr>
            <w:t xml:space="preserve">(Reasonable Hypothesis) </w:t>
          </w:r>
          <w:r w:rsidR="0008674F" w:rsidRPr="007F2378">
            <w:rPr>
              <w:i/>
              <w:sz w:val="18"/>
            </w:rPr>
            <w:t xml:space="preserve">(No. </w:t>
          </w:r>
          <w:r>
            <w:rPr>
              <w:i/>
              <w:sz w:val="18"/>
            </w:rPr>
            <w:t>9</w:t>
          </w:r>
          <w:r>
            <w:rPr>
              <w:i/>
              <w:sz w:val="18"/>
              <w:szCs w:val="18"/>
            </w:rPr>
            <w:t>4</w:t>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793E58" w:rsidRPr="00793E58">
            <w:rPr>
              <w:i/>
              <w:sz w:val="18"/>
              <w:szCs w:val="18"/>
            </w:rPr>
            <w:t>2015</w:t>
          </w:r>
          <w:r w:rsidR="0008674F" w:rsidRPr="007F2378">
            <w:rPr>
              <w:i/>
              <w:sz w:val="18"/>
              <w:szCs w:val="18"/>
            </w:rPr>
            <w:fldChar w:fldCharType="end"/>
          </w:r>
          <w:r w:rsidR="0008674F"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C401D">
            <w:rPr>
              <w:i/>
              <w:noProof/>
              <w:sz w:val="18"/>
            </w:rPr>
            <w:t>8</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104C5B" w:rsidRDefault="008F48EC" w:rsidP="00104C5B">
          <w:pPr>
            <w:spacing w:line="0" w:lineRule="atLeast"/>
            <w:jc w:val="center"/>
            <w:rPr>
              <w:i/>
              <w:sz w:val="18"/>
            </w:rPr>
          </w:pPr>
          <w:r w:rsidRPr="00E55F66">
            <w:rPr>
              <w:i/>
              <w:sz w:val="18"/>
            </w:rPr>
            <w:t>Statement of Principles concer</w:t>
          </w:r>
          <w:r>
            <w:rPr>
              <w:i/>
              <w:sz w:val="18"/>
            </w:rPr>
            <w:t xml:space="preserve">ning </w:t>
          </w:r>
        </w:p>
        <w:p w:rsidR="00885EAB" w:rsidRPr="005E7FC2" w:rsidRDefault="00104C5B" w:rsidP="00104C5B">
          <w:pPr>
            <w:spacing w:line="0" w:lineRule="atLeast"/>
            <w:jc w:val="center"/>
            <w:rPr>
              <w:i/>
              <w:sz w:val="18"/>
            </w:rPr>
          </w:pPr>
          <w:r>
            <w:rPr>
              <w:i/>
              <w:sz w:val="18"/>
            </w:rPr>
            <w:t>F</w:t>
          </w:r>
          <w:r w:rsidR="00793E58" w:rsidRPr="00793E58">
            <w:rPr>
              <w:i/>
              <w:sz w:val="18"/>
              <w:szCs w:val="18"/>
            </w:rPr>
            <w:t>racture</w:t>
          </w:r>
          <w:r w:rsidR="00154DCA">
            <w:rPr>
              <w:i/>
              <w:sz w:val="18"/>
              <w:szCs w:val="18"/>
            </w:rPr>
            <w:t xml:space="preserve"> </w:t>
          </w:r>
          <w:r w:rsidR="008F48EC">
            <w:rPr>
              <w:i/>
              <w:sz w:val="18"/>
            </w:rPr>
            <w:t xml:space="preserve">(No. </w:t>
          </w:r>
          <w:r>
            <w:rPr>
              <w:i/>
              <w:sz w:val="18"/>
              <w:szCs w:val="18"/>
            </w:rPr>
            <w:t>94</w:t>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793E58" w:rsidRPr="00793E58">
            <w:rPr>
              <w:i/>
              <w:sz w:val="18"/>
              <w:szCs w:val="18"/>
            </w:rPr>
            <w:t>2015</w:t>
          </w:r>
          <w:r w:rsidR="003B403B" w:rsidRPr="007C5CE0">
            <w:rPr>
              <w:i/>
              <w:sz w:val="18"/>
              <w:szCs w:val="18"/>
            </w:rPr>
            <w:fldChar w:fldCharType="end"/>
          </w:r>
          <w:r w:rsidR="008F48EC"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C401D">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D33542">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3E58">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2424C071" wp14:editId="30F77077">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93E5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C071" id="_x0000_t202" coordsize="21600,21600" o:spt="202" path="m,l,21600r21600,l21600,xe">
              <v:stroke joinstyle="miter"/>
              <v:path gradientshapeok="t" o:connecttype="rect"/>
            </v:shapetype>
            <v:shape id="Text Box 24" o:spid="_x0000_s1027"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35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Yo9lIYqgWeryEe1kNaoZPeEM&#10;nzcIZsGcv2YWEwhKTFV/haWSGqWitxIltbbf39IHPFKFU9QWJhrK9tuaWVSa/KIwMsZZnocRGDf5&#10;6GiIjX1+snx+otbthUbHZPF1UQx4L3diZXV7h+E7DV5xxBSH74KiaXrxwvdzFsObi+k0gjD0DPML&#10;dWP4boqEJN52d8yabXd7sHmpd7OPTV41eY8NFa70dO111cQJ8MQqMhE2GJgxJ9vhHiby831EPf0F&#10;nf4C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Lv/3fk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93E5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3E58">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3E58">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F6020">
            <w:rPr>
              <w:i/>
              <w:noProof/>
              <w:sz w:val="18"/>
            </w:rPr>
            <w:t>5</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1D" w:rsidRDefault="005C4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1D" w:rsidRDefault="005C40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01D" w:rsidRDefault="005C40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5C401D">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5C401D">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5C401D">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5C401D">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CF2367">
    <w:pPr>
      <w:pBdr>
        <w:bottom w:val="single" w:sz="6" w:space="1" w:color="auto"/>
      </w:pBdr>
      <w:spacing w:after="120"/>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2BC39860" wp14:editId="09B9710C">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93E5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39860"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93E58">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793E58">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3E58">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3E58">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93E58">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93E58">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93E58">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3E58">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174042C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16" w15:restartNumberingAfterBreak="0">
    <w:nsid w:val="6E725279"/>
    <w:multiLevelType w:val="hybridMultilevel"/>
    <w:tmpl w:val="E1587246"/>
    <w:lvl w:ilvl="0" w:tplc="41DE5D30">
      <w:start w:val="1"/>
      <w:numFmt w:val="lowerLetter"/>
      <w:lvlText w:val="(%1)"/>
      <w:lvlJc w:val="left"/>
      <w:pPr>
        <w:tabs>
          <w:tab w:val="num" w:pos="1440"/>
        </w:tabs>
        <w:ind w:left="1440" w:hanging="72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0"/>
  </w:num>
  <w:num w:numId="22">
    <w:abstractNumId w:val="10"/>
  </w:num>
  <w:num w:numId="23">
    <w:abstractNumId w:val="10"/>
  </w:num>
  <w:num w:numId="24">
    <w:abstractNumId w:val="16"/>
  </w:num>
  <w:num w:numId="25">
    <w:abstractNumId w:val="10"/>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65632"/>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4C5B"/>
    <w:rsid w:val="001058EA"/>
    <w:rsid w:val="0010745C"/>
    <w:rsid w:val="00131F88"/>
    <w:rsid w:val="00132CEB"/>
    <w:rsid w:val="00142B62"/>
    <w:rsid w:val="0015201F"/>
    <w:rsid w:val="00154DCA"/>
    <w:rsid w:val="00157B8B"/>
    <w:rsid w:val="00161A8E"/>
    <w:rsid w:val="001648F7"/>
    <w:rsid w:val="00166C2F"/>
    <w:rsid w:val="00171E02"/>
    <w:rsid w:val="001809D7"/>
    <w:rsid w:val="001833C8"/>
    <w:rsid w:val="00187DE1"/>
    <w:rsid w:val="0019084F"/>
    <w:rsid w:val="001939E1"/>
    <w:rsid w:val="00194C3E"/>
    <w:rsid w:val="00195382"/>
    <w:rsid w:val="001B0F26"/>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47C85"/>
    <w:rsid w:val="002564A4"/>
    <w:rsid w:val="00262848"/>
    <w:rsid w:val="002650E6"/>
    <w:rsid w:val="0026736C"/>
    <w:rsid w:val="002716E4"/>
    <w:rsid w:val="002717B2"/>
    <w:rsid w:val="002773D7"/>
    <w:rsid w:val="00281308"/>
    <w:rsid w:val="0028382F"/>
    <w:rsid w:val="00284719"/>
    <w:rsid w:val="002927A8"/>
    <w:rsid w:val="00294043"/>
    <w:rsid w:val="00297ECB"/>
    <w:rsid w:val="002A1ECC"/>
    <w:rsid w:val="002A3436"/>
    <w:rsid w:val="002A7BCF"/>
    <w:rsid w:val="002B45FA"/>
    <w:rsid w:val="002B5188"/>
    <w:rsid w:val="002B5A43"/>
    <w:rsid w:val="002C7539"/>
    <w:rsid w:val="002D043A"/>
    <w:rsid w:val="002D2AA2"/>
    <w:rsid w:val="002D6224"/>
    <w:rsid w:val="002E0E9F"/>
    <w:rsid w:val="002E3F4B"/>
    <w:rsid w:val="002F5948"/>
    <w:rsid w:val="003004CD"/>
    <w:rsid w:val="00301C54"/>
    <w:rsid w:val="00304F8B"/>
    <w:rsid w:val="003176E8"/>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E341B"/>
    <w:rsid w:val="003F39C0"/>
    <w:rsid w:val="003F4535"/>
    <w:rsid w:val="0040729E"/>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067C"/>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697E"/>
    <w:rsid w:val="00537FBC"/>
    <w:rsid w:val="00545116"/>
    <w:rsid w:val="00546115"/>
    <w:rsid w:val="005574D1"/>
    <w:rsid w:val="00575A90"/>
    <w:rsid w:val="00584811"/>
    <w:rsid w:val="0058491F"/>
    <w:rsid w:val="00585784"/>
    <w:rsid w:val="00587C49"/>
    <w:rsid w:val="00593AA6"/>
    <w:rsid w:val="00594161"/>
    <w:rsid w:val="00594749"/>
    <w:rsid w:val="005B05D3"/>
    <w:rsid w:val="005B4067"/>
    <w:rsid w:val="005C3F41"/>
    <w:rsid w:val="005C401D"/>
    <w:rsid w:val="005D2D09"/>
    <w:rsid w:val="005E7FC2"/>
    <w:rsid w:val="005F3D14"/>
    <w:rsid w:val="00600219"/>
    <w:rsid w:val="006013B7"/>
    <w:rsid w:val="00603D01"/>
    <w:rsid w:val="00603DC4"/>
    <w:rsid w:val="00611D12"/>
    <w:rsid w:val="00615B89"/>
    <w:rsid w:val="00616FF5"/>
    <w:rsid w:val="00617C4E"/>
    <w:rsid w:val="00620076"/>
    <w:rsid w:val="00632318"/>
    <w:rsid w:val="006332C6"/>
    <w:rsid w:val="006420AB"/>
    <w:rsid w:val="0066266D"/>
    <w:rsid w:val="006647B7"/>
    <w:rsid w:val="00667A4E"/>
    <w:rsid w:val="00670EA1"/>
    <w:rsid w:val="00677CC2"/>
    <w:rsid w:val="00683022"/>
    <w:rsid w:val="006840B0"/>
    <w:rsid w:val="00684C0E"/>
    <w:rsid w:val="006905DE"/>
    <w:rsid w:val="0069207B"/>
    <w:rsid w:val="00695023"/>
    <w:rsid w:val="006B5789"/>
    <w:rsid w:val="006B685F"/>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35DA0"/>
    <w:rsid w:val="007440B7"/>
    <w:rsid w:val="007500C8"/>
    <w:rsid w:val="00751C06"/>
    <w:rsid w:val="007527C1"/>
    <w:rsid w:val="007534B2"/>
    <w:rsid w:val="00756272"/>
    <w:rsid w:val="00757544"/>
    <w:rsid w:val="007615E2"/>
    <w:rsid w:val="00763D94"/>
    <w:rsid w:val="00764D43"/>
    <w:rsid w:val="0076681A"/>
    <w:rsid w:val="007715C9"/>
    <w:rsid w:val="00771613"/>
    <w:rsid w:val="00773601"/>
    <w:rsid w:val="007743DB"/>
    <w:rsid w:val="00774897"/>
    <w:rsid w:val="00774EDD"/>
    <w:rsid w:val="007757EC"/>
    <w:rsid w:val="00775F47"/>
    <w:rsid w:val="00776551"/>
    <w:rsid w:val="00781B24"/>
    <w:rsid w:val="00782F4E"/>
    <w:rsid w:val="00783E89"/>
    <w:rsid w:val="007904DB"/>
    <w:rsid w:val="00793915"/>
    <w:rsid w:val="00793E58"/>
    <w:rsid w:val="0079657C"/>
    <w:rsid w:val="007A15B1"/>
    <w:rsid w:val="007B132E"/>
    <w:rsid w:val="007B706C"/>
    <w:rsid w:val="007C2253"/>
    <w:rsid w:val="007C5CE0"/>
    <w:rsid w:val="007C7DEE"/>
    <w:rsid w:val="007D3BA2"/>
    <w:rsid w:val="007E163D"/>
    <w:rsid w:val="007E3A9D"/>
    <w:rsid w:val="007E667A"/>
    <w:rsid w:val="007E7626"/>
    <w:rsid w:val="007F2378"/>
    <w:rsid w:val="007F28C9"/>
    <w:rsid w:val="007F6020"/>
    <w:rsid w:val="00803587"/>
    <w:rsid w:val="00806368"/>
    <w:rsid w:val="008117E9"/>
    <w:rsid w:val="00815C04"/>
    <w:rsid w:val="00824498"/>
    <w:rsid w:val="00831C11"/>
    <w:rsid w:val="008321ED"/>
    <w:rsid w:val="00832C32"/>
    <w:rsid w:val="008448C5"/>
    <w:rsid w:val="00850A63"/>
    <w:rsid w:val="00855DE4"/>
    <w:rsid w:val="00856A31"/>
    <w:rsid w:val="008654C3"/>
    <w:rsid w:val="0086644D"/>
    <w:rsid w:val="00867ABD"/>
    <w:rsid w:val="00867B37"/>
    <w:rsid w:val="00873081"/>
    <w:rsid w:val="008754D0"/>
    <w:rsid w:val="00877AE3"/>
    <w:rsid w:val="008855C9"/>
    <w:rsid w:val="00885EAB"/>
    <w:rsid w:val="00886456"/>
    <w:rsid w:val="008A46E1"/>
    <w:rsid w:val="008A4C04"/>
    <w:rsid w:val="008A4F43"/>
    <w:rsid w:val="008B2204"/>
    <w:rsid w:val="008B2706"/>
    <w:rsid w:val="008C6A80"/>
    <w:rsid w:val="008D0EE0"/>
    <w:rsid w:val="008D16D3"/>
    <w:rsid w:val="008D1B8B"/>
    <w:rsid w:val="008E4A16"/>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6922"/>
    <w:rsid w:val="009612CF"/>
    <w:rsid w:val="00973808"/>
    <w:rsid w:val="00982242"/>
    <w:rsid w:val="009868E9"/>
    <w:rsid w:val="009B5A4E"/>
    <w:rsid w:val="009C2B65"/>
    <w:rsid w:val="009C404D"/>
    <w:rsid w:val="009E0B8A"/>
    <w:rsid w:val="009E5CFC"/>
    <w:rsid w:val="00A02752"/>
    <w:rsid w:val="00A05EC2"/>
    <w:rsid w:val="00A079CB"/>
    <w:rsid w:val="00A11A1A"/>
    <w:rsid w:val="00A11C0D"/>
    <w:rsid w:val="00A12128"/>
    <w:rsid w:val="00A137F8"/>
    <w:rsid w:val="00A17561"/>
    <w:rsid w:val="00A20CA1"/>
    <w:rsid w:val="00A22C98"/>
    <w:rsid w:val="00A231E2"/>
    <w:rsid w:val="00A30FF1"/>
    <w:rsid w:val="00A515BC"/>
    <w:rsid w:val="00A545B3"/>
    <w:rsid w:val="00A56C3D"/>
    <w:rsid w:val="00A6070D"/>
    <w:rsid w:val="00A64912"/>
    <w:rsid w:val="00A70A74"/>
    <w:rsid w:val="00AA64D6"/>
    <w:rsid w:val="00AA6D8B"/>
    <w:rsid w:val="00AB7D8E"/>
    <w:rsid w:val="00AD2DC7"/>
    <w:rsid w:val="00AD4F4D"/>
    <w:rsid w:val="00AD5641"/>
    <w:rsid w:val="00AD7889"/>
    <w:rsid w:val="00AD7AC2"/>
    <w:rsid w:val="00AD7DCC"/>
    <w:rsid w:val="00AE2CC5"/>
    <w:rsid w:val="00AF021B"/>
    <w:rsid w:val="00AF06CF"/>
    <w:rsid w:val="00B05CF4"/>
    <w:rsid w:val="00B065E5"/>
    <w:rsid w:val="00B07CDB"/>
    <w:rsid w:val="00B1182D"/>
    <w:rsid w:val="00B166C8"/>
    <w:rsid w:val="00B16A31"/>
    <w:rsid w:val="00B177FE"/>
    <w:rsid w:val="00B17DFD"/>
    <w:rsid w:val="00B24368"/>
    <w:rsid w:val="00B308FE"/>
    <w:rsid w:val="00B33709"/>
    <w:rsid w:val="00B33B3C"/>
    <w:rsid w:val="00B50ADC"/>
    <w:rsid w:val="00B527C0"/>
    <w:rsid w:val="00B566B1"/>
    <w:rsid w:val="00B63834"/>
    <w:rsid w:val="00B664A3"/>
    <w:rsid w:val="00B72475"/>
    <w:rsid w:val="00B72734"/>
    <w:rsid w:val="00B72A5E"/>
    <w:rsid w:val="00B753CD"/>
    <w:rsid w:val="00B80199"/>
    <w:rsid w:val="00B83204"/>
    <w:rsid w:val="00B833B0"/>
    <w:rsid w:val="00B90372"/>
    <w:rsid w:val="00B90B8D"/>
    <w:rsid w:val="00B92A80"/>
    <w:rsid w:val="00BA220B"/>
    <w:rsid w:val="00BA3492"/>
    <w:rsid w:val="00BA3A57"/>
    <w:rsid w:val="00BA691F"/>
    <w:rsid w:val="00BB4E1A"/>
    <w:rsid w:val="00BC015E"/>
    <w:rsid w:val="00BC76AC"/>
    <w:rsid w:val="00BD0ECB"/>
    <w:rsid w:val="00BD0F2C"/>
    <w:rsid w:val="00BD3334"/>
    <w:rsid w:val="00BD5C93"/>
    <w:rsid w:val="00BE2155"/>
    <w:rsid w:val="00BE2213"/>
    <w:rsid w:val="00BE719A"/>
    <w:rsid w:val="00BE720A"/>
    <w:rsid w:val="00BF0D73"/>
    <w:rsid w:val="00BF2465"/>
    <w:rsid w:val="00BF43B4"/>
    <w:rsid w:val="00BF525F"/>
    <w:rsid w:val="00C01863"/>
    <w:rsid w:val="00C11D03"/>
    <w:rsid w:val="00C12CCE"/>
    <w:rsid w:val="00C25E7F"/>
    <w:rsid w:val="00C2746F"/>
    <w:rsid w:val="00C324A0"/>
    <w:rsid w:val="00C3300F"/>
    <w:rsid w:val="00C42BF8"/>
    <w:rsid w:val="00C50043"/>
    <w:rsid w:val="00C5731E"/>
    <w:rsid w:val="00C66597"/>
    <w:rsid w:val="00C738B9"/>
    <w:rsid w:val="00C74B07"/>
    <w:rsid w:val="00C7573B"/>
    <w:rsid w:val="00C77046"/>
    <w:rsid w:val="00C90130"/>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E6BD3"/>
    <w:rsid w:val="00CF07FA"/>
    <w:rsid w:val="00CF0BB2"/>
    <w:rsid w:val="00CF2367"/>
    <w:rsid w:val="00CF3EE8"/>
    <w:rsid w:val="00CF4400"/>
    <w:rsid w:val="00D050E6"/>
    <w:rsid w:val="00D13441"/>
    <w:rsid w:val="00D150E7"/>
    <w:rsid w:val="00D16A6B"/>
    <w:rsid w:val="00D315F5"/>
    <w:rsid w:val="00D32F65"/>
    <w:rsid w:val="00D32F71"/>
    <w:rsid w:val="00D33542"/>
    <w:rsid w:val="00D33883"/>
    <w:rsid w:val="00D377E3"/>
    <w:rsid w:val="00D40672"/>
    <w:rsid w:val="00D50484"/>
    <w:rsid w:val="00D527C9"/>
    <w:rsid w:val="00D52DC2"/>
    <w:rsid w:val="00D53BCC"/>
    <w:rsid w:val="00D5599D"/>
    <w:rsid w:val="00D5620B"/>
    <w:rsid w:val="00D60FC8"/>
    <w:rsid w:val="00D612A9"/>
    <w:rsid w:val="00D70DFB"/>
    <w:rsid w:val="00D71633"/>
    <w:rsid w:val="00D766DF"/>
    <w:rsid w:val="00D91443"/>
    <w:rsid w:val="00D93DA9"/>
    <w:rsid w:val="00D96383"/>
    <w:rsid w:val="00D97BB3"/>
    <w:rsid w:val="00DA186E"/>
    <w:rsid w:val="00DA4116"/>
    <w:rsid w:val="00DA7AC0"/>
    <w:rsid w:val="00DB251C"/>
    <w:rsid w:val="00DB4630"/>
    <w:rsid w:val="00DC4F88"/>
    <w:rsid w:val="00DD2B43"/>
    <w:rsid w:val="00DD31AB"/>
    <w:rsid w:val="00DE0026"/>
    <w:rsid w:val="00DE599C"/>
    <w:rsid w:val="00DE59B7"/>
    <w:rsid w:val="00DF24DC"/>
    <w:rsid w:val="00DF5291"/>
    <w:rsid w:val="00DF6D11"/>
    <w:rsid w:val="00E01818"/>
    <w:rsid w:val="00E027E3"/>
    <w:rsid w:val="00E05704"/>
    <w:rsid w:val="00E0571D"/>
    <w:rsid w:val="00E11E44"/>
    <w:rsid w:val="00E131DF"/>
    <w:rsid w:val="00E3270E"/>
    <w:rsid w:val="00E338EF"/>
    <w:rsid w:val="00E35C4E"/>
    <w:rsid w:val="00E544BB"/>
    <w:rsid w:val="00E55F66"/>
    <w:rsid w:val="00E64EE4"/>
    <w:rsid w:val="00E662CB"/>
    <w:rsid w:val="00E74DC7"/>
    <w:rsid w:val="00E8075A"/>
    <w:rsid w:val="00E92D94"/>
    <w:rsid w:val="00E9347E"/>
    <w:rsid w:val="00E93E6F"/>
    <w:rsid w:val="00E94D5E"/>
    <w:rsid w:val="00EA5BE3"/>
    <w:rsid w:val="00EA7100"/>
    <w:rsid w:val="00EA7F9F"/>
    <w:rsid w:val="00EB1274"/>
    <w:rsid w:val="00EB2BC4"/>
    <w:rsid w:val="00EC5E80"/>
    <w:rsid w:val="00ED2BB6"/>
    <w:rsid w:val="00ED34D1"/>
    <w:rsid w:val="00ED34E1"/>
    <w:rsid w:val="00ED3B8D"/>
    <w:rsid w:val="00ED4913"/>
    <w:rsid w:val="00ED501C"/>
    <w:rsid w:val="00EF2E3A"/>
    <w:rsid w:val="00F02383"/>
    <w:rsid w:val="00F03C06"/>
    <w:rsid w:val="00F072A7"/>
    <w:rsid w:val="00F078DC"/>
    <w:rsid w:val="00F1125F"/>
    <w:rsid w:val="00F115CB"/>
    <w:rsid w:val="00F32BA8"/>
    <w:rsid w:val="00F349F1"/>
    <w:rsid w:val="00F4350D"/>
    <w:rsid w:val="00F52B66"/>
    <w:rsid w:val="00F567F7"/>
    <w:rsid w:val="00F62036"/>
    <w:rsid w:val="00F65B52"/>
    <w:rsid w:val="00F67B67"/>
    <w:rsid w:val="00F67BCA"/>
    <w:rsid w:val="00F737EA"/>
    <w:rsid w:val="00F73BD6"/>
    <w:rsid w:val="00F82847"/>
    <w:rsid w:val="00F83989"/>
    <w:rsid w:val="00F83D85"/>
    <w:rsid w:val="00F85099"/>
    <w:rsid w:val="00F9379C"/>
    <w:rsid w:val="00F956BA"/>
    <w:rsid w:val="00F9632C"/>
    <w:rsid w:val="00F977B4"/>
    <w:rsid w:val="00F97A62"/>
    <w:rsid w:val="00FA0587"/>
    <w:rsid w:val="00FA1E52"/>
    <w:rsid w:val="00FA33FB"/>
    <w:rsid w:val="00FB3EF0"/>
    <w:rsid w:val="00FB533A"/>
    <w:rsid w:val="00FD0628"/>
    <w:rsid w:val="00FD07DF"/>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E131DF"/>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E131DF"/>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BodyText2">
    <w:name w:val="Body Text 2"/>
    <w:basedOn w:val="Normal"/>
    <w:link w:val="BodyText2Char"/>
    <w:rsid w:val="00C90130"/>
    <w:pPr>
      <w:spacing w:line="240" w:lineRule="auto"/>
      <w:jc w:val="both"/>
    </w:pPr>
    <w:rPr>
      <w:rFonts w:eastAsia="Times New Roman"/>
      <w:sz w:val="24"/>
      <w:lang w:eastAsia="en-AU"/>
    </w:rPr>
  </w:style>
  <w:style w:type="character" w:customStyle="1" w:styleId="BodyText2Char">
    <w:name w:val="Body Text 2 Char"/>
    <w:basedOn w:val="DefaultParagraphFont"/>
    <w:link w:val="BodyText2"/>
    <w:rsid w:val="00C90130"/>
    <w:rPr>
      <w:rFonts w:eastAsia="Times New Roman"/>
      <w:sz w:val="24"/>
    </w:rPr>
  </w:style>
  <w:style w:type="paragraph" w:styleId="FootnoteText">
    <w:name w:val="footnote text"/>
    <w:basedOn w:val="Normal"/>
    <w:link w:val="FootnoteTextChar"/>
    <w:semiHidden/>
    <w:rsid w:val="00C90130"/>
    <w:pPr>
      <w:spacing w:line="240" w:lineRule="auto"/>
    </w:pPr>
    <w:rPr>
      <w:rFonts w:eastAsia="Times New Roman"/>
      <w:sz w:val="20"/>
      <w:lang w:eastAsia="en-AU"/>
    </w:rPr>
  </w:style>
  <w:style w:type="character" w:customStyle="1" w:styleId="FootnoteTextChar">
    <w:name w:val="Footnote Text Char"/>
    <w:basedOn w:val="DefaultParagraphFont"/>
    <w:link w:val="FootnoteText"/>
    <w:semiHidden/>
    <w:rsid w:val="00C9013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10469</Characters>
  <Application>Microsoft Office Word</Application>
  <DocSecurity>0</DocSecurity>
  <PresentationFormat/>
  <Lines>87</Lines>
  <Paragraphs>24</Paragraphs>
  <ScaleCrop>false</ScaleCrop>
  <LinksUpToDate>false</LinksUpToDate>
  <CharactersWithSpaces>12281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2015-08-18T05:03:00Z</dcterms:created>
  <dcterms:modified xsi:type="dcterms:W3CDTF">2015-08-18T05:03:00Z</dcterms:modified>
  <dc:language/>
  <cp:version/>
</cp:coreProperties>
</file>