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B5" w:rsidRDefault="00B315C7">
      <w:pPr>
        <w:pStyle w:val="sop"/>
        <w:spacing w:before="0" w:after="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FC10B5" w:rsidRDefault="00FC10B5">
      <w:pPr>
        <w:pStyle w:val="sop"/>
        <w:ind w:left="0"/>
        <w:rPr>
          <w:rFonts w:ascii="Arial" w:hAnsi="Arial"/>
        </w:rPr>
      </w:pPr>
    </w:p>
    <w:p w:rsidR="00FC10B5" w:rsidRDefault="00FC10B5">
      <w:pPr>
        <w:ind w:left="0"/>
        <w:jc w:val="center"/>
        <w:outlineLvl w:val="0"/>
        <w:rPr>
          <w:rFonts w:ascii="Arial" w:hAnsi="Arial"/>
          <w:sz w:val="40"/>
        </w:rPr>
      </w:pPr>
      <w:r>
        <w:rPr>
          <w:rFonts w:ascii="Arial" w:hAnsi="Arial"/>
          <w:sz w:val="40"/>
        </w:rPr>
        <w:t>Statement of Principles</w:t>
      </w:r>
    </w:p>
    <w:p w:rsidR="00FC10B5" w:rsidRDefault="00FC10B5">
      <w:pPr>
        <w:ind w:left="0"/>
        <w:jc w:val="center"/>
        <w:outlineLvl w:val="0"/>
        <w:rPr>
          <w:rFonts w:ascii="Arial" w:hAnsi="Arial"/>
          <w:sz w:val="28"/>
        </w:rPr>
      </w:pPr>
      <w:r>
        <w:rPr>
          <w:rFonts w:ascii="Arial" w:hAnsi="Arial"/>
          <w:sz w:val="28"/>
        </w:rPr>
        <w:t>concerning</w:t>
      </w:r>
    </w:p>
    <w:p w:rsidR="00FC10B5" w:rsidRDefault="00FC10B5">
      <w:pPr>
        <w:ind w:left="0"/>
        <w:jc w:val="center"/>
        <w:rPr>
          <w:rFonts w:ascii="Arial" w:hAnsi="Arial"/>
          <w:sz w:val="28"/>
        </w:rPr>
      </w:pPr>
    </w:p>
    <w:p w:rsidR="00FC10B5" w:rsidRDefault="00FC10B5">
      <w:pPr>
        <w:ind w:left="0"/>
        <w:jc w:val="center"/>
        <w:outlineLvl w:val="0"/>
        <w:rPr>
          <w:rFonts w:ascii="Arial" w:hAnsi="Arial"/>
          <w:b/>
          <w:sz w:val="40"/>
        </w:rPr>
      </w:pPr>
      <w:r>
        <w:rPr>
          <w:rFonts w:ascii="Arial" w:hAnsi="Arial"/>
          <w:b/>
          <w:sz w:val="40"/>
        </w:rPr>
        <w:t>SPONDYLOLISTHESIS AND SPONDYLOLYSIS</w:t>
      </w:r>
    </w:p>
    <w:p w:rsidR="00FC10B5" w:rsidRDefault="00FC10B5">
      <w:pPr>
        <w:spacing w:before="240"/>
        <w:ind w:left="0"/>
        <w:jc w:val="center"/>
        <w:outlineLvl w:val="0"/>
        <w:rPr>
          <w:rFonts w:ascii="Arial" w:hAnsi="Arial"/>
          <w:b/>
          <w:sz w:val="40"/>
        </w:rPr>
      </w:pPr>
      <w:r>
        <w:rPr>
          <w:rFonts w:ascii="Arial" w:hAnsi="Arial"/>
          <w:b/>
          <w:sz w:val="40"/>
        </w:rPr>
        <w:t xml:space="preserve">No. </w:t>
      </w:r>
      <w:r w:rsidR="00571BDF">
        <w:rPr>
          <w:rFonts w:ascii="Arial" w:hAnsi="Arial"/>
          <w:b/>
          <w:sz w:val="40"/>
        </w:rPr>
        <w:t>59</w:t>
      </w:r>
      <w:r>
        <w:rPr>
          <w:rFonts w:ascii="Arial" w:hAnsi="Arial"/>
          <w:b/>
          <w:sz w:val="40"/>
        </w:rPr>
        <w:t xml:space="preserve"> of </w:t>
      </w:r>
      <w:r w:rsidR="008E7585">
        <w:rPr>
          <w:rFonts w:ascii="Arial" w:hAnsi="Arial"/>
          <w:b/>
          <w:sz w:val="40"/>
        </w:rPr>
        <w:t>2015</w:t>
      </w:r>
    </w:p>
    <w:p w:rsidR="00FC10B5" w:rsidRDefault="00FC10B5">
      <w:pPr>
        <w:ind w:left="0"/>
        <w:jc w:val="center"/>
        <w:rPr>
          <w:rFonts w:ascii="Arial" w:hAnsi="Arial"/>
          <w:b/>
          <w:sz w:val="24"/>
        </w:rPr>
      </w:pPr>
    </w:p>
    <w:p w:rsidR="00FC10B5" w:rsidRDefault="00FC10B5">
      <w:pPr>
        <w:ind w:left="0"/>
        <w:jc w:val="center"/>
        <w:rPr>
          <w:rFonts w:ascii="Arial" w:hAnsi="Arial"/>
          <w:sz w:val="28"/>
        </w:rPr>
      </w:pPr>
      <w:r>
        <w:rPr>
          <w:rFonts w:ascii="Arial" w:hAnsi="Arial"/>
          <w:sz w:val="28"/>
        </w:rPr>
        <w:t>for the purposes of the</w:t>
      </w:r>
    </w:p>
    <w:p w:rsidR="00FC10B5" w:rsidRDefault="00FC10B5">
      <w:pPr>
        <w:ind w:left="0"/>
        <w:jc w:val="center"/>
        <w:rPr>
          <w:rFonts w:ascii="Arial" w:hAnsi="Arial"/>
          <w:b/>
          <w:sz w:val="24"/>
        </w:rPr>
      </w:pPr>
    </w:p>
    <w:p w:rsidR="00FC10B5" w:rsidRDefault="00FC10B5">
      <w:pPr>
        <w:ind w:left="0"/>
        <w:jc w:val="center"/>
        <w:outlineLvl w:val="0"/>
        <w:rPr>
          <w:rFonts w:ascii="Arial" w:hAnsi="Arial"/>
          <w:i/>
          <w:sz w:val="32"/>
        </w:rPr>
      </w:pPr>
      <w:r>
        <w:rPr>
          <w:rFonts w:ascii="Arial" w:hAnsi="Arial"/>
          <w:i/>
          <w:sz w:val="32"/>
        </w:rPr>
        <w:t>Veterans’ Entitlements Act 1986</w:t>
      </w:r>
    </w:p>
    <w:p w:rsidR="00FC10B5" w:rsidRDefault="00FC10B5">
      <w:pPr>
        <w:ind w:left="0"/>
        <w:jc w:val="center"/>
        <w:rPr>
          <w:rFonts w:ascii="Arial" w:hAnsi="Arial"/>
          <w:sz w:val="28"/>
        </w:rPr>
      </w:pPr>
      <w:r>
        <w:rPr>
          <w:rFonts w:ascii="Arial" w:hAnsi="Arial"/>
          <w:sz w:val="28"/>
        </w:rPr>
        <w:t>and</w:t>
      </w:r>
    </w:p>
    <w:p w:rsidR="00FC10B5" w:rsidRDefault="00FC10B5">
      <w:pPr>
        <w:ind w:left="0"/>
        <w:jc w:val="center"/>
        <w:rPr>
          <w:rFonts w:ascii="Arial" w:hAnsi="Arial"/>
          <w:sz w:val="32"/>
        </w:rPr>
      </w:pPr>
      <w:r>
        <w:rPr>
          <w:rFonts w:ascii="Arial" w:hAnsi="Arial"/>
          <w:i/>
          <w:sz w:val="32"/>
        </w:rPr>
        <w:t>Military Rehabilitation and Compensation Act 2004</w:t>
      </w:r>
    </w:p>
    <w:p w:rsidR="00FC10B5" w:rsidRDefault="00FC10B5">
      <w:pPr>
        <w:pStyle w:val="clauseheading"/>
      </w:pPr>
      <w:r>
        <w:t>Title</w:t>
      </w:r>
    </w:p>
    <w:p w:rsidR="00FC10B5" w:rsidRDefault="00FC10B5">
      <w:pPr>
        <w:ind w:hanging="720"/>
        <w:rPr>
          <w:sz w:val="24"/>
          <w:szCs w:val="24"/>
        </w:rPr>
      </w:pPr>
      <w:r>
        <w:rPr>
          <w:b/>
          <w:sz w:val="24"/>
          <w:szCs w:val="24"/>
        </w:rPr>
        <w:t>1.</w:t>
      </w:r>
      <w:r>
        <w:rPr>
          <w:sz w:val="24"/>
          <w:szCs w:val="24"/>
        </w:rPr>
        <w:tab/>
        <w:t xml:space="preserve">This Instrument may be cited as Statement of Principles concerning spondylolisthesis and spondylolysis No. </w:t>
      </w:r>
      <w:r w:rsidR="00571BDF">
        <w:rPr>
          <w:sz w:val="24"/>
          <w:szCs w:val="24"/>
        </w:rPr>
        <w:t>59</w:t>
      </w:r>
      <w:r>
        <w:rPr>
          <w:sz w:val="24"/>
          <w:szCs w:val="24"/>
        </w:rPr>
        <w:t xml:space="preserve"> of </w:t>
      </w:r>
      <w:r w:rsidR="008E7585">
        <w:rPr>
          <w:sz w:val="24"/>
          <w:szCs w:val="24"/>
        </w:rPr>
        <w:t>2015</w:t>
      </w:r>
      <w:r>
        <w:rPr>
          <w:sz w:val="24"/>
          <w:szCs w:val="24"/>
        </w:rPr>
        <w:t>.</w:t>
      </w:r>
    </w:p>
    <w:p w:rsidR="00FC10B5" w:rsidRDefault="00FC10B5">
      <w:pPr>
        <w:pStyle w:val="clauseheading"/>
      </w:pPr>
      <w:r>
        <w:t>Determination</w:t>
      </w:r>
    </w:p>
    <w:p w:rsidR="00FC10B5" w:rsidRDefault="00FC10B5">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FC10B5" w:rsidRDefault="00FC10B5">
      <w:pPr>
        <w:pStyle w:val="BodyTextIndent"/>
        <w:spacing w:before="120"/>
        <w:rPr>
          <w:sz w:val="24"/>
          <w:szCs w:val="24"/>
        </w:rPr>
      </w:pPr>
      <w:r>
        <w:rPr>
          <w:sz w:val="24"/>
          <w:szCs w:val="24"/>
        </w:rPr>
        <w:t>(a)</w:t>
      </w:r>
      <w:r>
        <w:rPr>
          <w:sz w:val="24"/>
          <w:szCs w:val="24"/>
        </w:rPr>
        <w:tab/>
        <w:t>revokes Instrument No. 5 of 2006</w:t>
      </w:r>
      <w:r w:rsidR="00571BDF">
        <w:rPr>
          <w:sz w:val="24"/>
          <w:szCs w:val="24"/>
        </w:rPr>
        <w:t xml:space="preserve">, as amended, </w:t>
      </w:r>
      <w:r>
        <w:rPr>
          <w:sz w:val="24"/>
          <w:szCs w:val="24"/>
        </w:rPr>
        <w:t>concerning spondylolisthesis and spondylolysis; and</w:t>
      </w:r>
    </w:p>
    <w:p w:rsidR="00FC10B5" w:rsidRDefault="00FC10B5">
      <w:pPr>
        <w:pStyle w:val="BodyTextIndent"/>
        <w:spacing w:before="120"/>
        <w:rPr>
          <w:sz w:val="24"/>
          <w:szCs w:val="24"/>
        </w:rPr>
      </w:pPr>
      <w:r>
        <w:rPr>
          <w:sz w:val="24"/>
          <w:szCs w:val="24"/>
        </w:rPr>
        <w:t>(b)</w:t>
      </w:r>
      <w:r>
        <w:rPr>
          <w:sz w:val="24"/>
          <w:szCs w:val="24"/>
        </w:rPr>
        <w:tab/>
        <w:t>determines in its place this Statement of Principles.</w:t>
      </w:r>
    </w:p>
    <w:p w:rsidR="00FC10B5" w:rsidRDefault="00FC10B5">
      <w:pPr>
        <w:pStyle w:val="clauseheading"/>
      </w:pPr>
      <w:r>
        <w:t>Kind of injury, disease or death</w:t>
      </w:r>
    </w:p>
    <w:p w:rsidR="00FC10B5" w:rsidRDefault="00FC10B5">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Pr>
          <w:b/>
          <w:sz w:val="24"/>
          <w:szCs w:val="24"/>
        </w:rPr>
        <w:t xml:space="preserve">spondylolisthesis and spondylolysis </w:t>
      </w:r>
      <w:r>
        <w:rPr>
          <w:sz w:val="24"/>
          <w:szCs w:val="24"/>
        </w:rPr>
        <w:t xml:space="preserve">and </w:t>
      </w:r>
      <w:r>
        <w:rPr>
          <w:b/>
          <w:sz w:val="24"/>
          <w:szCs w:val="24"/>
        </w:rPr>
        <w:t>death from spondylolisthesis and spondylolysis</w:t>
      </w:r>
      <w:r>
        <w:rPr>
          <w:sz w:val="24"/>
          <w:szCs w:val="24"/>
        </w:rPr>
        <w:t>.</w:t>
      </w:r>
    </w:p>
    <w:p w:rsidR="00FC10B5" w:rsidRDefault="00FC10B5">
      <w:pPr>
        <w:numPr>
          <w:ilvl w:val="0"/>
          <w:numId w:val="2"/>
        </w:numPr>
        <w:spacing w:after="120"/>
        <w:rPr>
          <w:sz w:val="24"/>
          <w:szCs w:val="24"/>
        </w:rPr>
      </w:pPr>
      <w:r>
        <w:rPr>
          <w:sz w:val="24"/>
          <w:szCs w:val="24"/>
        </w:rPr>
        <w:t>For the purposes of this Statement of Principles:</w:t>
      </w:r>
    </w:p>
    <w:p w:rsidR="00FC10B5" w:rsidRDefault="00FC10B5">
      <w:pPr>
        <w:spacing w:after="120"/>
        <w:ind w:left="1429"/>
        <w:rPr>
          <w:sz w:val="24"/>
          <w:szCs w:val="24"/>
        </w:rPr>
      </w:pPr>
      <w:r>
        <w:rPr>
          <w:b/>
          <w:sz w:val="24"/>
          <w:szCs w:val="24"/>
        </w:rPr>
        <w:t xml:space="preserve">"spondylolisthesis" </w:t>
      </w:r>
      <w:r>
        <w:rPr>
          <w:sz w:val="24"/>
          <w:szCs w:val="24"/>
        </w:rPr>
        <w:t xml:space="preserve">means </w:t>
      </w:r>
      <w:r>
        <w:rPr>
          <w:sz w:val="24"/>
          <w:szCs w:val="24"/>
          <w:lang w:val="en-US"/>
        </w:rPr>
        <w:t>forward displacement of one vertebra over another</w:t>
      </w:r>
      <w:r>
        <w:rPr>
          <w:sz w:val="24"/>
          <w:szCs w:val="24"/>
        </w:rPr>
        <w:t>; and</w:t>
      </w:r>
    </w:p>
    <w:p w:rsidR="00FC10B5" w:rsidRDefault="00FC10B5">
      <w:pPr>
        <w:spacing w:after="120" w:line="240" w:lineRule="auto"/>
        <w:ind w:left="1418"/>
        <w:rPr>
          <w:sz w:val="24"/>
          <w:szCs w:val="24"/>
          <w:lang w:val="en-US"/>
        </w:rPr>
      </w:pPr>
      <w:r>
        <w:rPr>
          <w:b/>
          <w:sz w:val="24"/>
          <w:szCs w:val="24"/>
        </w:rPr>
        <w:t xml:space="preserve">"spondylolysis" </w:t>
      </w:r>
      <w:r>
        <w:rPr>
          <w:sz w:val="24"/>
          <w:szCs w:val="24"/>
        </w:rPr>
        <w:t xml:space="preserve">means </w:t>
      </w:r>
      <w:r>
        <w:rPr>
          <w:sz w:val="24"/>
          <w:szCs w:val="24"/>
          <w:lang w:val="en-US"/>
        </w:rPr>
        <w:t>a defect or fracture, unilateral or bilateral, involving th</w:t>
      </w:r>
      <w:bookmarkStart w:id="0" w:name="_GoBack"/>
      <w:bookmarkEnd w:id="0"/>
      <w:r>
        <w:rPr>
          <w:sz w:val="24"/>
          <w:szCs w:val="24"/>
          <w:lang w:val="en-US"/>
        </w:rPr>
        <w:t>e pars interarticularis of a vertebra.  The pars interarticularis is that part of the vertebral arch that extends between the superior and inferior articular processes.</w:t>
      </w:r>
    </w:p>
    <w:p w:rsidR="00FC10B5" w:rsidRDefault="00FC10B5">
      <w:pPr>
        <w:numPr>
          <w:ilvl w:val="0"/>
          <w:numId w:val="2"/>
        </w:numPr>
        <w:spacing w:after="120" w:line="240" w:lineRule="auto"/>
        <w:rPr>
          <w:sz w:val="24"/>
          <w:szCs w:val="24"/>
        </w:rPr>
      </w:pPr>
      <w:r>
        <w:rPr>
          <w:sz w:val="24"/>
          <w:szCs w:val="24"/>
        </w:rPr>
        <w:lastRenderedPageBreak/>
        <w:t>Spondylolisthesis attracts ICD-10-AM code M43.1 or Q76.21; and spondylolysis attracts ICD-10-AM code M43.0 or Q76.22.</w:t>
      </w:r>
    </w:p>
    <w:p w:rsidR="00FC10B5" w:rsidRDefault="00FC10B5">
      <w:pPr>
        <w:numPr>
          <w:ilvl w:val="0"/>
          <w:numId w:val="6"/>
        </w:numPr>
        <w:spacing w:line="240" w:lineRule="auto"/>
        <w:rPr>
          <w:sz w:val="24"/>
          <w:szCs w:val="24"/>
        </w:rPr>
      </w:pPr>
      <w:r>
        <w:rPr>
          <w:sz w:val="24"/>
          <w:szCs w:val="24"/>
        </w:rPr>
        <w:t xml:space="preserve">In the application of this Statement of Principles, the definition of </w:t>
      </w:r>
      <w:r>
        <w:rPr>
          <w:b/>
          <w:sz w:val="24"/>
          <w:szCs w:val="24"/>
        </w:rPr>
        <w:t xml:space="preserve">"spondylolisthesis and spondylolysis" </w:t>
      </w:r>
      <w:r>
        <w:rPr>
          <w:sz w:val="24"/>
          <w:szCs w:val="24"/>
        </w:rPr>
        <w:t>is that given at paragraph 3(b) above.</w:t>
      </w:r>
    </w:p>
    <w:p w:rsidR="00FC10B5" w:rsidRDefault="00FC10B5">
      <w:pPr>
        <w:pStyle w:val="clauseheading"/>
      </w:pPr>
      <w:r>
        <w:t>Basis for determining the factors</w:t>
      </w:r>
    </w:p>
    <w:p w:rsidR="00FC10B5" w:rsidRDefault="00FC10B5">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Pr>
          <w:b/>
          <w:sz w:val="24"/>
          <w:szCs w:val="24"/>
        </w:rPr>
        <w:t xml:space="preserve">spondylolisthesis </w:t>
      </w:r>
      <w:r w:rsidR="00D31C81">
        <w:rPr>
          <w:b/>
          <w:sz w:val="24"/>
          <w:szCs w:val="24"/>
        </w:rPr>
        <w:t>or</w:t>
      </w:r>
      <w:r>
        <w:rPr>
          <w:b/>
          <w:sz w:val="24"/>
          <w:szCs w:val="24"/>
        </w:rPr>
        <w:t xml:space="preserve"> spondylolysis </w:t>
      </w:r>
      <w:r>
        <w:rPr>
          <w:sz w:val="24"/>
          <w:szCs w:val="24"/>
        </w:rPr>
        <w:t>and</w:t>
      </w:r>
      <w:r>
        <w:rPr>
          <w:b/>
          <w:sz w:val="24"/>
          <w:szCs w:val="24"/>
        </w:rPr>
        <w:t xml:space="preserve"> death from spondylolisthesis </w:t>
      </w:r>
      <w:r w:rsidR="00D31C81">
        <w:rPr>
          <w:b/>
          <w:sz w:val="24"/>
          <w:szCs w:val="24"/>
        </w:rPr>
        <w:t>or</w:t>
      </w:r>
      <w:r>
        <w:rPr>
          <w:b/>
          <w:sz w:val="24"/>
          <w:szCs w:val="24"/>
        </w:rPr>
        <w:t xml:space="preserve"> spondylolysis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FC10B5" w:rsidRDefault="00FC10B5">
      <w:pPr>
        <w:pStyle w:val="clauseheading"/>
      </w:pPr>
      <w:r>
        <w:t>Factors that must be related to service</w:t>
      </w:r>
    </w:p>
    <w:p w:rsidR="00FC10B5" w:rsidRDefault="00FC10B5">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FC10B5" w:rsidRDefault="00FC10B5">
      <w:pPr>
        <w:pStyle w:val="clauseheading"/>
      </w:pPr>
      <w:r>
        <w:t>Factors</w:t>
      </w:r>
    </w:p>
    <w:p w:rsidR="00FC10B5" w:rsidRDefault="00FC10B5">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Pr>
          <w:b/>
          <w:sz w:val="24"/>
          <w:szCs w:val="24"/>
        </w:rPr>
        <w:t xml:space="preserve">spondylolisthesis </w:t>
      </w:r>
      <w:r w:rsidR="00D31C81">
        <w:rPr>
          <w:b/>
          <w:sz w:val="24"/>
          <w:szCs w:val="24"/>
        </w:rPr>
        <w:t>or</w:t>
      </w:r>
      <w:r>
        <w:rPr>
          <w:b/>
          <w:sz w:val="24"/>
          <w:szCs w:val="24"/>
        </w:rPr>
        <w:t xml:space="preserve"> spondylolysis </w:t>
      </w:r>
      <w:r>
        <w:rPr>
          <w:sz w:val="24"/>
          <w:szCs w:val="24"/>
        </w:rPr>
        <w:t>or</w:t>
      </w:r>
      <w:r>
        <w:rPr>
          <w:b/>
          <w:sz w:val="24"/>
          <w:szCs w:val="24"/>
        </w:rPr>
        <w:t xml:space="preserve"> death from spondylolisthesis </w:t>
      </w:r>
      <w:r w:rsidR="00D31C81">
        <w:rPr>
          <w:b/>
          <w:sz w:val="24"/>
          <w:szCs w:val="24"/>
        </w:rPr>
        <w:t>or</w:t>
      </w:r>
      <w:r>
        <w:rPr>
          <w:b/>
          <w:sz w:val="24"/>
          <w:szCs w:val="24"/>
        </w:rPr>
        <w:t xml:space="preserve"> spondylolysis </w:t>
      </w:r>
      <w:r>
        <w:rPr>
          <w:sz w:val="24"/>
          <w:szCs w:val="24"/>
        </w:rPr>
        <w:t>with the circumstances of a person’s relevant service is:</w:t>
      </w:r>
    </w:p>
    <w:p w:rsidR="00FC10B5" w:rsidRDefault="00FC10B5" w:rsidP="005C641F">
      <w:pPr>
        <w:numPr>
          <w:ilvl w:val="0"/>
          <w:numId w:val="4"/>
        </w:numPr>
        <w:spacing w:after="120" w:line="240" w:lineRule="auto"/>
        <w:rPr>
          <w:sz w:val="24"/>
          <w:szCs w:val="24"/>
          <w:lang w:val="en-US"/>
        </w:rPr>
      </w:pPr>
      <w:r>
        <w:rPr>
          <w:rFonts w:cs="Arial"/>
          <w:sz w:val="24"/>
          <w:szCs w:val="24"/>
        </w:rPr>
        <w:t>experiencing a high impact trauma to the spine resulting in an acute fracture of the vertebral arch at the time of the clinical onset of spondylolisthesis or spondylolysis; or</w:t>
      </w:r>
    </w:p>
    <w:p w:rsidR="00FC10B5" w:rsidRDefault="00FC10B5" w:rsidP="005C641F">
      <w:pPr>
        <w:numPr>
          <w:ilvl w:val="0"/>
          <w:numId w:val="4"/>
        </w:numPr>
        <w:spacing w:after="120" w:line="240" w:lineRule="auto"/>
        <w:rPr>
          <w:sz w:val="24"/>
          <w:szCs w:val="24"/>
        </w:rPr>
      </w:pPr>
      <w:r>
        <w:rPr>
          <w:rFonts w:cs="Arial"/>
          <w:sz w:val="24"/>
          <w:szCs w:val="24"/>
        </w:rPr>
        <w:t>for spondylolisthesis only, experiencing a high impact trauma to the spine resulting in an acute fracture of the vertebral arch or dislocation of the involved vertebra within the one year before the clinical onset of spondylolisthesis; or</w:t>
      </w:r>
    </w:p>
    <w:p w:rsidR="00FC10B5" w:rsidRDefault="00FC10B5" w:rsidP="005C641F">
      <w:pPr>
        <w:numPr>
          <w:ilvl w:val="0"/>
          <w:numId w:val="4"/>
        </w:numPr>
        <w:spacing w:after="60" w:line="240" w:lineRule="auto"/>
        <w:rPr>
          <w:b/>
          <w:sz w:val="24"/>
          <w:szCs w:val="24"/>
          <w:lang w:val="en-US"/>
        </w:rPr>
      </w:pPr>
      <w:r>
        <w:rPr>
          <w:rFonts w:cs="Arial"/>
          <w:sz w:val="24"/>
          <w:szCs w:val="24"/>
        </w:rPr>
        <w:t>for persons less than 25 years of age with lumbar spondylolysis or lumbar spondylolytic spondylolisthesis only, engaging in activities involving:</w:t>
      </w:r>
    </w:p>
    <w:p w:rsidR="00FC10B5" w:rsidRDefault="00FC10B5" w:rsidP="005C641F">
      <w:pPr>
        <w:numPr>
          <w:ilvl w:val="0"/>
          <w:numId w:val="16"/>
        </w:numPr>
        <w:tabs>
          <w:tab w:val="clear" w:pos="1800"/>
        </w:tabs>
        <w:spacing w:line="240" w:lineRule="auto"/>
        <w:ind w:left="2127" w:hanging="709"/>
        <w:rPr>
          <w:sz w:val="24"/>
          <w:szCs w:val="24"/>
          <w:lang w:val="en-US"/>
        </w:rPr>
      </w:pPr>
      <w:r>
        <w:rPr>
          <w:rFonts w:cs="Arial"/>
          <w:sz w:val="24"/>
          <w:szCs w:val="24"/>
        </w:rPr>
        <w:t>repetitive and forceful hyperextension, torsion or rotation against resistance of the lumbar spine; or</w:t>
      </w:r>
    </w:p>
    <w:p w:rsidR="00FC10B5" w:rsidRDefault="00FC10B5" w:rsidP="005C641F">
      <w:pPr>
        <w:numPr>
          <w:ilvl w:val="0"/>
          <w:numId w:val="16"/>
        </w:numPr>
        <w:tabs>
          <w:tab w:val="clear" w:pos="1800"/>
        </w:tabs>
        <w:spacing w:after="60" w:line="240" w:lineRule="auto"/>
        <w:ind w:left="2127" w:hanging="709"/>
        <w:rPr>
          <w:sz w:val="24"/>
          <w:szCs w:val="24"/>
          <w:lang w:val="en-US"/>
        </w:rPr>
      </w:pPr>
      <w:r>
        <w:rPr>
          <w:rFonts w:cs="Arial"/>
          <w:sz w:val="24"/>
          <w:szCs w:val="24"/>
        </w:rPr>
        <w:t>increased lordosis of the lumbar spine</w:t>
      </w:r>
      <w:r w:rsidR="00A42C53">
        <w:rPr>
          <w:rFonts w:cs="Arial"/>
          <w:sz w:val="24"/>
          <w:szCs w:val="24"/>
        </w:rPr>
        <w:t>;</w:t>
      </w:r>
    </w:p>
    <w:p w:rsidR="00FC10B5" w:rsidRDefault="00FC10B5" w:rsidP="005C641F">
      <w:pPr>
        <w:spacing w:after="120"/>
        <w:ind w:left="1440"/>
        <w:rPr>
          <w:sz w:val="24"/>
          <w:szCs w:val="24"/>
        </w:rPr>
      </w:pPr>
      <w:r>
        <w:rPr>
          <w:rFonts w:cs="Arial"/>
          <w:sz w:val="24"/>
          <w:szCs w:val="24"/>
        </w:rPr>
        <w:t>for an average period of at least ten hours per week for the six months before the clinical onset of spondylolisthesis or spondylolysis; or</w:t>
      </w:r>
    </w:p>
    <w:p w:rsidR="00FC10B5" w:rsidRDefault="00FC10B5" w:rsidP="005C641F">
      <w:pPr>
        <w:numPr>
          <w:ilvl w:val="0"/>
          <w:numId w:val="4"/>
        </w:numPr>
        <w:spacing w:after="120" w:line="240" w:lineRule="auto"/>
        <w:rPr>
          <w:sz w:val="24"/>
          <w:szCs w:val="24"/>
        </w:rPr>
      </w:pPr>
      <w:r>
        <w:rPr>
          <w:rFonts w:cs="Arial"/>
          <w:sz w:val="24"/>
          <w:szCs w:val="24"/>
        </w:rPr>
        <w:t>for lumbar spondylolysis or lumbar spondylolytic spondylolisthesis only, having undergone a posterior lumbar spinal fusion of a segment of adjoining vertebrae, within the five years before the clinical onset of spondylolisthesis or spondylolysis; or</w:t>
      </w:r>
    </w:p>
    <w:p w:rsidR="00FC10B5" w:rsidRDefault="00FC10B5" w:rsidP="005C641F">
      <w:pPr>
        <w:numPr>
          <w:ilvl w:val="0"/>
          <w:numId w:val="4"/>
        </w:numPr>
        <w:spacing w:after="120" w:line="240" w:lineRule="auto"/>
        <w:rPr>
          <w:sz w:val="24"/>
          <w:szCs w:val="24"/>
        </w:rPr>
      </w:pPr>
      <w:r>
        <w:rPr>
          <w:rFonts w:cs="Arial"/>
          <w:sz w:val="24"/>
          <w:szCs w:val="24"/>
        </w:rPr>
        <w:t>for the lumbar spine only, having undergone posterior spinal decompression surgery, at the level of the involved vertebra, within the five years before the clinical onset of spondylolisthesis or spondylolysis; or</w:t>
      </w:r>
    </w:p>
    <w:p w:rsidR="00FC10B5" w:rsidRDefault="00FC10B5" w:rsidP="005C641F">
      <w:pPr>
        <w:numPr>
          <w:ilvl w:val="0"/>
          <w:numId w:val="4"/>
        </w:numPr>
        <w:spacing w:after="120" w:line="240" w:lineRule="auto"/>
        <w:rPr>
          <w:sz w:val="24"/>
          <w:szCs w:val="24"/>
        </w:rPr>
      </w:pPr>
      <w:r>
        <w:rPr>
          <w:rFonts w:cs="Arial"/>
          <w:sz w:val="24"/>
          <w:szCs w:val="24"/>
        </w:rPr>
        <w:lastRenderedPageBreak/>
        <w:t>for degenerative lumbar spondylolisthesis only, having lumbar spondylosis affecting the vertebral facet joints, at the level of the involved vertebra, before the clinical onset of spondylolisthesis; or</w:t>
      </w:r>
    </w:p>
    <w:p w:rsidR="00FC10B5" w:rsidRDefault="00FC10B5" w:rsidP="005C641F">
      <w:pPr>
        <w:numPr>
          <w:ilvl w:val="0"/>
          <w:numId w:val="4"/>
        </w:numPr>
        <w:spacing w:after="120" w:line="240" w:lineRule="auto"/>
        <w:rPr>
          <w:sz w:val="24"/>
          <w:szCs w:val="24"/>
        </w:rPr>
      </w:pPr>
      <w:r>
        <w:rPr>
          <w:rFonts w:cs="Arial"/>
          <w:sz w:val="24"/>
          <w:szCs w:val="24"/>
        </w:rPr>
        <w:t>having a destructive bone lesion, involving the affected vertebra, at the time of the clinical onset of spondylolisthesis or spondylolysis; or</w:t>
      </w:r>
    </w:p>
    <w:p w:rsidR="00FC10B5" w:rsidRDefault="00FC10B5" w:rsidP="005C641F">
      <w:pPr>
        <w:numPr>
          <w:ilvl w:val="0"/>
          <w:numId w:val="4"/>
        </w:numPr>
        <w:spacing w:after="120" w:line="240" w:lineRule="auto"/>
        <w:rPr>
          <w:sz w:val="24"/>
          <w:szCs w:val="24"/>
        </w:rPr>
      </w:pPr>
      <w:r>
        <w:rPr>
          <w:sz w:val="24"/>
          <w:szCs w:val="24"/>
        </w:rPr>
        <w:t>having rheumatoid arthritis involving the affected vertebra at the time of the clinical onset of spondylolisthesis or spondylolysis; or</w:t>
      </w:r>
    </w:p>
    <w:p w:rsidR="00FC10B5" w:rsidRDefault="00FC10B5" w:rsidP="005C641F">
      <w:pPr>
        <w:numPr>
          <w:ilvl w:val="0"/>
          <w:numId w:val="4"/>
        </w:numPr>
        <w:spacing w:after="120" w:line="240" w:lineRule="auto"/>
        <w:rPr>
          <w:sz w:val="24"/>
          <w:szCs w:val="24"/>
        </w:rPr>
      </w:pPr>
      <w:r>
        <w:rPr>
          <w:sz w:val="24"/>
          <w:szCs w:val="24"/>
        </w:rPr>
        <w:t>for degenerative spondylolisthesis only, being obese for the ten years before the clinical onset of spondylolisthesis; or</w:t>
      </w:r>
    </w:p>
    <w:p w:rsidR="00FC10B5" w:rsidRDefault="00FC10B5" w:rsidP="005C641F">
      <w:pPr>
        <w:numPr>
          <w:ilvl w:val="0"/>
          <w:numId w:val="4"/>
        </w:numPr>
        <w:spacing w:after="60" w:line="240" w:lineRule="auto"/>
        <w:rPr>
          <w:b/>
          <w:sz w:val="24"/>
          <w:szCs w:val="24"/>
          <w:lang w:val="en-US"/>
        </w:rPr>
      </w:pPr>
      <w:r>
        <w:rPr>
          <w:rFonts w:cs="Arial"/>
          <w:sz w:val="24"/>
          <w:szCs w:val="24"/>
        </w:rPr>
        <w:t>for persons less than 25 years of age with lumbar spondylolysis or lumbar spondylolytic spondylolisthesis only, engaging in activities involving:</w:t>
      </w:r>
    </w:p>
    <w:p w:rsidR="00FC10B5" w:rsidRDefault="00FC10B5" w:rsidP="005C641F">
      <w:pPr>
        <w:numPr>
          <w:ilvl w:val="0"/>
          <w:numId w:val="23"/>
        </w:numPr>
        <w:tabs>
          <w:tab w:val="clear" w:pos="1800"/>
        </w:tabs>
        <w:spacing w:line="240" w:lineRule="auto"/>
        <w:ind w:left="2127" w:hanging="687"/>
        <w:rPr>
          <w:sz w:val="24"/>
          <w:szCs w:val="24"/>
          <w:lang w:val="en-US"/>
        </w:rPr>
      </w:pPr>
      <w:r>
        <w:rPr>
          <w:rFonts w:cs="Arial"/>
          <w:sz w:val="24"/>
          <w:szCs w:val="24"/>
        </w:rPr>
        <w:t>repetitive and forceful hyperextension, torsion or rotation against resistance of the lumbar spine; or</w:t>
      </w:r>
    </w:p>
    <w:p w:rsidR="00FC10B5" w:rsidRDefault="00FC10B5" w:rsidP="005C641F">
      <w:pPr>
        <w:numPr>
          <w:ilvl w:val="0"/>
          <w:numId w:val="23"/>
        </w:numPr>
        <w:tabs>
          <w:tab w:val="clear" w:pos="1800"/>
        </w:tabs>
        <w:spacing w:after="60" w:line="240" w:lineRule="auto"/>
        <w:ind w:left="2127" w:hanging="687"/>
        <w:rPr>
          <w:sz w:val="24"/>
          <w:szCs w:val="24"/>
          <w:lang w:val="en-US"/>
        </w:rPr>
      </w:pPr>
      <w:r>
        <w:rPr>
          <w:rFonts w:cs="Arial"/>
          <w:sz w:val="24"/>
          <w:szCs w:val="24"/>
        </w:rPr>
        <w:t>increased lordosis of the lumbar spine</w:t>
      </w:r>
      <w:r w:rsidR="00A42C53">
        <w:rPr>
          <w:rFonts w:cs="Arial"/>
          <w:sz w:val="24"/>
          <w:szCs w:val="24"/>
        </w:rPr>
        <w:t>;</w:t>
      </w:r>
    </w:p>
    <w:p w:rsidR="00FC10B5" w:rsidRDefault="00FC10B5" w:rsidP="005C641F">
      <w:pPr>
        <w:spacing w:after="120"/>
        <w:ind w:left="1440"/>
        <w:rPr>
          <w:sz w:val="24"/>
          <w:szCs w:val="24"/>
        </w:rPr>
      </w:pPr>
      <w:r>
        <w:rPr>
          <w:rFonts w:cs="Arial"/>
          <w:sz w:val="24"/>
          <w:szCs w:val="24"/>
        </w:rPr>
        <w:t>for an average period of at least ten hours per week for the six months before the clinical worsening of spondylolisthesis or spondylolysis; or</w:t>
      </w:r>
    </w:p>
    <w:p w:rsidR="00FC10B5" w:rsidRDefault="00FC10B5" w:rsidP="005C641F">
      <w:pPr>
        <w:numPr>
          <w:ilvl w:val="0"/>
          <w:numId w:val="4"/>
        </w:numPr>
        <w:spacing w:after="120" w:line="240" w:lineRule="auto"/>
        <w:rPr>
          <w:sz w:val="24"/>
          <w:szCs w:val="24"/>
        </w:rPr>
      </w:pPr>
      <w:r>
        <w:rPr>
          <w:rFonts w:cs="Arial"/>
          <w:sz w:val="24"/>
          <w:szCs w:val="24"/>
        </w:rPr>
        <w:t>for the lumbar spine only, having undergone posterior spinal decompression surgery, at the level of the involved vertebra, within the five years before the clinical worsening of spondylolisthesis or spondylolysis; or</w:t>
      </w:r>
    </w:p>
    <w:p w:rsidR="00FC10B5" w:rsidRDefault="00FC10B5" w:rsidP="005C641F">
      <w:pPr>
        <w:numPr>
          <w:ilvl w:val="0"/>
          <w:numId w:val="4"/>
        </w:numPr>
        <w:spacing w:after="120" w:line="240" w:lineRule="auto"/>
        <w:rPr>
          <w:sz w:val="24"/>
          <w:szCs w:val="24"/>
        </w:rPr>
      </w:pPr>
      <w:r>
        <w:rPr>
          <w:rFonts w:cs="Arial"/>
          <w:sz w:val="24"/>
          <w:szCs w:val="24"/>
        </w:rPr>
        <w:t>having a destructive bone lesion, involving the affected vertebra, at the time of the clinical worsening of spondylolisthesis or spondylolysis; or</w:t>
      </w:r>
    </w:p>
    <w:p w:rsidR="00FC10B5" w:rsidRDefault="00FC10B5" w:rsidP="005C641F">
      <w:pPr>
        <w:numPr>
          <w:ilvl w:val="0"/>
          <w:numId w:val="4"/>
        </w:numPr>
        <w:spacing w:after="120" w:line="240" w:lineRule="auto"/>
        <w:rPr>
          <w:sz w:val="24"/>
          <w:szCs w:val="24"/>
        </w:rPr>
      </w:pPr>
      <w:r>
        <w:rPr>
          <w:sz w:val="24"/>
          <w:szCs w:val="24"/>
        </w:rPr>
        <w:t>having rheumatoid arthritis involving the affected vertebra at the time of the clinical worsening of spondylolisthesis or spondylolysis; or</w:t>
      </w:r>
    </w:p>
    <w:p w:rsidR="00FC10B5" w:rsidRDefault="00FC10B5" w:rsidP="005C641F">
      <w:pPr>
        <w:numPr>
          <w:ilvl w:val="0"/>
          <w:numId w:val="4"/>
        </w:numPr>
        <w:spacing w:after="120" w:line="240" w:lineRule="auto"/>
        <w:rPr>
          <w:b/>
          <w:sz w:val="24"/>
          <w:szCs w:val="24"/>
          <w:lang w:val="en-US"/>
        </w:rPr>
      </w:pPr>
      <w:r>
        <w:rPr>
          <w:rFonts w:cs="Arial"/>
          <w:sz w:val="24"/>
          <w:szCs w:val="24"/>
        </w:rPr>
        <w:t>inability to obtain appropriate clinical management for spondylolisthesis or spondylolysis in the presence of the following:</w:t>
      </w:r>
    </w:p>
    <w:p w:rsidR="00FC10B5" w:rsidRDefault="00FC10B5" w:rsidP="005C641F">
      <w:pPr>
        <w:numPr>
          <w:ilvl w:val="0"/>
          <w:numId w:val="21"/>
        </w:numPr>
        <w:tabs>
          <w:tab w:val="clear" w:pos="1800"/>
          <w:tab w:val="num" w:pos="2127"/>
        </w:tabs>
        <w:spacing w:line="240" w:lineRule="auto"/>
        <w:ind w:left="2127" w:hanging="687"/>
        <w:rPr>
          <w:sz w:val="24"/>
          <w:szCs w:val="24"/>
        </w:rPr>
      </w:pPr>
      <w:r>
        <w:rPr>
          <w:rFonts w:cs="Arial"/>
          <w:sz w:val="24"/>
          <w:szCs w:val="24"/>
        </w:rPr>
        <w:t>acute traumatic spondylolisthesis or spondylolysis;</w:t>
      </w:r>
    </w:p>
    <w:p w:rsidR="00FC10B5" w:rsidRDefault="00FC10B5" w:rsidP="005C641F">
      <w:pPr>
        <w:numPr>
          <w:ilvl w:val="0"/>
          <w:numId w:val="21"/>
        </w:numPr>
        <w:tabs>
          <w:tab w:val="clear" w:pos="1800"/>
          <w:tab w:val="num" w:pos="2127"/>
        </w:tabs>
        <w:spacing w:line="240" w:lineRule="auto"/>
        <w:ind w:left="2127" w:hanging="687"/>
        <w:rPr>
          <w:sz w:val="24"/>
          <w:szCs w:val="24"/>
          <w:lang w:val="en-US"/>
        </w:rPr>
      </w:pPr>
      <w:r>
        <w:rPr>
          <w:rFonts w:cs="Arial"/>
          <w:sz w:val="24"/>
          <w:szCs w:val="24"/>
        </w:rPr>
        <w:t>neurological manifestations; or</w:t>
      </w:r>
    </w:p>
    <w:p w:rsidR="00FC10B5" w:rsidRDefault="00FC10B5" w:rsidP="005C641F">
      <w:pPr>
        <w:numPr>
          <w:ilvl w:val="0"/>
          <w:numId w:val="21"/>
        </w:numPr>
        <w:tabs>
          <w:tab w:val="clear" w:pos="1800"/>
          <w:tab w:val="num" w:pos="2127"/>
        </w:tabs>
        <w:spacing w:line="240" w:lineRule="auto"/>
        <w:ind w:left="2127" w:hanging="687"/>
        <w:rPr>
          <w:sz w:val="24"/>
          <w:szCs w:val="24"/>
          <w:lang w:val="en-US"/>
        </w:rPr>
      </w:pPr>
      <w:r>
        <w:rPr>
          <w:rFonts w:cs="Arial"/>
          <w:sz w:val="24"/>
          <w:szCs w:val="24"/>
        </w:rPr>
        <w:t>severe progressive symptoms warranting surgical intervention.</w:t>
      </w:r>
    </w:p>
    <w:p w:rsidR="00FC10B5" w:rsidRDefault="00FC10B5">
      <w:pPr>
        <w:pStyle w:val="clauseheading"/>
      </w:pPr>
      <w:r>
        <w:t>Factors that apply only to material contribution or aggravation</w:t>
      </w:r>
    </w:p>
    <w:p w:rsidR="00FC10B5" w:rsidRDefault="00FC10B5">
      <w:pPr>
        <w:ind w:hanging="720"/>
        <w:rPr>
          <w:sz w:val="24"/>
          <w:szCs w:val="24"/>
        </w:rPr>
      </w:pPr>
      <w:r>
        <w:rPr>
          <w:b/>
          <w:sz w:val="24"/>
          <w:szCs w:val="24"/>
        </w:rPr>
        <w:t>7.</w:t>
      </w:r>
      <w:r>
        <w:rPr>
          <w:sz w:val="24"/>
          <w:szCs w:val="24"/>
        </w:rPr>
        <w:tab/>
        <w:t xml:space="preserve">Paragraphs </w:t>
      </w:r>
      <w:r>
        <w:rPr>
          <w:b/>
          <w:sz w:val="24"/>
          <w:szCs w:val="24"/>
        </w:rPr>
        <w:t xml:space="preserve">6(j) to 6(n) </w:t>
      </w:r>
      <w:r>
        <w:rPr>
          <w:sz w:val="24"/>
          <w:szCs w:val="24"/>
        </w:rPr>
        <w:t xml:space="preserve">apply only to material contribution to, or aggravation of, spondylolisthesis </w:t>
      </w:r>
      <w:r w:rsidR="00571BDF">
        <w:rPr>
          <w:sz w:val="24"/>
          <w:szCs w:val="24"/>
        </w:rPr>
        <w:t>or</w:t>
      </w:r>
      <w:r>
        <w:rPr>
          <w:sz w:val="24"/>
          <w:szCs w:val="24"/>
        </w:rPr>
        <w:t xml:space="preserve"> spondylolysis where the person’s spondylolisthesis </w:t>
      </w:r>
      <w:r w:rsidR="00571BDF">
        <w:rPr>
          <w:sz w:val="24"/>
          <w:szCs w:val="24"/>
        </w:rPr>
        <w:t>or</w:t>
      </w:r>
      <w:r>
        <w:rPr>
          <w:sz w:val="24"/>
          <w:szCs w:val="24"/>
        </w:rPr>
        <w:t xml:space="preserve"> spondylolysis was suffered or contracted before or during (but not arising out of) the person’s relevant service.</w:t>
      </w:r>
    </w:p>
    <w:p w:rsidR="00FC10B5" w:rsidRDefault="00FC10B5">
      <w:pPr>
        <w:pStyle w:val="clauseheading"/>
      </w:pPr>
      <w:r>
        <w:t>Inclusion of Statements of Principles</w:t>
      </w:r>
    </w:p>
    <w:p w:rsidR="00FC10B5" w:rsidRDefault="00FC10B5">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FC10B5" w:rsidRDefault="00FC10B5">
      <w:pPr>
        <w:pStyle w:val="clauseheading"/>
      </w:pPr>
      <w:r>
        <w:lastRenderedPageBreak/>
        <w:t>Other definitions</w:t>
      </w:r>
    </w:p>
    <w:p w:rsidR="00FC10B5" w:rsidRDefault="00FC10B5">
      <w:pPr>
        <w:spacing w:after="120" w:line="240" w:lineRule="auto"/>
        <w:ind w:left="0"/>
        <w:rPr>
          <w:sz w:val="24"/>
          <w:szCs w:val="24"/>
        </w:rPr>
      </w:pPr>
      <w:r>
        <w:rPr>
          <w:b/>
          <w:sz w:val="24"/>
          <w:szCs w:val="24"/>
        </w:rPr>
        <w:t>9.</w:t>
      </w:r>
      <w:r>
        <w:rPr>
          <w:sz w:val="24"/>
          <w:szCs w:val="24"/>
        </w:rPr>
        <w:tab/>
        <w:t>For the purposes of this Statement of Principles:</w:t>
      </w:r>
    </w:p>
    <w:p w:rsidR="00FC10B5" w:rsidRDefault="00FC10B5">
      <w:pPr>
        <w:tabs>
          <w:tab w:val="num" w:pos="709"/>
        </w:tabs>
        <w:spacing w:after="120" w:line="240" w:lineRule="auto"/>
        <w:ind w:left="709"/>
        <w:rPr>
          <w:sz w:val="24"/>
          <w:szCs w:val="24"/>
        </w:rPr>
      </w:pPr>
      <w:r>
        <w:rPr>
          <w:b/>
          <w:sz w:val="24"/>
          <w:szCs w:val="24"/>
        </w:rPr>
        <w:t xml:space="preserve">"acute traumatic spondylolisthesis or spondylolysis" </w:t>
      </w:r>
      <w:r>
        <w:rPr>
          <w:sz w:val="24"/>
          <w:szCs w:val="24"/>
        </w:rPr>
        <w:t>means spondylolisthesis or spondylolysis arising as the direct result of a severe, high energy trauma to the spine;</w:t>
      </w:r>
    </w:p>
    <w:p w:rsidR="00FC10B5" w:rsidRDefault="00FC10B5">
      <w:pPr>
        <w:tabs>
          <w:tab w:val="num" w:pos="709"/>
        </w:tabs>
        <w:spacing w:after="120" w:line="240" w:lineRule="auto"/>
        <w:ind w:left="709"/>
        <w:rPr>
          <w:sz w:val="24"/>
          <w:szCs w:val="24"/>
        </w:rPr>
      </w:pPr>
      <w:r>
        <w:rPr>
          <w:b/>
          <w:sz w:val="24"/>
          <w:szCs w:val="24"/>
        </w:rPr>
        <w:t>"being obese"</w:t>
      </w:r>
      <w:r>
        <w:rPr>
          <w:sz w:val="24"/>
          <w:szCs w:val="24"/>
        </w:rPr>
        <w:t xml:space="preserve"> means </w:t>
      </w:r>
      <w:r w:rsidR="00571BDF">
        <w:rPr>
          <w:sz w:val="24"/>
          <w:szCs w:val="24"/>
        </w:rPr>
        <w:t>having</w:t>
      </w:r>
      <w:r>
        <w:rPr>
          <w:sz w:val="24"/>
          <w:szCs w:val="24"/>
        </w:rPr>
        <w:t xml:space="preserve"> a Body Mass Index (BMI) of 30 or greater.</w:t>
      </w:r>
    </w:p>
    <w:p w:rsidR="00FC10B5" w:rsidRDefault="00FC10B5" w:rsidP="008E7585">
      <w:pPr>
        <w:tabs>
          <w:tab w:val="num" w:pos="709"/>
        </w:tabs>
        <w:spacing w:after="60" w:line="240" w:lineRule="auto"/>
        <w:ind w:left="709"/>
        <w:rPr>
          <w:sz w:val="24"/>
          <w:szCs w:val="24"/>
        </w:rPr>
      </w:pPr>
      <w:r>
        <w:rPr>
          <w:sz w:val="24"/>
          <w:szCs w:val="24"/>
        </w:rPr>
        <w:t>The BMI = W/H</w:t>
      </w:r>
      <w:r>
        <w:rPr>
          <w:sz w:val="24"/>
          <w:szCs w:val="24"/>
          <w:vertAlign w:val="superscript"/>
        </w:rPr>
        <w:t>2</w:t>
      </w:r>
      <w:r>
        <w:rPr>
          <w:sz w:val="24"/>
          <w:szCs w:val="24"/>
        </w:rPr>
        <w:t xml:space="preserve"> and where:</w:t>
      </w:r>
    </w:p>
    <w:p w:rsidR="00FC10B5" w:rsidRDefault="00FC10B5">
      <w:pPr>
        <w:tabs>
          <w:tab w:val="num" w:pos="709"/>
        </w:tabs>
        <w:spacing w:line="240" w:lineRule="auto"/>
        <w:ind w:left="709"/>
        <w:rPr>
          <w:sz w:val="24"/>
          <w:szCs w:val="24"/>
        </w:rPr>
      </w:pPr>
      <w:r>
        <w:rPr>
          <w:sz w:val="24"/>
          <w:szCs w:val="24"/>
        </w:rPr>
        <w:t xml:space="preserve">W is the person’s weight in kilograms; and </w:t>
      </w:r>
    </w:p>
    <w:p w:rsidR="00FC10B5" w:rsidRDefault="00FC10B5">
      <w:pPr>
        <w:tabs>
          <w:tab w:val="num" w:pos="709"/>
        </w:tabs>
        <w:spacing w:after="120" w:line="240" w:lineRule="auto"/>
        <w:ind w:left="709"/>
        <w:rPr>
          <w:sz w:val="24"/>
          <w:szCs w:val="24"/>
        </w:rPr>
      </w:pPr>
      <w:r>
        <w:rPr>
          <w:sz w:val="24"/>
          <w:szCs w:val="24"/>
        </w:rPr>
        <w:t>H is the person’s height in metres;</w:t>
      </w:r>
    </w:p>
    <w:p w:rsidR="00FC10B5" w:rsidRDefault="00FC10B5">
      <w:pPr>
        <w:tabs>
          <w:tab w:val="num" w:pos="709"/>
        </w:tabs>
        <w:spacing w:after="120" w:line="240" w:lineRule="auto"/>
        <w:ind w:left="709"/>
        <w:rPr>
          <w:sz w:val="24"/>
          <w:szCs w:val="24"/>
        </w:rPr>
      </w:pPr>
      <w:r>
        <w:rPr>
          <w:b/>
          <w:sz w:val="24"/>
          <w:szCs w:val="24"/>
        </w:rPr>
        <w:t xml:space="preserve">"death from spondylolisthesis </w:t>
      </w:r>
      <w:r w:rsidR="00D31C81">
        <w:rPr>
          <w:b/>
          <w:sz w:val="24"/>
          <w:szCs w:val="24"/>
        </w:rPr>
        <w:t>or</w:t>
      </w:r>
      <w:r>
        <w:rPr>
          <w:b/>
          <w:sz w:val="24"/>
          <w:szCs w:val="24"/>
        </w:rPr>
        <w:t xml:space="preserve"> spondylolysis" </w:t>
      </w:r>
      <w:r>
        <w:rPr>
          <w:sz w:val="24"/>
          <w:szCs w:val="24"/>
        </w:rPr>
        <w:t xml:space="preserve">in relation to a person includes death from a terminal event or condition that was contributed to by the person’s spondylolisthesis </w:t>
      </w:r>
      <w:r w:rsidR="00D31C81">
        <w:rPr>
          <w:sz w:val="24"/>
          <w:szCs w:val="24"/>
        </w:rPr>
        <w:t>or</w:t>
      </w:r>
      <w:r>
        <w:rPr>
          <w:sz w:val="24"/>
          <w:szCs w:val="24"/>
        </w:rPr>
        <w:t xml:space="preserve"> spondylolysis;</w:t>
      </w:r>
    </w:p>
    <w:p w:rsidR="00FC10B5" w:rsidRDefault="00FC10B5">
      <w:pPr>
        <w:tabs>
          <w:tab w:val="num" w:pos="709"/>
        </w:tabs>
        <w:spacing w:after="120" w:line="240" w:lineRule="auto"/>
        <w:ind w:left="709"/>
        <w:rPr>
          <w:sz w:val="24"/>
          <w:szCs w:val="24"/>
        </w:rPr>
      </w:pPr>
      <w:r>
        <w:rPr>
          <w:b/>
          <w:sz w:val="24"/>
          <w:szCs w:val="24"/>
        </w:rPr>
        <w:t>"</w:t>
      </w:r>
      <w:r>
        <w:rPr>
          <w:rFonts w:cs="Arial"/>
          <w:b/>
          <w:sz w:val="24"/>
          <w:szCs w:val="24"/>
        </w:rPr>
        <w:t>degenerative lumbar spondylolisthesis</w:t>
      </w:r>
      <w:r>
        <w:rPr>
          <w:b/>
          <w:sz w:val="24"/>
          <w:szCs w:val="24"/>
        </w:rPr>
        <w:t>"</w:t>
      </w:r>
      <w:r>
        <w:rPr>
          <w:rFonts w:cs="Arial"/>
          <w:sz w:val="24"/>
          <w:szCs w:val="24"/>
        </w:rPr>
        <w:t xml:space="preserve"> means forward displacement of a lumbar vertebra, in the presence of osteoarthrosis of the facet joints formed by the involved vertebra and the subjacent one, and in the absence of spondylolysis of the involved vertebra;</w:t>
      </w:r>
    </w:p>
    <w:p w:rsidR="00FC10B5" w:rsidRDefault="00FC10B5">
      <w:pPr>
        <w:tabs>
          <w:tab w:val="num" w:pos="709"/>
        </w:tabs>
        <w:spacing w:after="120" w:line="240" w:lineRule="auto"/>
        <w:ind w:left="709"/>
        <w:rPr>
          <w:sz w:val="24"/>
          <w:szCs w:val="24"/>
        </w:rPr>
      </w:pPr>
      <w:r>
        <w:rPr>
          <w:b/>
          <w:sz w:val="24"/>
          <w:szCs w:val="24"/>
        </w:rPr>
        <w:t xml:space="preserve">"destructive bone lesion" </w:t>
      </w:r>
      <w:r>
        <w:rPr>
          <w:sz w:val="24"/>
          <w:szCs w:val="24"/>
        </w:rPr>
        <w:t>means lytic or erosive lesion of the bone resulting from pathology such as benign and malignant tumours, tuberculosis or osteomyelitis;</w:t>
      </w:r>
    </w:p>
    <w:p w:rsidR="00FC10B5" w:rsidRDefault="00FC10B5">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FC10B5" w:rsidRDefault="00FC10B5" w:rsidP="008E7585">
      <w:pPr>
        <w:spacing w:after="120"/>
        <w:rPr>
          <w:rFonts w:cs="Arial"/>
          <w:sz w:val="24"/>
          <w:szCs w:val="24"/>
        </w:rPr>
      </w:pPr>
      <w:r>
        <w:rPr>
          <w:b/>
          <w:sz w:val="24"/>
          <w:szCs w:val="24"/>
        </w:rPr>
        <w:t>"</w:t>
      </w:r>
      <w:r>
        <w:rPr>
          <w:rFonts w:cs="Arial"/>
          <w:b/>
          <w:sz w:val="24"/>
          <w:szCs w:val="24"/>
        </w:rPr>
        <w:t>posterior lumbar spinal fusion</w:t>
      </w:r>
      <w:r>
        <w:rPr>
          <w:b/>
          <w:sz w:val="24"/>
          <w:szCs w:val="24"/>
        </w:rPr>
        <w:t>"</w:t>
      </w:r>
      <w:r>
        <w:rPr>
          <w:rFonts w:cs="Arial"/>
          <w:sz w:val="24"/>
          <w:szCs w:val="24"/>
        </w:rPr>
        <w:t xml:space="preserve"> means surgical procedure involving immobilisation of the posterior elements, particularly the spinous processes, of two or more lumbar vertebrae, by the use of bone grafting, in the absence of immobilisation of the lateral elements, particularly the transverse processes, of the same vertebrae.  This definition specifically excludes posterolateral lumbar spinal fusion; </w:t>
      </w:r>
    </w:p>
    <w:p w:rsidR="00FC10B5" w:rsidRDefault="00FC10B5">
      <w:pPr>
        <w:spacing w:after="120"/>
        <w:rPr>
          <w:rFonts w:cs="Arial"/>
          <w:sz w:val="24"/>
          <w:szCs w:val="24"/>
        </w:rPr>
      </w:pPr>
      <w:r>
        <w:rPr>
          <w:b/>
          <w:sz w:val="24"/>
          <w:szCs w:val="24"/>
        </w:rPr>
        <w:t>"</w:t>
      </w:r>
      <w:r>
        <w:rPr>
          <w:rFonts w:cs="Arial"/>
          <w:b/>
          <w:sz w:val="24"/>
          <w:szCs w:val="24"/>
        </w:rPr>
        <w:t>posterior spinal decompression surgery</w:t>
      </w:r>
      <w:r>
        <w:rPr>
          <w:b/>
          <w:sz w:val="24"/>
          <w:szCs w:val="24"/>
        </w:rPr>
        <w:t>"</w:t>
      </w:r>
      <w:r>
        <w:rPr>
          <w:rFonts w:cs="Arial"/>
          <w:sz w:val="24"/>
          <w:szCs w:val="24"/>
        </w:rPr>
        <w:t xml:space="preserve"> means a surgical procedure involving the removal of the posterior elements of the spine, such as laminectomy, laminotomy or facetectomy;</w:t>
      </w:r>
    </w:p>
    <w:p w:rsidR="00FC10B5" w:rsidRDefault="00FC10B5">
      <w:pPr>
        <w:tabs>
          <w:tab w:val="num" w:pos="709"/>
        </w:tabs>
        <w:spacing w:after="120" w:line="240" w:lineRule="auto"/>
        <w:ind w:left="709"/>
        <w:rPr>
          <w:sz w:val="24"/>
          <w:szCs w:val="24"/>
        </w:rPr>
      </w:pPr>
      <w:r>
        <w:rPr>
          <w:b/>
          <w:sz w:val="24"/>
          <w:szCs w:val="24"/>
        </w:rPr>
        <w:t>"relevant service"</w:t>
      </w:r>
      <w:r>
        <w:rPr>
          <w:sz w:val="24"/>
          <w:szCs w:val="24"/>
        </w:rPr>
        <w:t xml:space="preserve"> means:</w:t>
      </w:r>
    </w:p>
    <w:p w:rsidR="00FC10B5" w:rsidRDefault="00FC10B5">
      <w:pPr>
        <w:numPr>
          <w:ilvl w:val="0"/>
          <w:numId w:val="3"/>
        </w:numPr>
        <w:spacing w:line="240" w:lineRule="auto"/>
        <w:rPr>
          <w:sz w:val="24"/>
          <w:szCs w:val="24"/>
        </w:rPr>
      </w:pPr>
      <w:r>
        <w:rPr>
          <w:sz w:val="24"/>
          <w:szCs w:val="24"/>
        </w:rPr>
        <w:t xml:space="preserve">operational service under the VEA; </w:t>
      </w:r>
    </w:p>
    <w:p w:rsidR="00FC10B5" w:rsidRDefault="00FC10B5">
      <w:pPr>
        <w:numPr>
          <w:ilvl w:val="0"/>
          <w:numId w:val="3"/>
        </w:numPr>
        <w:tabs>
          <w:tab w:val="num" w:pos="709"/>
        </w:tabs>
        <w:spacing w:line="240" w:lineRule="auto"/>
        <w:ind w:left="709" w:firstLine="0"/>
        <w:rPr>
          <w:sz w:val="24"/>
          <w:szCs w:val="24"/>
        </w:rPr>
      </w:pPr>
      <w:r>
        <w:rPr>
          <w:sz w:val="24"/>
          <w:szCs w:val="24"/>
        </w:rPr>
        <w:t xml:space="preserve">peacekeeping service under the VEA; </w:t>
      </w:r>
    </w:p>
    <w:p w:rsidR="00FC10B5" w:rsidRDefault="00FC10B5">
      <w:pPr>
        <w:numPr>
          <w:ilvl w:val="0"/>
          <w:numId w:val="3"/>
        </w:numPr>
        <w:tabs>
          <w:tab w:val="num" w:pos="709"/>
        </w:tabs>
        <w:spacing w:line="240" w:lineRule="auto"/>
        <w:ind w:left="709" w:firstLine="0"/>
        <w:rPr>
          <w:sz w:val="24"/>
          <w:szCs w:val="24"/>
        </w:rPr>
      </w:pPr>
      <w:r>
        <w:rPr>
          <w:sz w:val="24"/>
          <w:szCs w:val="24"/>
        </w:rPr>
        <w:t xml:space="preserve">hazardous service under the VEA; </w:t>
      </w:r>
    </w:p>
    <w:p w:rsidR="00FC10B5" w:rsidRDefault="00FC10B5">
      <w:pPr>
        <w:numPr>
          <w:ilvl w:val="0"/>
          <w:numId w:val="3"/>
        </w:numPr>
        <w:tabs>
          <w:tab w:val="num" w:pos="709"/>
        </w:tabs>
        <w:spacing w:line="240" w:lineRule="auto"/>
        <w:ind w:left="709" w:firstLine="0"/>
        <w:rPr>
          <w:sz w:val="24"/>
          <w:szCs w:val="24"/>
        </w:rPr>
      </w:pPr>
      <w:r>
        <w:rPr>
          <w:sz w:val="24"/>
          <w:szCs w:val="24"/>
        </w:rPr>
        <w:t>British nuclear test defence service under the VEA;</w:t>
      </w:r>
    </w:p>
    <w:p w:rsidR="00FC10B5" w:rsidRDefault="00FC10B5">
      <w:pPr>
        <w:numPr>
          <w:ilvl w:val="0"/>
          <w:numId w:val="3"/>
        </w:numPr>
        <w:tabs>
          <w:tab w:val="num" w:pos="709"/>
        </w:tabs>
        <w:spacing w:line="240" w:lineRule="auto"/>
        <w:ind w:left="709" w:firstLine="0"/>
        <w:rPr>
          <w:sz w:val="24"/>
          <w:szCs w:val="24"/>
        </w:rPr>
      </w:pPr>
      <w:r>
        <w:rPr>
          <w:sz w:val="24"/>
          <w:szCs w:val="24"/>
        </w:rPr>
        <w:t>warlike service under the MRCA; or</w:t>
      </w:r>
    </w:p>
    <w:p w:rsidR="00FC10B5" w:rsidRDefault="00FC10B5">
      <w:pPr>
        <w:numPr>
          <w:ilvl w:val="0"/>
          <w:numId w:val="3"/>
        </w:numPr>
        <w:tabs>
          <w:tab w:val="num" w:pos="709"/>
        </w:tabs>
        <w:spacing w:after="120" w:line="240" w:lineRule="auto"/>
        <w:ind w:left="709" w:firstLine="0"/>
        <w:rPr>
          <w:sz w:val="24"/>
          <w:szCs w:val="24"/>
        </w:rPr>
      </w:pPr>
      <w:r>
        <w:rPr>
          <w:sz w:val="24"/>
          <w:szCs w:val="24"/>
        </w:rPr>
        <w:t>non-warlike service under the MRCA;</w:t>
      </w:r>
    </w:p>
    <w:p w:rsidR="00FC10B5" w:rsidRDefault="00FC10B5">
      <w:pPr>
        <w:tabs>
          <w:tab w:val="num" w:pos="709"/>
        </w:tabs>
        <w:spacing w:after="120" w:line="240" w:lineRule="auto"/>
        <w:ind w:left="709"/>
        <w:rPr>
          <w:sz w:val="24"/>
          <w:szCs w:val="24"/>
        </w:rPr>
      </w:pPr>
      <w:r>
        <w:rPr>
          <w:b/>
          <w:sz w:val="24"/>
          <w:szCs w:val="24"/>
        </w:rPr>
        <w:t>"</w:t>
      </w:r>
      <w:r>
        <w:rPr>
          <w:rFonts w:cs="Arial"/>
          <w:b/>
          <w:sz w:val="24"/>
          <w:szCs w:val="24"/>
        </w:rPr>
        <w:t>spondylolytic spondylolisthesis</w:t>
      </w:r>
      <w:r>
        <w:rPr>
          <w:b/>
          <w:sz w:val="24"/>
          <w:szCs w:val="24"/>
        </w:rPr>
        <w:t>"</w:t>
      </w:r>
      <w:r>
        <w:rPr>
          <w:rFonts w:cs="Arial"/>
          <w:sz w:val="24"/>
          <w:szCs w:val="24"/>
        </w:rPr>
        <w:t xml:space="preserve"> means spondylolisthesis which develops secondary to spondylolysis;</w:t>
      </w:r>
    </w:p>
    <w:p w:rsidR="00FC10B5" w:rsidRDefault="00FC10B5" w:rsidP="00B442B0">
      <w:pPr>
        <w:keepNext/>
        <w:tabs>
          <w:tab w:val="num" w:pos="709"/>
        </w:tabs>
        <w:spacing w:after="120" w:line="240" w:lineRule="auto"/>
        <w:ind w:left="709"/>
        <w:rPr>
          <w:sz w:val="24"/>
          <w:szCs w:val="24"/>
        </w:rPr>
      </w:pPr>
      <w:r>
        <w:rPr>
          <w:b/>
          <w:sz w:val="24"/>
          <w:szCs w:val="24"/>
        </w:rPr>
        <w:lastRenderedPageBreak/>
        <w:t xml:space="preserve">"terminal event" </w:t>
      </w:r>
      <w:r>
        <w:rPr>
          <w:sz w:val="24"/>
          <w:szCs w:val="24"/>
        </w:rPr>
        <w:t>means the proximate or ultimate cause of death and includes:</w:t>
      </w:r>
    </w:p>
    <w:p w:rsidR="00FC10B5" w:rsidRDefault="00FC10B5">
      <w:pPr>
        <w:pStyle w:val="NormalIndent"/>
        <w:numPr>
          <w:ilvl w:val="0"/>
          <w:numId w:val="14"/>
        </w:numPr>
        <w:spacing w:line="240" w:lineRule="auto"/>
        <w:rPr>
          <w:sz w:val="24"/>
          <w:szCs w:val="24"/>
        </w:rPr>
      </w:pPr>
      <w:r>
        <w:rPr>
          <w:sz w:val="24"/>
          <w:szCs w:val="24"/>
        </w:rPr>
        <w:t>pneumonia;</w:t>
      </w:r>
    </w:p>
    <w:p w:rsidR="00FC10B5" w:rsidRDefault="00FC10B5">
      <w:pPr>
        <w:numPr>
          <w:ilvl w:val="0"/>
          <w:numId w:val="14"/>
        </w:numPr>
        <w:spacing w:line="240" w:lineRule="auto"/>
        <w:rPr>
          <w:sz w:val="24"/>
          <w:szCs w:val="24"/>
        </w:rPr>
      </w:pPr>
      <w:r>
        <w:rPr>
          <w:sz w:val="24"/>
          <w:szCs w:val="24"/>
        </w:rPr>
        <w:t>respiratory failure;</w:t>
      </w:r>
    </w:p>
    <w:p w:rsidR="00FC10B5" w:rsidRDefault="00FC10B5">
      <w:pPr>
        <w:numPr>
          <w:ilvl w:val="0"/>
          <w:numId w:val="14"/>
        </w:numPr>
        <w:spacing w:line="240" w:lineRule="auto"/>
        <w:rPr>
          <w:sz w:val="24"/>
          <w:szCs w:val="24"/>
        </w:rPr>
      </w:pPr>
      <w:r>
        <w:rPr>
          <w:sz w:val="24"/>
          <w:szCs w:val="24"/>
        </w:rPr>
        <w:t>cardiac arrest;</w:t>
      </w:r>
    </w:p>
    <w:p w:rsidR="00FC10B5" w:rsidRDefault="00FC10B5">
      <w:pPr>
        <w:pStyle w:val="NormalIndent"/>
        <w:numPr>
          <w:ilvl w:val="0"/>
          <w:numId w:val="14"/>
        </w:numPr>
        <w:spacing w:line="240" w:lineRule="auto"/>
        <w:rPr>
          <w:sz w:val="24"/>
          <w:szCs w:val="24"/>
        </w:rPr>
      </w:pPr>
      <w:r>
        <w:rPr>
          <w:sz w:val="24"/>
          <w:szCs w:val="24"/>
        </w:rPr>
        <w:t>circulatory failure; or</w:t>
      </w:r>
    </w:p>
    <w:p w:rsidR="00FC10B5" w:rsidRDefault="00FC10B5">
      <w:pPr>
        <w:numPr>
          <w:ilvl w:val="0"/>
          <w:numId w:val="14"/>
        </w:numPr>
        <w:spacing w:line="240" w:lineRule="auto"/>
        <w:rPr>
          <w:sz w:val="24"/>
          <w:szCs w:val="24"/>
        </w:rPr>
      </w:pPr>
      <w:r>
        <w:rPr>
          <w:sz w:val="24"/>
          <w:szCs w:val="24"/>
        </w:rPr>
        <w:t>cessation of brain function.</w:t>
      </w:r>
    </w:p>
    <w:p w:rsidR="00FC10B5" w:rsidRDefault="00FC10B5">
      <w:pPr>
        <w:pStyle w:val="clauseheading"/>
      </w:pPr>
      <w:r>
        <w:t>Application</w:t>
      </w:r>
    </w:p>
    <w:p w:rsidR="00FC10B5" w:rsidRDefault="00FC10B5">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2B3D4F" w:rsidRDefault="002B3D4F" w:rsidP="002B3D4F">
      <w:pPr>
        <w:pStyle w:val="clauseheading"/>
      </w:pPr>
      <w:r>
        <w:t>Date of effect</w:t>
      </w:r>
    </w:p>
    <w:p w:rsidR="002B3D4F" w:rsidRDefault="002B3D4F" w:rsidP="002B3D4F">
      <w:pPr>
        <w:spacing w:line="240" w:lineRule="auto"/>
        <w:ind w:hanging="720"/>
        <w:rPr>
          <w:sz w:val="24"/>
          <w:szCs w:val="24"/>
        </w:rPr>
      </w:pPr>
      <w:r>
        <w:rPr>
          <w:b/>
          <w:sz w:val="24"/>
          <w:szCs w:val="24"/>
        </w:rPr>
        <w:t>11.</w:t>
      </w:r>
      <w:r>
        <w:rPr>
          <w:sz w:val="24"/>
          <w:szCs w:val="24"/>
        </w:rPr>
        <w:tab/>
        <w:t>This Instrument takes effect from 30 March 2015.</w:t>
      </w:r>
    </w:p>
    <w:p w:rsidR="002B3D4F" w:rsidRDefault="002B3D4F" w:rsidP="002B3D4F">
      <w:pPr>
        <w:spacing w:before="240" w:after="120" w:line="240" w:lineRule="auto"/>
        <w:ind w:left="0"/>
        <w:rPr>
          <w:sz w:val="24"/>
          <w:szCs w:val="24"/>
        </w:rPr>
      </w:pPr>
      <w:r>
        <w:rPr>
          <w:noProof/>
          <w:lang w:val="en-AU" w:eastAsia="en-AU"/>
        </w:rPr>
        <w:drawing>
          <wp:anchor distT="0" distB="0" distL="114300" distR="114300" simplePos="0" relativeHeight="251658240"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2B3D4F" w:rsidRDefault="002B3D4F" w:rsidP="002B3D4F">
      <w:pPr>
        <w:spacing w:line="240" w:lineRule="auto"/>
        <w:ind w:hanging="720"/>
        <w:rPr>
          <w:sz w:val="24"/>
          <w:szCs w:val="24"/>
        </w:rPr>
      </w:pPr>
      <w:r>
        <w:rPr>
          <w:sz w:val="24"/>
          <w:szCs w:val="24"/>
        </w:rPr>
        <w:t>The Common Seal of the</w:t>
      </w:r>
      <w:r>
        <w:rPr>
          <w:sz w:val="24"/>
          <w:szCs w:val="24"/>
        </w:rPr>
        <w:tab/>
      </w:r>
      <w:r>
        <w:rPr>
          <w:sz w:val="24"/>
          <w:szCs w:val="24"/>
        </w:rPr>
        <w:tab/>
        <w:t>)</w:t>
      </w:r>
    </w:p>
    <w:p w:rsidR="002B3D4F" w:rsidRDefault="002B3D4F" w:rsidP="002B3D4F">
      <w:pPr>
        <w:spacing w:line="240" w:lineRule="auto"/>
        <w:ind w:hanging="720"/>
        <w:rPr>
          <w:sz w:val="24"/>
          <w:szCs w:val="24"/>
        </w:rPr>
      </w:pPr>
      <w:r>
        <w:rPr>
          <w:sz w:val="24"/>
          <w:szCs w:val="24"/>
        </w:rPr>
        <w:t>Repatriation Medical Authority</w:t>
      </w:r>
      <w:r>
        <w:rPr>
          <w:sz w:val="24"/>
          <w:szCs w:val="24"/>
        </w:rPr>
        <w:tab/>
        <w:t>)</w:t>
      </w:r>
    </w:p>
    <w:p w:rsidR="002B3D4F" w:rsidRDefault="002B3D4F" w:rsidP="002B3D4F">
      <w:pPr>
        <w:spacing w:line="240" w:lineRule="auto"/>
        <w:ind w:hanging="720"/>
        <w:rPr>
          <w:sz w:val="24"/>
          <w:szCs w:val="24"/>
        </w:rPr>
      </w:pPr>
      <w:r>
        <w:rPr>
          <w:sz w:val="24"/>
          <w:szCs w:val="24"/>
        </w:rPr>
        <w:t>was affixed at the direction of:</w:t>
      </w:r>
      <w:r>
        <w:rPr>
          <w:sz w:val="24"/>
          <w:szCs w:val="24"/>
        </w:rPr>
        <w:tab/>
        <w:t>)</w:t>
      </w:r>
    </w:p>
    <w:p w:rsidR="002B3D4F" w:rsidRDefault="002B3D4F" w:rsidP="002B3D4F">
      <w:pPr>
        <w:spacing w:before="120" w:line="240" w:lineRule="auto"/>
        <w:ind w:left="3600"/>
        <w:outlineLvl w:val="0"/>
        <w:rPr>
          <w:sz w:val="24"/>
          <w:szCs w:val="24"/>
        </w:rPr>
      </w:pPr>
      <w:r>
        <w:rPr>
          <w:sz w:val="24"/>
          <w:szCs w:val="24"/>
        </w:rPr>
        <w:t>PROFESSOR NICHOLAS SAUNDERS AO</w:t>
      </w:r>
    </w:p>
    <w:p w:rsidR="00FC10B5" w:rsidRDefault="002B3D4F" w:rsidP="002B3D4F">
      <w:pPr>
        <w:spacing w:before="60" w:line="240" w:lineRule="auto"/>
        <w:ind w:left="5041"/>
        <w:outlineLvl w:val="0"/>
        <w:rPr>
          <w:sz w:val="24"/>
          <w:szCs w:val="24"/>
        </w:rPr>
      </w:pPr>
      <w:r>
        <w:rPr>
          <w:sz w:val="24"/>
          <w:szCs w:val="24"/>
        </w:rPr>
        <w:t>CHAIRPERSON</w:t>
      </w:r>
    </w:p>
    <w:sectPr w:rsidR="00FC10B5">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2D" w:rsidRDefault="006A352D">
      <w:r>
        <w:separator/>
      </w:r>
    </w:p>
  </w:endnote>
  <w:endnote w:type="continuationSeparator" w:id="0">
    <w:p w:rsidR="006A352D" w:rsidRDefault="006A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B5" w:rsidRDefault="00FC10B5">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201BBB">
      <w:rPr>
        <w:rFonts w:ascii="Arial" w:hAnsi="Arial"/>
        <w:b w:val="0"/>
        <w:noProof/>
        <w:snapToGrid w:val="0"/>
      </w:rPr>
      <w:t>2</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201BBB">
      <w:rPr>
        <w:rStyle w:val="PageNumber"/>
        <w:rFonts w:ascii="Arial" w:hAnsi="Arial"/>
        <w:b w:val="0"/>
        <w:noProof/>
      </w:rPr>
      <w:t>5</w:t>
    </w:r>
    <w:r>
      <w:rPr>
        <w:rStyle w:val="PageNumber"/>
        <w:rFonts w:ascii="Arial" w:hAnsi="Arial"/>
        <w:b w:val="0"/>
      </w:rPr>
      <w:fldChar w:fldCharType="end"/>
    </w:r>
    <w:r>
      <w:rPr>
        <w:rFonts w:ascii="Arial" w:hAnsi="Arial"/>
        <w:b w:val="0"/>
      </w:rPr>
      <w:t xml:space="preserve"> of Instrument No. </w:t>
    </w:r>
    <w:r w:rsidR="00571BDF">
      <w:rPr>
        <w:rFonts w:ascii="Arial" w:hAnsi="Arial"/>
        <w:b w:val="0"/>
      </w:rPr>
      <w:t xml:space="preserve">59 </w:t>
    </w:r>
    <w:r>
      <w:rPr>
        <w:rFonts w:ascii="Arial" w:hAnsi="Arial"/>
        <w:b w:val="0"/>
      </w:rPr>
      <w:t xml:space="preserve">of </w:t>
    </w:r>
    <w:r w:rsidR="008E7585">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2D" w:rsidRDefault="006A352D">
      <w:r>
        <w:separator/>
      </w:r>
    </w:p>
  </w:footnote>
  <w:footnote w:type="continuationSeparator" w:id="0">
    <w:p w:rsidR="006A352D" w:rsidRDefault="006A3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983"/>
    <w:multiLevelType w:val="multilevel"/>
    <w:tmpl w:val="C4FA3722"/>
    <w:lvl w:ilvl="0">
      <w:start w:val="1"/>
      <w:numFmt w:val="lowerLetter"/>
      <w:lvlText w:val="(%1)"/>
      <w:lvlJc w:val="left"/>
      <w:pPr>
        <w:tabs>
          <w:tab w:val="num" w:pos="1440"/>
        </w:tabs>
        <w:ind w:left="1440" w:hanging="720"/>
      </w:pPr>
      <w:rPr>
        <w:rFonts w:hint="default"/>
        <w:b w:val="0"/>
        <w:i w:val="0"/>
        <w:sz w:val="24"/>
      </w:rPr>
    </w:lvl>
    <w:lvl w:ilvl="1">
      <w:start w:val="1"/>
      <w:numFmt w:val="lowerRoman"/>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FF965C2"/>
    <w:multiLevelType w:val="hybridMultilevel"/>
    <w:tmpl w:val="01F09CC6"/>
    <w:lvl w:ilvl="0" w:tplc="DA7C8A0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D735F9"/>
    <w:multiLevelType w:val="hybridMultilevel"/>
    <w:tmpl w:val="8A321926"/>
    <w:lvl w:ilvl="0" w:tplc="3E42FC4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171"/>
        </w:tabs>
        <w:ind w:left="2171" w:hanging="360"/>
      </w:p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5">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6">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7">
    <w:nsid w:val="38E26999"/>
    <w:multiLevelType w:val="multilevel"/>
    <w:tmpl w:val="8A321926"/>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2171"/>
        </w:tabs>
        <w:ind w:left="2171" w:hanging="360"/>
      </w:pPr>
    </w:lvl>
    <w:lvl w:ilvl="2">
      <w:start w:val="1"/>
      <w:numFmt w:val="lowerRoman"/>
      <w:lvlText w:val="%3."/>
      <w:lvlJc w:val="right"/>
      <w:pPr>
        <w:tabs>
          <w:tab w:val="num" w:pos="2891"/>
        </w:tabs>
        <w:ind w:left="2891" w:hanging="180"/>
      </w:pPr>
    </w:lvl>
    <w:lvl w:ilvl="3">
      <w:start w:val="1"/>
      <w:numFmt w:val="decimal"/>
      <w:lvlText w:val="%4."/>
      <w:lvlJc w:val="left"/>
      <w:pPr>
        <w:tabs>
          <w:tab w:val="num" w:pos="3611"/>
        </w:tabs>
        <w:ind w:left="3611" w:hanging="360"/>
      </w:pPr>
    </w:lvl>
    <w:lvl w:ilvl="4">
      <w:start w:val="1"/>
      <w:numFmt w:val="lowerLetter"/>
      <w:lvlText w:val="%5."/>
      <w:lvlJc w:val="left"/>
      <w:pPr>
        <w:tabs>
          <w:tab w:val="num" w:pos="4331"/>
        </w:tabs>
        <w:ind w:left="4331" w:hanging="360"/>
      </w:pPr>
    </w:lvl>
    <w:lvl w:ilvl="5">
      <w:start w:val="1"/>
      <w:numFmt w:val="lowerRoman"/>
      <w:lvlText w:val="%6."/>
      <w:lvlJc w:val="right"/>
      <w:pPr>
        <w:tabs>
          <w:tab w:val="num" w:pos="5051"/>
        </w:tabs>
        <w:ind w:left="5051" w:hanging="180"/>
      </w:pPr>
    </w:lvl>
    <w:lvl w:ilvl="6">
      <w:start w:val="1"/>
      <w:numFmt w:val="decimal"/>
      <w:lvlText w:val="%7."/>
      <w:lvlJc w:val="left"/>
      <w:pPr>
        <w:tabs>
          <w:tab w:val="num" w:pos="5771"/>
        </w:tabs>
        <w:ind w:left="5771" w:hanging="360"/>
      </w:pPr>
    </w:lvl>
    <w:lvl w:ilvl="7">
      <w:start w:val="1"/>
      <w:numFmt w:val="lowerLetter"/>
      <w:lvlText w:val="%8."/>
      <w:lvlJc w:val="left"/>
      <w:pPr>
        <w:tabs>
          <w:tab w:val="num" w:pos="6491"/>
        </w:tabs>
        <w:ind w:left="6491" w:hanging="360"/>
      </w:pPr>
    </w:lvl>
    <w:lvl w:ilvl="8">
      <w:start w:val="1"/>
      <w:numFmt w:val="lowerRoman"/>
      <w:lvlText w:val="%9."/>
      <w:lvlJc w:val="right"/>
      <w:pPr>
        <w:tabs>
          <w:tab w:val="num" w:pos="7211"/>
        </w:tabs>
        <w:ind w:left="7211" w:hanging="180"/>
      </w:pPr>
    </w:lvl>
  </w:abstractNum>
  <w:abstractNum w:abstractNumId="8">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8907E5"/>
    <w:multiLevelType w:val="singleLevel"/>
    <w:tmpl w:val="2AF0C460"/>
    <w:lvl w:ilvl="0">
      <w:start w:val="19"/>
      <w:numFmt w:val="lowerLetter"/>
      <w:lvlText w:val="(%1)"/>
      <w:lvlJc w:val="left"/>
      <w:pPr>
        <w:tabs>
          <w:tab w:val="num" w:pos="720"/>
        </w:tabs>
        <w:ind w:left="720" w:hanging="720"/>
      </w:pPr>
      <w:rPr>
        <w:rFonts w:hint="default"/>
      </w:rPr>
    </w:lvl>
  </w:abstractNum>
  <w:abstractNum w:abstractNumId="10">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1">
    <w:nsid w:val="4B1828CE"/>
    <w:multiLevelType w:val="hybridMultilevel"/>
    <w:tmpl w:val="3DD21012"/>
    <w:lvl w:ilvl="0" w:tplc="3E42FC4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13">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14">
    <w:nsid w:val="505225B0"/>
    <w:multiLevelType w:val="hybridMultilevel"/>
    <w:tmpl w:val="0DD020D4"/>
    <w:lvl w:ilvl="0" w:tplc="3E42FC4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171"/>
        </w:tabs>
        <w:ind w:left="2171" w:hanging="360"/>
      </w:p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15">
    <w:nsid w:val="56D62742"/>
    <w:multiLevelType w:val="hybridMultilevel"/>
    <w:tmpl w:val="9C501CFC"/>
    <w:lvl w:ilvl="0" w:tplc="02862824">
      <w:start w:val="1"/>
      <w:numFmt w:val="lowerLetter"/>
      <w:lvlText w:val="(%1)"/>
      <w:lvlJc w:val="left"/>
      <w:pPr>
        <w:tabs>
          <w:tab w:val="num" w:pos="1440"/>
        </w:tabs>
        <w:ind w:left="1440" w:hanging="720"/>
      </w:pPr>
      <w:rPr>
        <w:rFonts w:ascii="Times New Roman" w:hAnsi="Times New Roman" w:hint="default"/>
        <w:b w:val="0"/>
        <w:i w:val="0"/>
        <w:sz w:val="24"/>
      </w:rPr>
    </w:lvl>
    <w:lvl w:ilvl="1" w:tplc="47ECAFE2" w:tentative="1">
      <w:start w:val="1"/>
      <w:numFmt w:val="lowerLetter"/>
      <w:lvlText w:val="%2."/>
      <w:lvlJc w:val="left"/>
      <w:pPr>
        <w:tabs>
          <w:tab w:val="num" w:pos="1440"/>
        </w:tabs>
        <w:ind w:left="1440" w:hanging="360"/>
      </w:pPr>
    </w:lvl>
    <w:lvl w:ilvl="2" w:tplc="DF1823B8" w:tentative="1">
      <w:start w:val="1"/>
      <w:numFmt w:val="lowerRoman"/>
      <w:lvlText w:val="%3."/>
      <w:lvlJc w:val="right"/>
      <w:pPr>
        <w:tabs>
          <w:tab w:val="num" w:pos="2160"/>
        </w:tabs>
        <w:ind w:left="2160" w:hanging="180"/>
      </w:pPr>
    </w:lvl>
    <w:lvl w:ilvl="3" w:tplc="D1762226" w:tentative="1">
      <w:start w:val="1"/>
      <w:numFmt w:val="decimal"/>
      <w:lvlText w:val="%4."/>
      <w:lvlJc w:val="left"/>
      <w:pPr>
        <w:tabs>
          <w:tab w:val="num" w:pos="2880"/>
        </w:tabs>
        <w:ind w:left="2880" w:hanging="360"/>
      </w:pPr>
    </w:lvl>
    <w:lvl w:ilvl="4" w:tplc="7D48B6E8" w:tentative="1">
      <w:start w:val="1"/>
      <w:numFmt w:val="lowerLetter"/>
      <w:lvlText w:val="%5."/>
      <w:lvlJc w:val="left"/>
      <w:pPr>
        <w:tabs>
          <w:tab w:val="num" w:pos="3600"/>
        </w:tabs>
        <w:ind w:left="3600" w:hanging="360"/>
      </w:pPr>
    </w:lvl>
    <w:lvl w:ilvl="5" w:tplc="6910E7AE" w:tentative="1">
      <w:start w:val="1"/>
      <w:numFmt w:val="lowerRoman"/>
      <w:lvlText w:val="%6."/>
      <w:lvlJc w:val="right"/>
      <w:pPr>
        <w:tabs>
          <w:tab w:val="num" w:pos="4320"/>
        </w:tabs>
        <w:ind w:left="4320" w:hanging="180"/>
      </w:pPr>
    </w:lvl>
    <w:lvl w:ilvl="6" w:tplc="C5141A2E" w:tentative="1">
      <w:start w:val="1"/>
      <w:numFmt w:val="decimal"/>
      <w:lvlText w:val="%7."/>
      <w:lvlJc w:val="left"/>
      <w:pPr>
        <w:tabs>
          <w:tab w:val="num" w:pos="5040"/>
        </w:tabs>
        <w:ind w:left="5040" w:hanging="360"/>
      </w:pPr>
    </w:lvl>
    <w:lvl w:ilvl="7" w:tplc="A2A2C1E8" w:tentative="1">
      <w:start w:val="1"/>
      <w:numFmt w:val="lowerLetter"/>
      <w:lvlText w:val="%8."/>
      <w:lvlJc w:val="left"/>
      <w:pPr>
        <w:tabs>
          <w:tab w:val="num" w:pos="5760"/>
        </w:tabs>
        <w:ind w:left="5760" w:hanging="360"/>
      </w:pPr>
    </w:lvl>
    <w:lvl w:ilvl="8" w:tplc="5AA84CA4" w:tentative="1">
      <w:start w:val="1"/>
      <w:numFmt w:val="lowerRoman"/>
      <w:lvlText w:val="%9."/>
      <w:lvlJc w:val="right"/>
      <w:pPr>
        <w:tabs>
          <w:tab w:val="num" w:pos="6480"/>
        </w:tabs>
        <w:ind w:left="6480" w:hanging="180"/>
      </w:pPr>
    </w:lvl>
  </w:abstractNum>
  <w:abstractNum w:abstractNumId="16">
    <w:nsid w:val="56E43176"/>
    <w:multiLevelType w:val="hybridMultilevel"/>
    <w:tmpl w:val="6B643E98"/>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8">
    <w:nsid w:val="5AEC65BF"/>
    <w:multiLevelType w:val="hybridMultilevel"/>
    <w:tmpl w:val="5C4ADA9A"/>
    <w:lvl w:ilvl="0" w:tplc="288E48C6">
      <w:start w:val="1"/>
      <w:numFmt w:val="lowerLetter"/>
      <w:lvlText w:val="(%1)"/>
      <w:lvlJc w:val="left"/>
      <w:pPr>
        <w:tabs>
          <w:tab w:val="num" w:pos="1440"/>
        </w:tabs>
        <w:ind w:left="1440" w:hanging="720"/>
      </w:pPr>
      <w:rPr>
        <w:rFonts w:ascii="Times New Roman" w:hAnsi="Times New Roman" w:hint="default"/>
        <w:b w:val="0"/>
        <w:i w:val="0"/>
        <w:sz w:val="24"/>
      </w:rPr>
    </w:lvl>
    <w:lvl w:ilvl="1" w:tplc="63AEA7D2" w:tentative="1">
      <w:start w:val="1"/>
      <w:numFmt w:val="lowerLetter"/>
      <w:lvlText w:val="%2."/>
      <w:lvlJc w:val="left"/>
      <w:pPr>
        <w:tabs>
          <w:tab w:val="num" w:pos="1440"/>
        </w:tabs>
        <w:ind w:left="1440" w:hanging="360"/>
      </w:pPr>
    </w:lvl>
    <w:lvl w:ilvl="2" w:tplc="CB8C3972" w:tentative="1">
      <w:start w:val="1"/>
      <w:numFmt w:val="lowerRoman"/>
      <w:lvlText w:val="%3."/>
      <w:lvlJc w:val="right"/>
      <w:pPr>
        <w:tabs>
          <w:tab w:val="num" w:pos="2160"/>
        </w:tabs>
        <w:ind w:left="2160" w:hanging="180"/>
      </w:pPr>
    </w:lvl>
    <w:lvl w:ilvl="3" w:tplc="2448386A" w:tentative="1">
      <w:start w:val="1"/>
      <w:numFmt w:val="decimal"/>
      <w:lvlText w:val="%4."/>
      <w:lvlJc w:val="left"/>
      <w:pPr>
        <w:tabs>
          <w:tab w:val="num" w:pos="2880"/>
        </w:tabs>
        <w:ind w:left="2880" w:hanging="360"/>
      </w:pPr>
    </w:lvl>
    <w:lvl w:ilvl="4" w:tplc="A5C2B712" w:tentative="1">
      <w:start w:val="1"/>
      <w:numFmt w:val="lowerLetter"/>
      <w:lvlText w:val="%5."/>
      <w:lvlJc w:val="left"/>
      <w:pPr>
        <w:tabs>
          <w:tab w:val="num" w:pos="3600"/>
        </w:tabs>
        <w:ind w:left="3600" w:hanging="360"/>
      </w:pPr>
    </w:lvl>
    <w:lvl w:ilvl="5" w:tplc="B78AA72A" w:tentative="1">
      <w:start w:val="1"/>
      <w:numFmt w:val="lowerRoman"/>
      <w:lvlText w:val="%6."/>
      <w:lvlJc w:val="right"/>
      <w:pPr>
        <w:tabs>
          <w:tab w:val="num" w:pos="4320"/>
        </w:tabs>
        <w:ind w:left="4320" w:hanging="180"/>
      </w:pPr>
    </w:lvl>
    <w:lvl w:ilvl="6" w:tplc="A1CEFA08" w:tentative="1">
      <w:start w:val="1"/>
      <w:numFmt w:val="decimal"/>
      <w:lvlText w:val="%7."/>
      <w:lvlJc w:val="left"/>
      <w:pPr>
        <w:tabs>
          <w:tab w:val="num" w:pos="5040"/>
        </w:tabs>
        <w:ind w:left="5040" w:hanging="360"/>
      </w:pPr>
    </w:lvl>
    <w:lvl w:ilvl="7" w:tplc="91F84FF0" w:tentative="1">
      <w:start w:val="1"/>
      <w:numFmt w:val="lowerLetter"/>
      <w:lvlText w:val="%8."/>
      <w:lvlJc w:val="left"/>
      <w:pPr>
        <w:tabs>
          <w:tab w:val="num" w:pos="5760"/>
        </w:tabs>
        <w:ind w:left="5760" w:hanging="360"/>
      </w:pPr>
    </w:lvl>
    <w:lvl w:ilvl="8" w:tplc="0B16A54E" w:tentative="1">
      <w:start w:val="1"/>
      <w:numFmt w:val="lowerRoman"/>
      <w:lvlText w:val="%9."/>
      <w:lvlJc w:val="right"/>
      <w:pPr>
        <w:tabs>
          <w:tab w:val="num" w:pos="6480"/>
        </w:tabs>
        <w:ind w:left="6480" w:hanging="180"/>
      </w:pPr>
    </w:lvl>
  </w:abstractNum>
  <w:abstractNum w:abstractNumId="19">
    <w:nsid w:val="677A6DEA"/>
    <w:multiLevelType w:val="hybridMultilevel"/>
    <w:tmpl w:val="0DDE45EC"/>
    <w:lvl w:ilvl="0" w:tplc="DA7C8A0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B24125A"/>
    <w:multiLevelType w:val="hybridMultilevel"/>
    <w:tmpl w:val="7234AB1A"/>
    <w:lvl w:ilvl="0" w:tplc="DA7C8A0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502709"/>
    <w:multiLevelType w:val="singleLevel"/>
    <w:tmpl w:val="1E9CA386"/>
    <w:lvl w:ilvl="0">
      <w:start w:val="4"/>
      <w:numFmt w:val="lowerLetter"/>
      <w:lvlText w:val="(%1)"/>
      <w:lvlJc w:val="left"/>
      <w:pPr>
        <w:tabs>
          <w:tab w:val="num" w:pos="1429"/>
        </w:tabs>
        <w:ind w:left="1429" w:hanging="720"/>
      </w:pPr>
      <w:rPr>
        <w:sz w:val="24"/>
        <w:szCs w:val="24"/>
      </w:rPr>
    </w:lvl>
  </w:abstractNum>
  <w:num w:numId="1">
    <w:abstractNumId w:val="6"/>
  </w:num>
  <w:num w:numId="2">
    <w:abstractNumId w:val="12"/>
  </w:num>
  <w:num w:numId="3">
    <w:abstractNumId w:val="10"/>
  </w:num>
  <w:num w:numId="4">
    <w:abstractNumId w:val="0"/>
  </w:num>
  <w:num w:numId="5">
    <w:abstractNumId w:val="5"/>
  </w:num>
  <w:num w:numId="6">
    <w:abstractNumId w:val="22"/>
  </w:num>
  <w:num w:numId="7">
    <w:abstractNumId w:val="17"/>
  </w:num>
  <w:num w:numId="8">
    <w:abstractNumId w:val="3"/>
  </w:num>
  <w:num w:numId="9">
    <w:abstractNumId w:val="16"/>
  </w:num>
  <w:num w:numId="10">
    <w:abstractNumId w:val="8"/>
  </w:num>
  <w:num w:numId="11">
    <w:abstractNumId w:val="1"/>
  </w:num>
  <w:num w:numId="12">
    <w:abstractNumId w:val="21"/>
  </w:num>
  <w:num w:numId="13">
    <w:abstractNumId w:val="18"/>
  </w:num>
  <w:num w:numId="14">
    <w:abstractNumId w:val="15"/>
  </w:num>
  <w:num w:numId="15">
    <w:abstractNumId w:val="13"/>
  </w:num>
  <w:num w:numId="16">
    <w:abstractNumId w:val="4"/>
  </w:num>
  <w:num w:numId="17">
    <w:abstractNumId w:val="2"/>
  </w:num>
  <w:num w:numId="18">
    <w:abstractNumId w:val="19"/>
  </w:num>
  <w:num w:numId="19">
    <w:abstractNumId w:val="20"/>
  </w:num>
  <w:num w:numId="20">
    <w:abstractNumId w:val="9"/>
  </w:num>
  <w:num w:numId="21">
    <w:abstractNumId w:val="11"/>
  </w:num>
  <w:num w:numId="22">
    <w:abstractNumId w:val="7"/>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85"/>
    <w:rsid w:val="00200AA5"/>
    <w:rsid w:val="00201BBB"/>
    <w:rsid w:val="002B3D4F"/>
    <w:rsid w:val="00323C0D"/>
    <w:rsid w:val="00571BDF"/>
    <w:rsid w:val="005C641F"/>
    <w:rsid w:val="006A352D"/>
    <w:rsid w:val="008E7585"/>
    <w:rsid w:val="00980A91"/>
    <w:rsid w:val="00A42C53"/>
    <w:rsid w:val="00A955A8"/>
    <w:rsid w:val="00B315C7"/>
    <w:rsid w:val="00B442B0"/>
    <w:rsid w:val="00C3212B"/>
    <w:rsid w:val="00D31C81"/>
    <w:rsid w:val="00D61625"/>
    <w:rsid w:val="00F130AD"/>
    <w:rsid w:val="00FC1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2015-02-25T02:51:00Z</dcterms:created>
  <dcterms:modified xsi:type="dcterms:W3CDTF">2015-02-26T01:59:00Z</dcterms:modified>
</cp:coreProperties>
</file>