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9F4A9F" w:rsidP="000D4D03">
      <w:pPr>
        <w:pStyle w:val="Plain"/>
        <w:jc w:val="center"/>
        <w:rPr>
          <w:sz w:val="28"/>
        </w:rPr>
      </w:pPr>
      <w:r>
        <w:rPr>
          <w:noProof/>
        </w:rPr>
        <w:drawing>
          <wp:inline distT="0" distB="0" distL="0" distR="0" wp14:anchorId="3E9AE973" wp14:editId="57FAAD9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r>
        <w:rPr>
          <w:noProof/>
        </w:rPr>
        <w:t xml:space="preserve"> </w:t>
      </w:r>
    </w:p>
    <w:p w:rsidR="00715914" w:rsidRPr="00FA33FB" w:rsidRDefault="00715914" w:rsidP="00715914">
      <w:pPr>
        <w:rPr>
          <w:sz w:val="19"/>
        </w:rPr>
      </w:pPr>
    </w:p>
    <w:p w:rsidR="009F4A9F" w:rsidRDefault="009F4A9F"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CB66FC">
        <w:t>MALIGNANT NEOPLASM OF THE GALLBLADDER</w:t>
      </w:r>
      <w:r w:rsidRPr="00831C11">
        <w:fldChar w:fldCharType="end"/>
      </w:r>
    </w:p>
    <w:p w:rsidR="00715914" w:rsidRPr="00831C11" w:rsidRDefault="00E55F66" w:rsidP="006647B7">
      <w:pPr>
        <w:pStyle w:val="Plainheader"/>
      </w:pPr>
      <w:r w:rsidRPr="00831C11">
        <w:t xml:space="preserve">(No. </w:t>
      </w:r>
      <w:bookmarkStart w:id="1" w:name="BP"/>
      <w:r w:rsidR="00E840E6">
        <w:t>89</w:t>
      </w:r>
      <w:bookmarkEnd w:id="1"/>
      <w:r w:rsidRPr="00831C11">
        <w:t xml:space="preserve"> of</w:t>
      </w:r>
      <w:r w:rsidR="00085567" w:rsidRPr="00831C11">
        <w:t xml:space="preserve"> </w:t>
      </w:r>
      <w:bookmarkStart w:id="2" w:name="year"/>
      <w:r w:rsidR="00A9341B">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0861BC">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C847A0" w:rsidRDefault="00C847A0" w:rsidP="00C847A0">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C847A0" w:rsidRDefault="00C847A0" w:rsidP="00C847A0">
      <w:pPr>
        <w:pStyle w:val="Plain"/>
      </w:pPr>
      <w:r>
        <w:rPr>
          <w:noProof/>
        </w:rPr>
        <w:drawing>
          <wp:anchor distT="0" distB="0" distL="114300" distR="114300" simplePos="0" relativeHeight="251659264" behindDoc="1" locked="0" layoutInCell="1" allowOverlap="1" wp14:anchorId="462D0A87" wp14:editId="48F9AD11">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C847A0" w:rsidRDefault="00C847A0" w:rsidP="00C847A0">
      <w:pPr>
        <w:pStyle w:val="Plain"/>
      </w:pPr>
    </w:p>
    <w:p w:rsidR="00C847A0" w:rsidRDefault="00C847A0" w:rsidP="00C847A0">
      <w:pPr>
        <w:pStyle w:val="Plain"/>
      </w:pPr>
    </w:p>
    <w:p w:rsidR="00C847A0" w:rsidRDefault="00C847A0" w:rsidP="00C847A0">
      <w:pPr>
        <w:pStyle w:val="Plain"/>
      </w:pPr>
    </w:p>
    <w:p w:rsidR="00C847A0" w:rsidRPr="007527C1" w:rsidRDefault="00C847A0" w:rsidP="00C847A0">
      <w:pPr>
        <w:pStyle w:val="Plain"/>
      </w:pPr>
    </w:p>
    <w:p w:rsidR="00C847A0" w:rsidRPr="007527C1" w:rsidRDefault="00C847A0" w:rsidP="00C847A0">
      <w:pPr>
        <w:pStyle w:val="Plain"/>
      </w:pPr>
      <w:r w:rsidRPr="007527C1">
        <w:t>Professor Nicholas Saunders AO</w:t>
      </w:r>
    </w:p>
    <w:p w:rsidR="00F67B67" w:rsidRDefault="00C847A0" w:rsidP="00C847A0">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40BC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40BC7">
        <w:rPr>
          <w:noProof/>
        </w:rPr>
        <w:t>1</w:t>
      </w:r>
      <w:r w:rsidR="00B40BC7">
        <w:rPr>
          <w:rFonts w:asciiTheme="minorHAnsi" w:eastAsiaTheme="minorEastAsia" w:hAnsiTheme="minorHAnsi" w:cstheme="minorBidi"/>
          <w:noProof/>
          <w:kern w:val="0"/>
          <w:sz w:val="22"/>
          <w:szCs w:val="22"/>
        </w:rPr>
        <w:tab/>
      </w:r>
      <w:r w:rsidR="00B40BC7">
        <w:rPr>
          <w:noProof/>
        </w:rPr>
        <w:t>Name</w:t>
      </w:r>
      <w:r w:rsidR="00B40BC7">
        <w:rPr>
          <w:noProof/>
        </w:rPr>
        <w:tab/>
      </w:r>
      <w:r w:rsidR="00B40BC7">
        <w:rPr>
          <w:noProof/>
        </w:rPr>
        <w:fldChar w:fldCharType="begin"/>
      </w:r>
      <w:r w:rsidR="00B40BC7">
        <w:rPr>
          <w:noProof/>
        </w:rPr>
        <w:instrText xml:space="preserve"> PAGEREF _Toc421802224 \h </w:instrText>
      </w:r>
      <w:r w:rsidR="00B40BC7">
        <w:rPr>
          <w:noProof/>
        </w:rPr>
      </w:r>
      <w:r w:rsidR="00B40BC7">
        <w:rPr>
          <w:noProof/>
        </w:rPr>
        <w:fldChar w:fldCharType="separate"/>
      </w:r>
      <w:r w:rsidR="00CB66FC">
        <w:rPr>
          <w:noProof/>
        </w:rPr>
        <w:t>3</w:t>
      </w:r>
      <w:r w:rsidR="00B40BC7">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_Toc421802225 \h </w:instrText>
      </w:r>
      <w:r>
        <w:rPr>
          <w:noProof/>
        </w:rPr>
      </w:r>
      <w:r>
        <w:rPr>
          <w:noProof/>
        </w:rPr>
        <w:fldChar w:fldCharType="separate"/>
      </w:r>
      <w:r w:rsidR="00CB66FC">
        <w:rPr>
          <w:noProof/>
        </w:rPr>
        <w:t>3</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_Toc421802226 \h </w:instrText>
      </w:r>
      <w:r>
        <w:rPr>
          <w:noProof/>
        </w:rPr>
      </w:r>
      <w:r>
        <w:rPr>
          <w:noProof/>
        </w:rPr>
        <w:fldChar w:fldCharType="separate"/>
      </w:r>
      <w:r w:rsidR="00CB66FC">
        <w:rPr>
          <w:noProof/>
        </w:rPr>
        <w:t>3</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_Toc421802227 \h </w:instrText>
      </w:r>
      <w:r>
        <w:rPr>
          <w:noProof/>
        </w:rPr>
      </w:r>
      <w:r>
        <w:rPr>
          <w:noProof/>
        </w:rPr>
        <w:fldChar w:fldCharType="separate"/>
      </w:r>
      <w:r w:rsidR="00CB66FC">
        <w:rPr>
          <w:noProof/>
        </w:rPr>
        <w:t>3</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_Toc421802228 \h </w:instrText>
      </w:r>
      <w:r>
        <w:rPr>
          <w:noProof/>
        </w:rPr>
      </w:r>
      <w:r>
        <w:rPr>
          <w:noProof/>
        </w:rPr>
        <w:fldChar w:fldCharType="separate"/>
      </w:r>
      <w:r w:rsidR="00CB66FC">
        <w:rPr>
          <w:noProof/>
        </w:rPr>
        <w:t>3</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_Toc421802229 \h </w:instrText>
      </w:r>
      <w:r>
        <w:rPr>
          <w:noProof/>
        </w:rPr>
      </w:r>
      <w:r>
        <w:rPr>
          <w:noProof/>
        </w:rPr>
        <w:fldChar w:fldCharType="separate"/>
      </w:r>
      <w:r w:rsidR="00CB66FC">
        <w:rPr>
          <w:noProof/>
        </w:rPr>
        <w:t>3</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_Toc421802230 \h </w:instrText>
      </w:r>
      <w:r>
        <w:rPr>
          <w:noProof/>
        </w:rPr>
      </w:r>
      <w:r>
        <w:rPr>
          <w:noProof/>
        </w:rPr>
        <w:fldChar w:fldCharType="separate"/>
      </w:r>
      <w:r w:rsidR="00CB66FC">
        <w:rPr>
          <w:noProof/>
        </w:rPr>
        <w:t>3</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_Toc421802231 \h </w:instrText>
      </w:r>
      <w:r>
        <w:rPr>
          <w:noProof/>
        </w:rPr>
      </w:r>
      <w:r>
        <w:rPr>
          <w:noProof/>
        </w:rPr>
        <w:fldChar w:fldCharType="separate"/>
      </w:r>
      <w:r w:rsidR="00CB66FC">
        <w:rPr>
          <w:noProof/>
        </w:rPr>
        <w:t>4</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_Toc421802232 \h </w:instrText>
      </w:r>
      <w:r>
        <w:rPr>
          <w:noProof/>
        </w:rPr>
      </w:r>
      <w:r>
        <w:rPr>
          <w:noProof/>
        </w:rPr>
        <w:fldChar w:fldCharType="separate"/>
      </w:r>
      <w:r w:rsidR="00CB66FC">
        <w:rPr>
          <w:noProof/>
        </w:rPr>
        <w:t>4</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_Toc421802233 \h </w:instrText>
      </w:r>
      <w:r>
        <w:rPr>
          <w:noProof/>
        </w:rPr>
      </w:r>
      <w:r>
        <w:rPr>
          <w:noProof/>
        </w:rPr>
        <w:fldChar w:fldCharType="separate"/>
      </w:r>
      <w:r w:rsidR="00CB66FC">
        <w:rPr>
          <w:noProof/>
        </w:rPr>
        <w:t>5</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_Toc421802234 \h </w:instrText>
      </w:r>
      <w:r>
        <w:rPr>
          <w:noProof/>
        </w:rPr>
      </w:r>
      <w:r>
        <w:rPr>
          <w:noProof/>
        </w:rPr>
        <w:fldChar w:fldCharType="separate"/>
      </w:r>
      <w:r w:rsidR="00CB66FC">
        <w:rPr>
          <w:noProof/>
        </w:rPr>
        <w:t>5</w:t>
      </w:r>
      <w:r>
        <w:rPr>
          <w:noProof/>
        </w:rPr>
        <w:fldChar w:fldCharType="end"/>
      </w:r>
    </w:p>
    <w:p w:rsidR="00B40BC7" w:rsidRDefault="00B40BC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_Toc421802235 \h </w:instrText>
      </w:r>
      <w:r>
        <w:rPr>
          <w:noProof/>
        </w:rPr>
      </w:r>
      <w:r>
        <w:rPr>
          <w:noProof/>
        </w:rPr>
        <w:fldChar w:fldCharType="separate"/>
      </w:r>
      <w:r w:rsidR="00CB66FC">
        <w:rPr>
          <w:noProof/>
        </w:rPr>
        <w:t>6</w:t>
      </w:r>
      <w:r>
        <w:rPr>
          <w:noProof/>
        </w:rPr>
        <w:fldChar w:fldCharType="end"/>
      </w:r>
    </w:p>
    <w:p w:rsidR="00B40BC7" w:rsidRDefault="00B40BC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_Toc421802236 \h </w:instrText>
      </w:r>
      <w:r>
        <w:rPr>
          <w:noProof/>
        </w:rPr>
      </w:r>
      <w:r>
        <w:rPr>
          <w:noProof/>
        </w:rPr>
        <w:fldChar w:fldCharType="separate"/>
      </w:r>
      <w:r w:rsidR="00CB66FC">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21802224"/>
      <w:r>
        <w:lastRenderedPageBreak/>
        <w:t>Name</w:t>
      </w:r>
      <w:bookmarkEnd w:id="5"/>
    </w:p>
    <w:p w:rsidR="00237471" w:rsidRPr="00F97A62" w:rsidRDefault="00715914" w:rsidP="00262848">
      <w:pPr>
        <w:pStyle w:val="PlainIndent"/>
      </w:pPr>
      <w:r w:rsidRPr="00F97A62">
        <w:t xml:space="preserve">This </w:t>
      </w:r>
      <w:r w:rsidR="00CE493D" w:rsidRPr="00F97A62">
        <w:t xml:space="preserve">is the </w:t>
      </w:r>
      <w:bookmarkStart w:id="6" w:name="BKCheck15B_3"/>
      <w:bookmarkEnd w:id="6"/>
      <w:r w:rsidR="00E55F66" w:rsidRPr="00F97A62">
        <w:t xml:space="preserve">Statement of Principles </w:t>
      </w:r>
      <w:r w:rsidR="00E55F66" w:rsidRPr="00781B24">
        <w:t>concerning</w:t>
      </w:r>
      <w:r w:rsidR="00912B55" w:rsidRPr="00781B24">
        <w:t xml:space="preserve"> </w:t>
      </w:r>
      <w:bookmarkStart w:id="7" w:name="SoP_Name"/>
      <w:r w:rsidR="00A9341B">
        <w:rPr>
          <w:b/>
        </w:rPr>
        <w:t>malignant neoplasm of the gallbladder</w:t>
      </w:r>
      <w:bookmarkEnd w:id="7"/>
      <w:r w:rsidR="008E4A16">
        <w:rPr>
          <w:b/>
        </w:rPr>
        <w:t xml:space="preserve"> </w:t>
      </w:r>
      <w:r w:rsidR="00E55F66" w:rsidRPr="00F97A62">
        <w:t xml:space="preserve">(No. </w:t>
      </w:r>
      <w:r w:rsidR="009F4A9F">
        <w:fldChar w:fldCharType="begin"/>
      </w:r>
      <w:r w:rsidR="009F4A9F">
        <w:instrText xml:space="preserve"> REF BP  \* MERGEFORMAT</w:instrText>
      </w:r>
      <w:r w:rsidR="009F4A9F">
        <w:fldChar w:fldCharType="separate"/>
      </w:r>
      <w:r w:rsidR="00CB66FC">
        <w:t>89</w:t>
      </w:r>
      <w:r w:rsidR="009F4A9F">
        <w:fldChar w:fldCharType="end"/>
      </w:r>
      <w:r w:rsidR="00085567">
        <w:t xml:space="preserve"> </w:t>
      </w:r>
      <w:r w:rsidR="00E55F66" w:rsidRPr="00F97A62">
        <w:t>of</w:t>
      </w:r>
      <w:r w:rsidR="00085567">
        <w:t xml:space="preserve"> </w:t>
      </w:r>
      <w:r w:rsidR="009F4A9F">
        <w:fldChar w:fldCharType="begin"/>
      </w:r>
      <w:r w:rsidR="009F4A9F">
        <w:instrText xml:space="preserve"> REF year \* Charformat \* MERGEFORMAT </w:instrText>
      </w:r>
      <w:r w:rsidR="009F4A9F">
        <w:fldChar w:fldCharType="separate"/>
      </w:r>
      <w:r w:rsidR="00CB66FC">
        <w:t>2015</w:t>
      </w:r>
      <w:r w:rsidR="009F4A9F">
        <w:fldChar w:fldCharType="end"/>
      </w:r>
      <w:r w:rsidR="00E55F66" w:rsidRPr="00F97A62">
        <w:t>)</w:t>
      </w:r>
      <w:r w:rsidRPr="00F97A62">
        <w:t>.</w:t>
      </w:r>
    </w:p>
    <w:p w:rsidR="00F67B67" w:rsidRPr="00684C0E" w:rsidRDefault="00F67B67" w:rsidP="00C96667">
      <w:pPr>
        <w:pStyle w:val="LV1"/>
      </w:pPr>
      <w:bookmarkStart w:id="8" w:name="_Toc421802225"/>
      <w:r w:rsidRPr="00684C0E">
        <w:t>Commencement</w:t>
      </w:r>
      <w:bookmarkEnd w:id="8"/>
    </w:p>
    <w:p w:rsidR="00F67B67" w:rsidRPr="007527C1" w:rsidRDefault="007527C1" w:rsidP="00F97A62">
      <w:pPr>
        <w:pStyle w:val="PlainIndent"/>
      </w:pPr>
      <w:r w:rsidRPr="007527C1">
        <w:tab/>
      </w:r>
      <w:r w:rsidR="00F67B67" w:rsidRPr="007527C1">
        <w:t xml:space="preserve">This instrument commences on </w:t>
      </w:r>
      <w:r w:rsidR="000861BC">
        <w:rPr>
          <w:b/>
        </w:rPr>
        <w:t>20 July 2015</w:t>
      </w:r>
      <w:r w:rsidR="00F67B67" w:rsidRPr="007527C1">
        <w:t>.</w:t>
      </w:r>
    </w:p>
    <w:p w:rsidR="00F67B67" w:rsidRPr="00684C0E" w:rsidRDefault="00F67B67" w:rsidP="00C96667">
      <w:pPr>
        <w:pStyle w:val="LV1"/>
      </w:pPr>
      <w:bookmarkStart w:id="9" w:name="_Toc421802226"/>
      <w:r w:rsidRPr="00684C0E">
        <w:t>Authority</w:t>
      </w:r>
      <w:bookmarkEnd w:id="9"/>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B40BC7" w:rsidRDefault="00B40BC7" w:rsidP="00B40BC7">
      <w:pPr>
        <w:pStyle w:val="LV1"/>
      </w:pPr>
      <w:bookmarkStart w:id="10" w:name="_Toc421802227"/>
      <w:r>
        <w:t>Revocation</w:t>
      </w:r>
      <w:bookmarkEnd w:id="10"/>
    </w:p>
    <w:p w:rsidR="00B40BC7" w:rsidRPr="007527C1" w:rsidRDefault="00B40BC7" w:rsidP="00B40BC7">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CB66FC" w:rsidRPr="00CB66FC">
        <w:t>malignant neoplasm of the gallbladder</w:t>
      </w:r>
      <w:r>
        <w:fldChar w:fldCharType="end"/>
      </w:r>
      <w:r>
        <w:t xml:space="preserve"> No. 67 of 2007, as amended, made under subsections 196B(2</w:t>
      </w:r>
      <w:r w:rsidRPr="000B755A">
        <w:t xml:space="preserve">) and (8) of the </w:t>
      </w:r>
      <w:r w:rsidRPr="006D60F8">
        <w:t>VEA</w:t>
      </w:r>
      <w:r w:rsidRPr="000B755A">
        <w:t xml:space="preserve"> is revoked.</w:t>
      </w:r>
    </w:p>
    <w:p w:rsidR="007C7DEE" w:rsidRPr="00684C0E" w:rsidRDefault="007C7DEE" w:rsidP="00C96667">
      <w:pPr>
        <w:pStyle w:val="LV1"/>
      </w:pPr>
      <w:bookmarkStart w:id="11" w:name="_Toc421802228"/>
      <w:r w:rsidRPr="00684C0E">
        <w:t>Application</w:t>
      </w:r>
      <w:bookmarkEnd w:id="11"/>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21802229"/>
      <w:r w:rsidRPr="00684C0E">
        <w:t>Definitions</w:t>
      </w:r>
      <w:bookmarkEnd w:id="12"/>
      <w:bookmarkEnd w:id="13"/>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2180223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3802D6">
      <w:pPr>
        <w:pStyle w:val="LV2"/>
      </w:pPr>
      <w:bookmarkStart w:id="18"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CB66FC" w:rsidRPr="00CB66FC">
        <w:t>malignant neoplasm of the gallbladder</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Pr="00D5620B">
        <w:t>.</w:t>
      </w:r>
      <w:bookmarkEnd w:id="18"/>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CB66FC" w:rsidRPr="00CB66FC">
        <w:rPr>
          <w:b/>
          <w:i/>
        </w:rPr>
        <w:t>malignant neoplasm of the gallbladder</w:t>
      </w:r>
      <w:r w:rsidR="00D60FC8" w:rsidRPr="007142FB">
        <w:rPr>
          <w:b/>
          <w:i/>
        </w:rPr>
        <w:fldChar w:fldCharType="end"/>
      </w:r>
    </w:p>
    <w:p w:rsidR="002716E4" w:rsidRPr="00237BAF" w:rsidRDefault="007C7DEE" w:rsidP="003802D6">
      <w:pPr>
        <w:pStyle w:val="LV2"/>
      </w:pPr>
      <w:bookmarkStart w:id="19" w:name="_Ref409598124"/>
      <w:bookmarkStart w:id="20"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2716E4" w:rsidRPr="00237BAF">
        <w:t>:</w:t>
      </w:r>
      <w:bookmarkEnd w:id="19"/>
    </w:p>
    <w:p w:rsidR="004C32AA" w:rsidRDefault="007C7DEE" w:rsidP="00A9341B">
      <w:pPr>
        <w:pStyle w:val="LV3"/>
      </w:pPr>
      <w:r w:rsidRPr="008E76DC">
        <w:t xml:space="preserve">means a </w:t>
      </w:r>
      <w:bookmarkEnd w:id="20"/>
      <w:r w:rsidR="00A9341B" w:rsidRPr="00A9341B">
        <w:t>primary malignancy arising from the cells of the gallbladder</w:t>
      </w:r>
      <w:r w:rsidR="004C32AA">
        <w:t>; and</w:t>
      </w:r>
      <w:r w:rsidR="00A9341B" w:rsidRPr="00A9341B">
        <w:t xml:space="preserve">  </w:t>
      </w:r>
    </w:p>
    <w:p w:rsidR="00A9341B" w:rsidRPr="00A9341B" w:rsidRDefault="00A9341B" w:rsidP="00A9341B">
      <w:pPr>
        <w:pStyle w:val="LV3"/>
      </w:pPr>
      <w:r w:rsidRPr="00A9341B">
        <w:t>excludes soft tissue sarcoma, carcinoid tumour, non-Hodgkin's lymphoma and Hodgkin's lymphoma.</w:t>
      </w:r>
    </w:p>
    <w:p w:rsidR="008F572A" w:rsidRPr="00237BAF" w:rsidRDefault="008F572A" w:rsidP="003802D6">
      <w:pPr>
        <w:pStyle w:val="LV2"/>
      </w:pPr>
      <w:r w:rsidRPr="00237BAF">
        <w:t xml:space="preserve">While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8E4A16">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A9341B">
        <w:t>C23</w:t>
      </w:r>
      <w:r w:rsidR="00885EAB" w:rsidRPr="00EB2BC4">
        <w:t>,</w:t>
      </w:r>
      <w:r w:rsidRPr="00237BAF">
        <w:t xml:space="preserve"> in applying this Statement of Principles the </w:t>
      </w:r>
      <w:r w:rsidR="00FA33FB" w:rsidRPr="00D5620B">
        <w:t xml:space="preserve">meaning </w:t>
      </w:r>
      <w:r w:rsidRPr="00D5620B">
        <w:t xml:space="preserve">of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8E4A16">
        <w:t xml:space="preserve"> </w:t>
      </w:r>
      <w:r w:rsidRPr="00D5620B">
        <w:t>is that</w:t>
      </w:r>
      <w:r w:rsidRPr="00237BAF">
        <w:t xml:space="preserve"> given in </w:t>
      </w:r>
      <w:r w:rsidR="00FA33FB" w:rsidRPr="00237BAF">
        <w:t>subsection (</w:t>
      </w:r>
      <w:r w:rsidRPr="00237BAF">
        <w:t>2).</w:t>
      </w:r>
    </w:p>
    <w:p w:rsidR="000F76FA" w:rsidRPr="0053697E" w:rsidRDefault="00A05565" w:rsidP="00991F6F">
      <w:pPr>
        <w:pStyle w:val="LV2"/>
        <w:rPr>
          <w:i/>
          <w:color w:val="000000"/>
        </w:rPr>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w:t>
      </w:r>
      <w:r w:rsidRPr="004C32AA">
        <w:t>,</w:t>
      </w:r>
      <w:r w:rsidRPr="00D02068">
        <w:rPr>
          <w:i/>
        </w:rPr>
        <w:t xml:space="preserve">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CB66FC" w:rsidRPr="00CB66FC">
        <w:rPr>
          <w:b/>
          <w:i/>
        </w:rPr>
        <w:t>malignant neoplasm of the gallbladder</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C32AA">
        <w:t>–</w:t>
      </w:r>
      <w:r w:rsidR="00D32F71">
        <w:t xml:space="preserve"> </w:t>
      </w:r>
      <w:r w:rsidR="00885EAB" w:rsidRPr="00046E67">
        <w:t>Dictionary</w:t>
      </w:r>
      <w:r w:rsidR="004C32AA">
        <w:t>.</w:t>
      </w:r>
    </w:p>
    <w:p w:rsidR="007C7DEE" w:rsidRPr="00A20CA1" w:rsidRDefault="007C7DEE" w:rsidP="00C96667">
      <w:pPr>
        <w:pStyle w:val="LV1"/>
      </w:pPr>
      <w:bookmarkStart w:id="21" w:name="_Toc421802231"/>
      <w:r w:rsidRPr="00A20CA1">
        <w:t>Basis for determining the factors</w:t>
      </w:r>
      <w:bookmarkEnd w:id="21"/>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2" w:name="_Ref411946955"/>
      <w:bookmarkStart w:id="23" w:name="_Ref411946997"/>
      <w:bookmarkStart w:id="24" w:name="_Ref412032503"/>
      <w:bookmarkStart w:id="25" w:name="_Toc421802232"/>
      <w:r w:rsidRPr="00301C54">
        <w:t xml:space="preserve">Factors that must </w:t>
      </w:r>
      <w:r w:rsidR="00D32F71">
        <w:t>exist</w:t>
      </w:r>
      <w:bookmarkEnd w:id="22"/>
      <w:bookmarkEnd w:id="23"/>
      <w:bookmarkEnd w:id="24"/>
      <w:bookmarkEnd w:id="25"/>
    </w:p>
    <w:p w:rsidR="007C7DEE" w:rsidRPr="00AA6D8B" w:rsidRDefault="00D33883" w:rsidP="006647B7">
      <w:pPr>
        <w:pStyle w:val="PlainIndent"/>
      </w:pPr>
      <w:bookmarkStart w:id="26"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26"/>
    </w:p>
    <w:p w:rsidR="00A9341B" w:rsidRPr="00A9341B" w:rsidRDefault="00A9341B" w:rsidP="00A9341B">
      <w:pPr>
        <w:pStyle w:val="LV2"/>
      </w:pPr>
      <w:r w:rsidRPr="00A9341B">
        <w:t>having cholelithiasis before the clinical onset of malignant neoplasm of the ga</w:t>
      </w:r>
      <w:r w:rsidR="009B6C50">
        <w:t xml:space="preserve">llbladder; </w:t>
      </w:r>
    </w:p>
    <w:p w:rsidR="00A9341B" w:rsidRPr="00A9341B" w:rsidRDefault="00A9341B" w:rsidP="00A9341B">
      <w:pPr>
        <w:pStyle w:val="LV2"/>
      </w:pPr>
      <w:r w:rsidRPr="00A9341B">
        <w:t>being a chronic typhoid carrier before the clinical onset of malignant</w:t>
      </w:r>
      <w:r w:rsidR="009B6C50">
        <w:t xml:space="preserve"> neoplasm of the gallbladder; </w:t>
      </w:r>
    </w:p>
    <w:p w:rsidR="00A9341B" w:rsidRDefault="00A9341B" w:rsidP="00A9341B">
      <w:pPr>
        <w:pStyle w:val="LV2"/>
      </w:pPr>
      <w:r w:rsidRPr="00A9341B">
        <w:t>having primary sclerosing cholangitis before the clinical onset of malig</w:t>
      </w:r>
      <w:r w:rsidR="009B6C50">
        <w:t xml:space="preserve">nant neoplasm of </w:t>
      </w:r>
      <w:r w:rsidR="004C32AA">
        <w:t xml:space="preserve">the </w:t>
      </w:r>
      <w:r w:rsidR="009B6C50">
        <w:t xml:space="preserve">gallbladder; </w:t>
      </w:r>
    </w:p>
    <w:p w:rsidR="00600E19" w:rsidRPr="00A9341B" w:rsidRDefault="00600E19" w:rsidP="00600E19">
      <w:pPr>
        <w:pStyle w:val="NOTE"/>
      </w:pPr>
      <w:r>
        <w:t xml:space="preserve">Note: </w:t>
      </w:r>
      <w:r w:rsidRPr="00600E19">
        <w:rPr>
          <w:b/>
          <w:i/>
        </w:rPr>
        <w:t>primary sclerosing cholangitis</w:t>
      </w:r>
      <w:r w:rsidRPr="00046E67">
        <w:t xml:space="preserve"> </w:t>
      </w:r>
      <w:r>
        <w:t>is</w:t>
      </w:r>
      <w:r w:rsidRPr="00046E67">
        <w:t xml:space="preserve"> defined in the </w:t>
      </w:r>
      <w:r>
        <w:t xml:space="preserve">Schedule 1 – </w:t>
      </w:r>
      <w:r w:rsidRPr="00046E67">
        <w:t>Dictionary</w:t>
      </w:r>
      <w:r>
        <w:t>.</w:t>
      </w:r>
    </w:p>
    <w:p w:rsidR="00A9341B" w:rsidRDefault="00A9341B" w:rsidP="00A9341B">
      <w:pPr>
        <w:pStyle w:val="LV2"/>
      </w:pPr>
      <w:r w:rsidRPr="00A9341B">
        <w:t>having received a cumulative equivalent dose of at least 0.1 sievert of ionising radiation to the gallbladder at least five years before the clinical onset of malignant</w:t>
      </w:r>
      <w:r w:rsidR="009B6C50">
        <w:t xml:space="preserve"> neoplasm of the gallbladder; </w:t>
      </w:r>
    </w:p>
    <w:p w:rsidR="00600E19" w:rsidRPr="00A9341B" w:rsidRDefault="00600E19" w:rsidP="00600E19">
      <w:pPr>
        <w:pStyle w:val="NOTE"/>
      </w:pPr>
      <w:r>
        <w:t xml:space="preserve">Note: </w:t>
      </w:r>
      <w:r w:rsidRPr="00600E19">
        <w:rPr>
          <w:b/>
          <w:i/>
        </w:rPr>
        <w:t>cumulative equivalent dose</w:t>
      </w:r>
      <w:r w:rsidRPr="00046E67">
        <w:t xml:space="preserve"> </w:t>
      </w:r>
      <w:r>
        <w:t>is</w:t>
      </w:r>
      <w:r w:rsidRPr="00046E67">
        <w:t xml:space="preserve"> defined in the </w:t>
      </w:r>
      <w:r>
        <w:t xml:space="preserve">Schedule 1 – </w:t>
      </w:r>
      <w:r w:rsidRPr="00046E67">
        <w:t>Dictionary</w:t>
      </w:r>
      <w:r>
        <w:t>.</w:t>
      </w:r>
    </w:p>
    <w:p w:rsidR="00A9341B" w:rsidRDefault="00A9341B" w:rsidP="004C32AA">
      <w:pPr>
        <w:pStyle w:val="LV2"/>
        <w:keepNext/>
      </w:pPr>
      <w:r w:rsidRPr="00A9341B">
        <w:lastRenderedPageBreak/>
        <w:t xml:space="preserve">having </w:t>
      </w:r>
      <w:r w:rsidR="00744622" w:rsidRPr="00744622">
        <w:t>porcelain gallbladder</w:t>
      </w:r>
      <w:r w:rsidRPr="00A9341B">
        <w:t xml:space="preserve"> before the clinical onset of malignant neoplasm of the gallb</w:t>
      </w:r>
      <w:r w:rsidR="009B6C50">
        <w:t xml:space="preserve">ladder; </w:t>
      </w:r>
    </w:p>
    <w:p w:rsidR="00600E19" w:rsidRPr="00A9341B" w:rsidRDefault="00600E19" w:rsidP="00600E19">
      <w:pPr>
        <w:pStyle w:val="NOTE"/>
      </w:pPr>
      <w:r>
        <w:t xml:space="preserve">Note: </w:t>
      </w:r>
      <w:r w:rsidR="00744622" w:rsidRPr="00744622">
        <w:rPr>
          <w:b/>
          <w:i/>
        </w:rPr>
        <w:t>porcelain gallbladder</w:t>
      </w:r>
      <w:r w:rsidRPr="00046E67">
        <w:t xml:space="preserve"> </w:t>
      </w:r>
      <w:r>
        <w:t>is</w:t>
      </w:r>
      <w:r w:rsidRPr="00046E67">
        <w:t xml:space="preserve"> defined in the </w:t>
      </w:r>
      <w:r>
        <w:t xml:space="preserve">Schedule 1 – </w:t>
      </w:r>
      <w:r w:rsidRPr="00046E67">
        <w:t>Dictionary</w:t>
      </w:r>
      <w:r>
        <w:t>.</w:t>
      </w:r>
    </w:p>
    <w:p w:rsidR="00A9341B" w:rsidRDefault="00A9341B" w:rsidP="00A9341B">
      <w:pPr>
        <w:pStyle w:val="LV2"/>
      </w:pPr>
      <w:r w:rsidRPr="00A9341B">
        <w:t>being obese for at least five years within the 20 years before the clinical onset of malignant</w:t>
      </w:r>
      <w:r w:rsidR="009B6C50">
        <w:t xml:space="preserve"> neoplasm of the gallbladder; </w:t>
      </w:r>
    </w:p>
    <w:p w:rsidR="00744622" w:rsidRPr="00A9341B" w:rsidRDefault="00744622" w:rsidP="00744622">
      <w:pPr>
        <w:pStyle w:val="NOTE"/>
      </w:pPr>
      <w:r>
        <w:t xml:space="preserve">Note: </w:t>
      </w:r>
      <w:r w:rsidRPr="00744622">
        <w:rPr>
          <w:b/>
          <w:i/>
        </w:rPr>
        <w:tab/>
        <w:t>being obese</w:t>
      </w:r>
      <w:r w:rsidRPr="00046E67">
        <w:t xml:space="preserve"> </w:t>
      </w:r>
      <w:r>
        <w:t>is</w:t>
      </w:r>
      <w:r w:rsidRPr="00046E67">
        <w:t xml:space="preserve"> defined in the </w:t>
      </w:r>
      <w:r>
        <w:t xml:space="preserve">Schedule 1 – </w:t>
      </w:r>
      <w:r w:rsidRPr="00046E67">
        <w:t>Dictionary</w:t>
      </w:r>
      <w:r>
        <w:t>.</w:t>
      </w:r>
    </w:p>
    <w:p w:rsidR="00A9341B" w:rsidRPr="00A9341B" w:rsidRDefault="00A9341B" w:rsidP="00A9341B">
      <w:pPr>
        <w:pStyle w:val="LV2"/>
      </w:pPr>
      <w:r w:rsidRPr="00A9341B">
        <w:t>having diabetes mellitus for at least five years before the clinical onset of malignan</w:t>
      </w:r>
      <w:r w:rsidR="009B6C50">
        <w:t xml:space="preserve">t neoplasm of the gallbladder; </w:t>
      </w:r>
    </w:p>
    <w:p w:rsidR="00A9341B" w:rsidRPr="00A9341B" w:rsidRDefault="00A9341B" w:rsidP="00A9341B">
      <w:pPr>
        <w:pStyle w:val="LV2"/>
      </w:pPr>
      <w:r w:rsidRPr="00A9341B">
        <w:t>smoking at least ten pack-years of cigarettes, or the equivalent thereof in other tobacco products, before the clinical onset of malignant neoplasm of the gallbladder, and</w:t>
      </w:r>
      <w:r w:rsidR="004C32AA">
        <w:t>:</w:t>
      </w:r>
      <w:r w:rsidRPr="00A9341B">
        <w:t xml:space="preserve"> </w:t>
      </w:r>
    </w:p>
    <w:p w:rsidR="00A9341B" w:rsidRPr="00A9341B" w:rsidRDefault="00A9341B" w:rsidP="00A9341B">
      <w:pPr>
        <w:pStyle w:val="LV3"/>
      </w:pPr>
      <w:r w:rsidRPr="00A9341B">
        <w:t xml:space="preserve">smoking commenced at least five years before the clinical onset of malignant neoplasm of the gallbladder; and </w:t>
      </w:r>
    </w:p>
    <w:p w:rsidR="00A9341B" w:rsidRPr="00A9341B" w:rsidRDefault="00A9341B" w:rsidP="00A9341B">
      <w:pPr>
        <w:pStyle w:val="LV3"/>
      </w:pPr>
      <w:r w:rsidRPr="00A9341B">
        <w:t xml:space="preserve">where smoking has ceased, the clinical onset of malignant neoplasm of the gallbladder has occurred </w:t>
      </w:r>
      <w:r w:rsidR="009B6C50">
        <w:t xml:space="preserve">within 20 years of cessation; </w:t>
      </w:r>
    </w:p>
    <w:p w:rsidR="00885EAB" w:rsidRPr="00046E67" w:rsidRDefault="00046E67" w:rsidP="00046E67">
      <w:pPr>
        <w:pStyle w:val="NOTE"/>
      </w:pPr>
      <w:r>
        <w:t xml:space="preserve">Note: </w:t>
      </w:r>
      <w:r w:rsidR="00A9341B" w:rsidRPr="00A9341B">
        <w:rPr>
          <w:b/>
          <w:i/>
        </w:rPr>
        <w:t>pack-years of cigarettes, or the equivalent thereof in other tobacco products</w:t>
      </w:r>
      <w:r w:rsidR="00885EAB" w:rsidRPr="00046E67">
        <w:t xml:space="preserve"> </w:t>
      </w:r>
      <w:r w:rsidR="001B0F26">
        <w:t>is</w:t>
      </w:r>
      <w:r w:rsidR="00885EAB" w:rsidRPr="00046E67">
        <w:t xml:space="preserve"> defined in the </w:t>
      </w:r>
      <w:r w:rsidR="00FA0587">
        <w:t xml:space="preserve">Schedule 1 - </w:t>
      </w:r>
      <w:r w:rsidR="00885EAB" w:rsidRPr="00046E67">
        <w:t>Dictionary.</w:t>
      </w:r>
      <w:bookmarkStart w:id="27" w:name="_Ref402530260"/>
    </w:p>
    <w:p w:rsidR="007C7DEE" w:rsidRPr="008D1B8B" w:rsidRDefault="007C7DEE" w:rsidP="003802D6">
      <w:pPr>
        <w:pStyle w:val="LV2"/>
      </w:pPr>
      <w:bookmarkStart w:id="28" w:name="_Ref409598844"/>
      <w:r w:rsidRPr="008D1B8B">
        <w:t>inability to obtain appropriate clinical management for</w:t>
      </w:r>
      <w:bookmarkEnd w:id="27"/>
      <w:r w:rsidR="008E4A16">
        <w:t xml:space="preserve">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D5620B" w:rsidRPr="008D1B8B">
        <w:t>.</w:t>
      </w:r>
      <w:bookmarkEnd w:id="28"/>
    </w:p>
    <w:p w:rsidR="000C21A3" w:rsidRPr="00684C0E" w:rsidRDefault="00D32F71" w:rsidP="00C96667">
      <w:pPr>
        <w:pStyle w:val="LV1"/>
      </w:pPr>
      <w:bookmarkStart w:id="29" w:name="_Toc421802233"/>
      <w:bookmarkStart w:id="30" w:name="_Ref402530057"/>
      <w:r>
        <w:t>Relationship to s</w:t>
      </w:r>
      <w:r w:rsidR="000C21A3" w:rsidRPr="00684C0E">
        <w:t>ervice</w:t>
      </w:r>
      <w:bookmarkEnd w:id="2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30"/>
    <w:p w:rsidR="00CF2367" w:rsidRPr="00187DE1" w:rsidRDefault="00F03C06" w:rsidP="003802D6">
      <w:pPr>
        <w:pStyle w:val="LV2"/>
      </w:pPr>
      <w:r w:rsidRPr="00187DE1">
        <w:t xml:space="preserve">The factor set out in </w:t>
      </w:r>
      <w:r w:rsidR="002077D6">
        <w:t>subsection</w:t>
      </w:r>
      <w:r w:rsidR="00744622">
        <w:t xml:space="preserve"> 9(9</w:t>
      </w:r>
      <w:r w:rsidR="00754617">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CB66FC" w:rsidRPr="00CB66FC">
        <w:t>malignant neoplasm of the gallbladder</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1" w:name="_Toc421802234"/>
      <w:r w:rsidRPr="00301C54">
        <w:t>Factors referring to an injury or disea</w:t>
      </w:r>
      <w:r w:rsidR="008B2204">
        <w:t>se covered by another Statement</w:t>
      </w:r>
      <w:r w:rsidRPr="00301C54">
        <w:t xml:space="preserve"> of Principles</w:t>
      </w:r>
      <w:bookmarkEnd w:id="31"/>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2" w:name="opcAmSched"/>
      <w:bookmarkStart w:id="33" w:name="opcCurrentFind"/>
      <w:bookmarkStart w:id="34" w:name="_Toc42180223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5" w:name="_Toc405472918"/>
      <w:bookmarkStart w:id="36" w:name="_Toc421802236"/>
      <w:r w:rsidRPr="00D97BB3">
        <w:t>Definitions</w:t>
      </w:r>
      <w:bookmarkEnd w:id="35"/>
      <w:bookmarkEnd w:id="36"/>
    </w:p>
    <w:p w:rsidR="002820A7" w:rsidRPr="00516768" w:rsidRDefault="002820A7" w:rsidP="002820A7">
      <w:pPr>
        <w:pStyle w:val="SH2"/>
      </w:pPr>
      <w:r w:rsidRPr="00516768">
        <w:t>In this instrument:</w:t>
      </w:r>
    </w:p>
    <w:p w:rsidR="00744622" w:rsidRDefault="00744622" w:rsidP="00744622">
      <w:pPr>
        <w:pStyle w:val="SH3"/>
        <w:spacing w:after="60"/>
        <w:ind w:left="851" w:hanging="851"/>
      </w:pPr>
      <w:bookmarkStart w:id="37" w:name="_Ref402530810"/>
      <w:r w:rsidRPr="00A212F8">
        <w:rPr>
          <w:b/>
          <w:i/>
        </w:rPr>
        <w:t>being obese</w:t>
      </w:r>
      <w:r>
        <w:t xml:space="preserve"> means having a Body Mass Index (BMI) of 30 or greater.</w:t>
      </w:r>
    </w:p>
    <w:p w:rsidR="00744622" w:rsidRDefault="00744622" w:rsidP="00744622">
      <w:pPr>
        <w:pStyle w:val="SH3nospace"/>
        <w:spacing w:after="60"/>
        <w:ind w:left="851" w:hanging="851"/>
      </w:pPr>
      <w:r>
        <w:t>The BMI = W/H</w:t>
      </w:r>
      <w:r w:rsidRPr="00F65C69">
        <w:rPr>
          <w:vertAlign w:val="superscript"/>
        </w:rPr>
        <w:t>2</w:t>
      </w:r>
      <w:r>
        <w:t xml:space="preserve"> and where:</w:t>
      </w:r>
    </w:p>
    <w:p w:rsidR="00744622" w:rsidRDefault="00744622" w:rsidP="00744622">
      <w:pPr>
        <w:pStyle w:val="SH3nospace"/>
        <w:spacing w:after="60"/>
        <w:ind w:left="851" w:hanging="851"/>
      </w:pPr>
      <w:r>
        <w:t>W is the person</w:t>
      </w:r>
      <w:r w:rsidR="009A04A2">
        <w:t>'</w:t>
      </w:r>
      <w:r>
        <w:t xml:space="preserve">s weight in kilograms; and </w:t>
      </w:r>
    </w:p>
    <w:p w:rsidR="00744622" w:rsidRPr="00A212F8" w:rsidRDefault="00744622" w:rsidP="00744622">
      <w:pPr>
        <w:pStyle w:val="SH3nospace"/>
        <w:spacing w:after="60"/>
        <w:ind w:left="851" w:hanging="851"/>
      </w:pPr>
      <w:r>
        <w:t>H is the person</w:t>
      </w:r>
      <w:r w:rsidR="009A04A2">
        <w:t>'</w:t>
      </w:r>
      <w:r>
        <w:t>s height in metres.</w:t>
      </w:r>
    </w:p>
    <w:p w:rsidR="00744622" w:rsidRDefault="00744622" w:rsidP="00744622">
      <w:pPr>
        <w:pStyle w:val="SH3"/>
      </w:pPr>
      <w:r w:rsidRPr="00FC2CFE">
        <w:rPr>
          <w:b/>
          <w:i/>
        </w:rPr>
        <w:t>cumulative equivalent dose</w:t>
      </w:r>
      <w:r>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744622" w:rsidRPr="00513D05" w:rsidRDefault="00744622" w:rsidP="00744622">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CB66FC" w:rsidRPr="00CB66FC">
        <w:rPr>
          <w:b/>
          <w:i/>
        </w:rPr>
        <w:t>malignant neoplasm of the gallbladder</w:t>
      </w:r>
      <w:r w:rsidRPr="007142FB">
        <w:rPr>
          <w:b/>
          <w:i/>
        </w:rPr>
        <w:fldChar w:fldCharType="end"/>
      </w:r>
      <w:r w:rsidRPr="00513D05">
        <w:t>—see subsection</w:t>
      </w:r>
      <w:r>
        <w:t xml:space="preserve"> 7(2).</w:t>
      </w:r>
    </w:p>
    <w:p w:rsidR="00744622" w:rsidRDefault="00744622" w:rsidP="00744622">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744622" w:rsidRDefault="00744622" w:rsidP="00744622">
      <w:pPr>
        <w:pStyle w:val="SH3"/>
      </w:pPr>
      <w:r w:rsidRPr="00744622">
        <w:rPr>
          <w:b/>
          <w:i/>
        </w:rPr>
        <w:t>pack-years of cigarettes, or the equivalent thereof in other tobacco products</w:t>
      </w:r>
      <w:r>
        <w:t xml:space="preserve"> means a calculation of consumption where one pack-year of cigarettes equals twenty tailor-made cigarettes per day for a period of one calendar year or 7</w:t>
      </w:r>
      <w:r w:rsidR="009A04A2">
        <w:t> </w:t>
      </w:r>
      <w:r>
        <w:t>300 cigarettes.  One tailor-made cigarette approximates one gram of tobacco or one gram of cigar or pipe tobacco by weight.  One pack-year of tailor-made cigarettes equates to 7.3 kilograms of smoking tobacco by weight.  Tobacco products mean cigarettes, pipe tobacco or cigars, smo</w:t>
      </w:r>
      <w:r w:rsidR="00C418A0">
        <w:t>ked alone or in any combination.</w:t>
      </w:r>
    </w:p>
    <w:p w:rsidR="00744622" w:rsidRDefault="00744622" w:rsidP="00744622">
      <w:pPr>
        <w:pStyle w:val="SH3"/>
      </w:pPr>
      <w:r w:rsidRPr="00744622">
        <w:rPr>
          <w:b/>
          <w:i/>
        </w:rPr>
        <w:t>porcelain gallbladder</w:t>
      </w:r>
      <w:r>
        <w:t xml:space="preserve"> means intramural calcification of the gallbladder commonly associ</w:t>
      </w:r>
      <w:r w:rsidR="00C418A0">
        <w:t>ated with chronic cholecystitis.</w:t>
      </w:r>
    </w:p>
    <w:p w:rsidR="002820A7" w:rsidRPr="00054930" w:rsidRDefault="00744622" w:rsidP="00744622">
      <w:pPr>
        <w:pStyle w:val="SH3"/>
      </w:pPr>
      <w:r w:rsidRPr="00744622">
        <w:rPr>
          <w:b/>
          <w:i/>
        </w:rPr>
        <w:t>primary sclerosing cholangitis</w:t>
      </w:r>
      <w:r>
        <w:t xml:space="preserve"> means an autoimmune disorder characterised by a progressive, inflammatory, scler</w:t>
      </w:r>
      <w:r w:rsidR="00C418A0">
        <w:t>osing process in the bile ducts.</w:t>
      </w:r>
    </w:p>
    <w:p w:rsidR="002820A7" w:rsidRPr="009C404D" w:rsidRDefault="002820A7" w:rsidP="002820A7">
      <w:pPr>
        <w:pStyle w:val="SH3"/>
        <w:spacing w:after="100"/>
        <w:ind w:left="851"/>
      </w:pPr>
      <w:r w:rsidRPr="00BC3C26">
        <w:rPr>
          <w:b/>
          <w:i/>
        </w:rPr>
        <w:t>relevant service</w:t>
      </w:r>
      <w:r w:rsidRPr="00BC3C26">
        <w:t xml:space="preserve"> means:</w:t>
      </w:r>
    </w:p>
    <w:p w:rsidR="002820A7" w:rsidRPr="00BC3C26" w:rsidRDefault="002820A7" w:rsidP="002820A7">
      <w:pPr>
        <w:numPr>
          <w:ilvl w:val="0"/>
          <w:numId w:val="20"/>
        </w:numPr>
        <w:spacing w:line="240" w:lineRule="auto"/>
        <w:ind w:left="1418" w:hanging="567"/>
        <w:jc w:val="both"/>
        <w:rPr>
          <w:sz w:val="24"/>
          <w:szCs w:val="24"/>
        </w:rPr>
      </w:pPr>
      <w:bookmarkStart w:id="38" w:name="_Ref402529607"/>
      <w:bookmarkEnd w:id="37"/>
      <w:r w:rsidRPr="00BC3C26">
        <w:rPr>
          <w:sz w:val="24"/>
          <w:szCs w:val="24"/>
        </w:rPr>
        <w:t xml:space="preserve">operational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2820A7" w:rsidRPr="00BC3C26" w:rsidRDefault="002820A7" w:rsidP="002820A7">
      <w:pPr>
        <w:numPr>
          <w:ilvl w:val="0"/>
          <w:numId w:val="20"/>
        </w:numPr>
        <w:spacing w:line="240" w:lineRule="auto"/>
        <w:ind w:left="1418" w:hanging="567"/>
        <w:jc w:val="both"/>
      </w:pPr>
      <w:r w:rsidRPr="00BC3C26">
        <w:rPr>
          <w:sz w:val="24"/>
          <w:szCs w:val="24"/>
        </w:rPr>
        <w:t>warlike service under the MRCA; or</w:t>
      </w:r>
    </w:p>
    <w:p w:rsidR="002820A7" w:rsidRPr="00365E25" w:rsidRDefault="002820A7" w:rsidP="002820A7">
      <w:pPr>
        <w:numPr>
          <w:ilvl w:val="0"/>
          <w:numId w:val="20"/>
        </w:numPr>
        <w:spacing w:line="240" w:lineRule="auto"/>
        <w:ind w:left="1418" w:hanging="567"/>
        <w:jc w:val="both"/>
      </w:pPr>
      <w:r w:rsidRPr="00BC3C26">
        <w:t>non-warlike service under the MRCA</w:t>
      </w:r>
      <w:r>
        <w:t xml:space="preserve">. </w:t>
      </w:r>
    </w:p>
    <w:p w:rsidR="002820A7" w:rsidRPr="009C404D" w:rsidRDefault="002820A7" w:rsidP="002820A7">
      <w:pPr>
        <w:pStyle w:val="SH3"/>
        <w:ind w:left="851" w:hanging="851"/>
      </w:pPr>
      <w:r>
        <w:rPr>
          <w:b/>
          <w:i/>
        </w:rPr>
        <w:lastRenderedPageBreak/>
        <w:t>t</w:t>
      </w:r>
      <w:r w:rsidRPr="00973808">
        <w:rPr>
          <w:b/>
          <w:i/>
        </w:rPr>
        <w:t>erminal event</w:t>
      </w:r>
      <w:r w:rsidRPr="009C404D">
        <w:t xml:space="preserve"> means the proximate or ultimate cause of death and includes</w:t>
      </w:r>
      <w:bookmarkEnd w:id="38"/>
      <w:r w:rsidRPr="009C404D">
        <w:t xml:space="preserve"> the following:</w:t>
      </w:r>
    </w:p>
    <w:p w:rsidR="002820A7" w:rsidRPr="00513D05" w:rsidRDefault="002820A7" w:rsidP="002820A7">
      <w:pPr>
        <w:pStyle w:val="SH4"/>
        <w:ind w:left="1418"/>
      </w:pPr>
      <w:r>
        <w:tab/>
      </w:r>
      <w:r w:rsidRPr="00513D05">
        <w:t>pneumonia;</w:t>
      </w:r>
    </w:p>
    <w:p w:rsidR="002820A7" w:rsidRPr="00513D05" w:rsidRDefault="002820A7" w:rsidP="002820A7">
      <w:pPr>
        <w:pStyle w:val="SH4"/>
        <w:ind w:left="1418"/>
      </w:pPr>
      <w:r w:rsidRPr="00513D05">
        <w:tab/>
        <w:t>respiratory failure;</w:t>
      </w:r>
    </w:p>
    <w:p w:rsidR="002820A7" w:rsidRPr="00513D05" w:rsidRDefault="002820A7" w:rsidP="002820A7">
      <w:pPr>
        <w:pStyle w:val="SH4"/>
        <w:ind w:left="1418"/>
      </w:pPr>
      <w:r w:rsidRPr="00513D05">
        <w:tab/>
        <w:t>cardiac arrest;</w:t>
      </w:r>
    </w:p>
    <w:p w:rsidR="002820A7" w:rsidRPr="00513D05" w:rsidRDefault="002820A7" w:rsidP="002820A7">
      <w:pPr>
        <w:pStyle w:val="SH4"/>
        <w:ind w:left="1418"/>
      </w:pPr>
      <w:r w:rsidRPr="00513D05">
        <w:tab/>
        <w:t>circulatory failure;</w:t>
      </w:r>
      <w:r w:rsidR="000861BC">
        <w:t xml:space="preserve"> or</w:t>
      </w:r>
    </w:p>
    <w:p w:rsidR="002820A7" w:rsidRPr="00BD3334" w:rsidRDefault="002820A7" w:rsidP="002820A7">
      <w:pPr>
        <w:pStyle w:val="SH4"/>
        <w:ind w:left="1418"/>
      </w:pPr>
      <w:r w:rsidRPr="00513D05">
        <w:tab/>
        <w:t>cessation of brain function.</w:t>
      </w:r>
    </w:p>
    <w:p w:rsidR="00802137" w:rsidRPr="0019084F" w:rsidRDefault="002820A7" w:rsidP="002820A7">
      <w:pPr>
        <w:pStyle w:val="SH3"/>
        <w:ind w:left="851" w:hanging="851"/>
      </w:pPr>
      <w:r w:rsidRPr="00CB1DCB">
        <w:rPr>
          <w:b/>
          <w:i/>
        </w:rPr>
        <w:t>VEA</w:t>
      </w:r>
      <w:r w:rsidRPr="0019084F">
        <w:t xml:space="preserve"> means the </w:t>
      </w:r>
      <w:r w:rsidRPr="0019084F">
        <w:rPr>
          <w:i/>
        </w:rPr>
        <w:t>Veterans</w:t>
      </w:r>
      <w:r w:rsidR="008D08B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CF2367" w:rsidRPr="00F02383" w:rsidRDefault="00CF2367" w:rsidP="00F02383">
      <w:pPr>
        <w:tabs>
          <w:tab w:val="left" w:pos="5595"/>
        </w:tabs>
      </w:pPr>
    </w:p>
    <w:sectPr w:rsidR="00CF2367" w:rsidRPr="00F02383"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9A04A2" w:rsidRDefault="00F03C06" w:rsidP="00A02752">
          <w:pPr>
            <w:spacing w:line="0" w:lineRule="atLeast"/>
            <w:jc w:val="center"/>
            <w:rPr>
              <w:i/>
              <w:sz w:val="18"/>
            </w:rPr>
          </w:pPr>
          <w:r w:rsidRPr="00E55F66">
            <w:rPr>
              <w:i/>
              <w:sz w:val="18"/>
            </w:rPr>
            <w:t>Statement of Principles concer</w:t>
          </w:r>
          <w:r>
            <w:rPr>
              <w:i/>
              <w:sz w:val="18"/>
            </w:rPr>
            <w:t xml:space="preserve">ning </w:t>
          </w:r>
          <w:r w:rsidR="003A2FFE" w:rsidRPr="003A2FFE">
            <w:rPr>
              <w:i/>
              <w:sz w:val="18"/>
              <w:szCs w:val="18"/>
            </w:rPr>
            <w:fldChar w:fldCharType="begin"/>
          </w:r>
          <w:r w:rsidR="003A2FFE" w:rsidRPr="003A2FFE">
            <w:rPr>
              <w:i/>
              <w:sz w:val="18"/>
              <w:szCs w:val="18"/>
            </w:rPr>
            <w:instrText xml:space="preserve"> REF SoP_Na</w:instrText>
          </w:r>
          <w:r w:rsidR="00154DCA">
            <w:rPr>
              <w:i/>
              <w:sz w:val="18"/>
              <w:szCs w:val="18"/>
            </w:rPr>
            <w:instrText>me \* Charformat \* MERGEFORMAT</w:instrText>
          </w:r>
          <w:r w:rsidR="003A2FFE" w:rsidRPr="003A2FFE">
            <w:rPr>
              <w:i/>
              <w:sz w:val="18"/>
              <w:szCs w:val="18"/>
            </w:rPr>
            <w:fldChar w:fldCharType="separate"/>
          </w:r>
          <w:r w:rsidR="00CB66FC" w:rsidRPr="00CB66FC">
            <w:rPr>
              <w:i/>
              <w:sz w:val="18"/>
              <w:szCs w:val="18"/>
            </w:rPr>
            <w:t>malignant neoplasm of the gallbladder</w:t>
          </w:r>
          <w:r w:rsidR="003A2FFE" w:rsidRPr="003A2FFE">
            <w:rPr>
              <w:i/>
              <w:sz w:val="18"/>
              <w:szCs w:val="18"/>
            </w:rPr>
            <w:fldChar w:fldCharType="end"/>
          </w:r>
          <w:r w:rsidR="003A2FFE" w:rsidRPr="003A2FFE">
            <w:rPr>
              <w:i/>
              <w:sz w:val="18"/>
            </w:rPr>
            <w:t xml:space="preserve"> </w:t>
          </w:r>
        </w:p>
        <w:p w:rsidR="00F03C06" w:rsidRPr="00C01863" w:rsidRDefault="003A2FFE" w:rsidP="00A02752">
          <w:pPr>
            <w:spacing w:line="0" w:lineRule="atLeast"/>
            <w:jc w:val="center"/>
            <w:rPr>
              <w:sz w:val="18"/>
            </w:rPr>
          </w:pPr>
          <w:r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CB66FC" w:rsidRPr="00CB66FC">
            <w:rPr>
              <w:i/>
              <w:sz w:val="18"/>
              <w:szCs w:val="18"/>
            </w:rPr>
            <w:t>89</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CB66FC" w:rsidRPr="00CB66FC">
            <w:rPr>
              <w:i/>
              <w:sz w:val="18"/>
              <w:szCs w:val="18"/>
            </w:rPr>
            <w:t>2015</w:t>
          </w:r>
          <w:r w:rsidR="00611D12"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F4A9F">
            <w:rPr>
              <w:i/>
              <w:noProof/>
              <w:sz w:val="18"/>
            </w:rPr>
            <w:t>4</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9A04A2" w:rsidRDefault="00F03C06" w:rsidP="00A02752">
          <w:pPr>
            <w:spacing w:line="0" w:lineRule="atLeast"/>
            <w:jc w:val="center"/>
            <w:rPr>
              <w:i/>
              <w:sz w:val="18"/>
            </w:rPr>
          </w:pPr>
          <w:r w:rsidRPr="00E55F66">
            <w:rPr>
              <w:i/>
              <w:sz w:val="18"/>
            </w:rPr>
            <w:t>Statement of Principles concer</w:t>
          </w:r>
          <w:r>
            <w:rPr>
              <w:i/>
              <w:sz w:val="18"/>
            </w:rPr>
            <w:t>ning</w:t>
          </w:r>
          <w:r w:rsidRPr="007527C1">
            <w:rPr>
              <w:b/>
              <w:i/>
              <w:sz w:val="18"/>
            </w:rPr>
            <w:t xml:space="preserve"> </w:t>
          </w:r>
          <w:r w:rsidR="000007B8" w:rsidRPr="007F2378">
            <w:rPr>
              <w:i/>
              <w:sz w:val="18"/>
              <w:szCs w:val="18"/>
            </w:rPr>
            <w:fldChar w:fldCharType="begin"/>
          </w:r>
          <w:r w:rsidR="000007B8" w:rsidRPr="007F2378">
            <w:rPr>
              <w:i/>
              <w:sz w:val="18"/>
              <w:szCs w:val="18"/>
            </w:rPr>
            <w:instrText xml:space="preserve"> REF SoP_Name \* Charformat</w:instrText>
          </w:r>
          <w:r w:rsidR="000007B8" w:rsidRPr="007F2378">
            <w:rPr>
              <w:i/>
              <w:sz w:val="18"/>
              <w:szCs w:val="18"/>
            </w:rPr>
            <w:fldChar w:fldCharType="separate"/>
          </w:r>
          <w:r w:rsidR="00CB66FC" w:rsidRPr="00CB66FC">
            <w:rPr>
              <w:i/>
              <w:sz w:val="18"/>
              <w:szCs w:val="18"/>
            </w:rPr>
            <w:t>malignant neoplasm of the gallbladder</w:t>
          </w:r>
          <w:r w:rsidR="000007B8" w:rsidRPr="007F2378">
            <w:rPr>
              <w:i/>
              <w:sz w:val="18"/>
              <w:szCs w:val="18"/>
            </w:rPr>
            <w:fldChar w:fldCharType="end"/>
          </w:r>
          <w:r w:rsidR="000007B8" w:rsidRPr="007F2378">
            <w:rPr>
              <w:i/>
              <w:sz w:val="18"/>
            </w:rPr>
            <w:t xml:space="preserve"> </w:t>
          </w:r>
        </w:p>
        <w:p w:rsidR="00F03C06" w:rsidRPr="00C01863" w:rsidRDefault="003A2FFE" w:rsidP="00A02752">
          <w:pPr>
            <w:spacing w:line="0" w:lineRule="atLeast"/>
            <w:jc w:val="center"/>
            <w:rPr>
              <w:sz w:val="18"/>
            </w:rPr>
          </w:pPr>
          <w:r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CB66FC" w:rsidRPr="00CB66FC">
            <w:rPr>
              <w:i/>
              <w:sz w:val="18"/>
              <w:szCs w:val="18"/>
            </w:rPr>
            <w:t>89</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CB66FC" w:rsidRPr="00CB66FC">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F4A9F">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9A04A2" w:rsidRDefault="007F2378" w:rsidP="00A02752">
          <w:pPr>
            <w:spacing w:line="0" w:lineRule="atLeast"/>
            <w:jc w:val="center"/>
            <w:rPr>
              <w:i/>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CB66FC" w:rsidRPr="00CB66FC">
            <w:rPr>
              <w:i/>
              <w:sz w:val="18"/>
              <w:szCs w:val="18"/>
            </w:rPr>
            <w:t>malignant neoplasm of the gallbladder</w:t>
          </w:r>
          <w:r w:rsidRPr="007C5CE0">
            <w:rPr>
              <w:i/>
              <w:sz w:val="18"/>
              <w:szCs w:val="18"/>
            </w:rPr>
            <w:fldChar w:fldCharType="end"/>
          </w:r>
          <w:r w:rsidRPr="007C5CE0">
            <w:rPr>
              <w:i/>
              <w:sz w:val="18"/>
            </w:rPr>
            <w:t xml:space="preserve"> </w:t>
          </w:r>
        </w:p>
        <w:p w:rsidR="007F2378" w:rsidRPr="007C5CE0" w:rsidRDefault="007F2378" w:rsidP="00A02752">
          <w:pPr>
            <w:spacing w:line="0" w:lineRule="atLeast"/>
            <w:jc w:val="center"/>
            <w:rPr>
              <w:sz w:val="18"/>
            </w:rPr>
          </w:pP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CB66FC" w:rsidRPr="00CB66FC">
            <w:rPr>
              <w:i/>
              <w:sz w:val="18"/>
              <w:szCs w:val="18"/>
            </w:rPr>
            <w:t>89</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CB66FC" w:rsidRPr="00CB66FC">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F4A9F">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9A04A2" w:rsidRDefault="0008674F" w:rsidP="0008674F">
          <w:pPr>
            <w:spacing w:line="0" w:lineRule="atLeast"/>
            <w:jc w:val="center"/>
            <w:rPr>
              <w:i/>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CB66FC" w:rsidRPr="00CB66FC">
            <w:rPr>
              <w:i/>
              <w:sz w:val="18"/>
              <w:szCs w:val="18"/>
            </w:rPr>
            <w:t>malignant neoplasm of the gallbladder</w:t>
          </w:r>
          <w:r w:rsidRPr="007F2378">
            <w:rPr>
              <w:i/>
              <w:sz w:val="18"/>
              <w:szCs w:val="18"/>
            </w:rPr>
            <w:fldChar w:fldCharType="end"/>
          </w:r>
          <w:r w:rsidRPr="007F2378">
            <w:rPr>
              <w:i/>
              <w:sz w:val="18"/>
            </w:rPr>
            <w:t xml:space="preserve"> </w:t>
          </w:r>
        </w:p>
        <w:p w:rsidR="0008674F" w:rsidRPr="00C01863" w:rsidRDefault="0008674F" w:rsidP="0008674F">
          <w:pPr>
            <w:spacing w:line="0" w:lineRule="atLeast"/>
            <w:jc w:val="center"/>
            <w:rPr>
              <w:sz w:val="18"/>
            </w:rPr>
          </w:pP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CB66FC" w:rsidRPr="00CB66FC">
            <w:rPr>
              <w:i/>
              <w:sz w:val="18"/>
              <w:szCs w:val="18"/>
            </w:rPr>
            <w:t>89</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CB66FC" w:rsidRPr="00CB66FC">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F4A9F">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9A04A2" w:rsidRDefault="008F48EC" w:rsidP="00A02752">
          <w:pPr>
            <w:spacing w:line="0" w:lineRule="atLeast"/>
            <w:jc w:val="center"/>
            <w:rPr>
              <w:i/>
              <w:sz w:val="18"/>
              <w:szCs w:val="18"/>
            </w:rPr>
          </w:pPr>
          <w:r w:rsidRPr="00E55F66">
            <w:rPr>
              <w:i/>
              <w:sz w:val="18"/>
            </w:rPr>
            <w:t>Statement of Principles concer</w:t>
          </w:r>
          <w:r>
            <w:rPr>
              <w:i/>
              <w:sz w:val="18"/>
            </w:rPr>
            <w:t xml:space="preserve">ning </w:t>
          </w:r>
          <w:r w:rsidR="00154DCA" w:rsidRPr="003A2FFE">
            <w:rPr>
              <w:i/>
              <w:sz w:val="18"/>
              <w:szCs w:val="18"/>
            </w:rPr>
            <w:fldChar w:fldCharType="begin"/>
          </w:r>
          <w:r w:rsidR="00154DCA" w:rsidRPr="003A2FFE">
            <w:rPr>
              <w:i/>
              <w:sz w:val="18"/>
              <w:szCs w:val="18"/>
            </w:rPr>
            <w:instrText xml:space="preserve"> REF SoP_Na</w:instrText>
          </w:r>
          <w:r w:rsidR="00154DCA">
            <w:rPr>
              <w:i/>
              <w:sz w:val="18"/>
              <w:szCs w:val="18"/>
            </w:rPr>
            <w:instrText>me \* Charformat \* MERGEFORMAT</w:instrText>
          </w:r>
          <w:r w:rsidR="00154DCA" w:rsidRPr="003A2FFE">
            <w:rPr>
              <w:i/>
              <w:sz w:val="18"/>
              <w:szCs w:val="18"/>
            </w:rPr>
            <w:fldChar w:fldCharType="separate"/>
          </w:r>
          <w:r w:rsidR="00CB66FC" w:rsidRPr="00CB66FC">
            <w:rPr>
              <w:i/>
              <w:sz w:val="18"/>
              <w:szCs w:val="18"/>
            </w:rPr>
            <w:t>malignant neoplasm of the gallbladder</w:t>
          </w:r>
          <w:r w:rsidR="00154DCA" w:rsidRPr="003A2FFE">
            <w:rPr>
              <w:i/>
              <w:sz w:val="18"/>
              <w:szCs w:val="18"/>
            </w:rPr>
            <w:fldChar w:fldCharType="end"/>
          </w:r>
          <w:r w:rsidR="00154DCA">
            <w:rPr>
              <w:i/>
              <w:sz w:val="18"/>
              <w:szCs w:val="18"/>
            </w:rPr>
            <w:t xml:space="preserve"> </w:t>
          </w:r>
        </w:p>
        <w:p w:rsidR="00885EAB" w:rsidRPr="005E7FC2" w:rsidRDefault="008F48EC" w:rsidP="00A02752">
          <w:pPr>
            <w:spacing w:line="0" w:lineRule="atLeast"/>
            <w:jc w:val="center"/>
            <w:rPr>
              <w:i/>
              <w:sz w:val="18"/>
            </w:rPr>
          </w:pPr>
          <w:r>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CB66FC" w:rsidRPr="00CB66FC">
            <w:rPr>
              <w:i/>
              <w:sz w:val="18"/>
              <w:szCs w:val="18"/>
            </w:rPr>
            <w:t>89</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CB66FC" w:rsidRPr="00CB66FC">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F4A9F">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66FC">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1EBB8610" wp14:editId="1B12E5B6">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66F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66F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85EAB" w:rsidRPr="00C01863" w:rsidTr="00C01863">
      <w:tc>
        <w:tcPr>
          <w:tcW w:w="709" w:type="dxa"/>
          <w:tcBorders>
            <w:top w:val="nil"/>
            <w:left w:val="nil"/>
            <w:bottom w:val="nil"/>
            <w:right w:val="nil"/>
          </w:tcBorders>
          <w:shd w:val="clear" w:color="auto" w:fill="auto"/>
        </w:tcPr>
        <w:p w:rsidR="00885EAB" w:rsidRPr="00C01863" w:rsidRDefault="00885EAB"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66FC">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01863">
          <w:pPr>
            <w:jc w:val="right"/>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7174B602" wp14:editId="257767EF">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66F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66F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66FC">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66FC">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9F4A9F">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9F4A9F">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9F4A9F">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9F4A9F">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6C4E18" w:rsidP="00715914">
    <w:pPr>
      <w:rPr>
        <w:sz w:val="20"/>
      </w:rPr>
    </w:pPr>
    <w:r>
      <w:rPr>
        <w:noProof/>
        <w:lang w:eastAsia="en-AU"/>
      </w:rPr>
      <mc:AlternateContent>
        <mc:Choice Requires="wps">
          <w:drawing>
            <wp:anchor distT="0" distB="0" distL="114300" distR="114300" simplePos="0" relativeHeight="251657216" behindDoc="1" locked="0" layoutInCell="1" allowOverlap="1" wp14:anchorId="454B15A5" wp14:editId="6C8A2BB6">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66F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66F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r w:rsidR="00885EAB">
      <w:rPr>
        <w:sz w:val="20"/>
      </w:rPr>
      <w:fldChar w:fldCharType="begin"/>
    </w:r>
    <w:r w:rsidR="00885EAB">
      <w:rPr>
        <w:sz w:val="20"/>
      </w:rPr>
      <w:instrText xml:space="preserve"> STYLEREF CharChapText </w:instrText>
    </w:r>
    <w:r w:rsidR="00885EAB">
      <w:rPr>
        <w:sz w:val="20"/>
      </w:rPr>
      <w:fldChar w:fldCharType="separate"/>
    </w:r>
    <w:r w:rsidR="00CB66FC">
      <w:rPr>
        <w:noProof/>
        <w:sz w:val="20"/>
      </w:rPr>
      <w:cr/>
    </w:r>
    <w:r w:rsidR="00885EAB">
      <w:rPr>
        <w:sz w:val="20"/>
      </w:rPr>
      <w:fldChar w:fldCharType="end"/>
    </w:r>
  </w:p>
  <w:p w:rsidR="00885EAB" w:rsidRDefault="00885EA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B66FC">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B66FC">
      <w:rPr>
        <w:b/>
        <w:bCs/>
        <w:noProof/>
        <w:sz w:val="20"/>
        <w:lang w:val="en-US"/>
      </w:rPr>
      <w:t>Error! Use the Home tab to apply CharPartText to the text that you want to appear here.</w:t>
    </w:r>
    <w:r>
      <w:rPr>
        <w:sz w:val="20"/>
      </w:rPr>
      <w:fldChar w:fldCharType="end"/>
    </w:r>
  </w:p>
  <w:p w:rsidR="00885EAB" w:rsidRPr="007A1328" w:rsidRDefault="00885EAB" w:rsidP="00715914">
    <w:pPr>
      <w:rPr>
        <w:sz w:val="20"/>
      </w:rPr>
    </w:pPr>
    <w:r>
      <w:rPr>
        <w:b/>
        <w:sz w:val="20"/>
      </w:rPr>
      <w:fldChar w:fldCharType="begin"/>
    </w:r>
    <w:r>
      <w:rPr>
        <w:b/>
        <w:sz w:val="20"/>
      </w:rPr>
      <w:instrText xml:space="preserve"> STYLEREF CharDivNo </w:instrText>
    </w:r>
    <w:r>
      <w:rPr>
        <w:b/>
        <w:sz w:val="20"/>
      </w:rPr>
      <w:fldChar w:fldCharType="separate"/>
    </w:r>
    <w:r w:rsidR="00CB66FC">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CB66FC">
      <w:rPr>
        <w:b/>
        <w:bCs/>
        <w:noProof/>
        <w:sz w:val="20"/>
        <w:lang w:val="en-US"/>
      </w:rPr>
      <w:t>Error! Use the Home tab to apply CharDivText to the text that you want to appear here.</w:t>
    </w:r>
    <w:r>
      <w:rPr>
        <w:sz w:val="20"/>
      </w:rPr>
      <w:fldChar w:fldCharType="end"/>
    </w:r>
  </w:p>
  <w:p w:rsidR="00885EAB" w:rsidRPr="007A1328" w:rsidRDefault="00885EAB" w:rsidP="00715914">
    <w:pPr>
      <w:rPr>
        <w:b/>
        <w:sz w:val="24"/>
      </w:rPr>
    </w:pPr>
  </w:p>
  <w:p w:rsidR="00885EAB" w:rsidRPr="007A1328" w:rsidRDefault="00885EAB"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B66FC">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B66FC">
      <w:rPr>
        <w:b/>
        <w:bCs/>
        <w:noProof/>
        <w:sz w:val="24"/>
        <w:lang w:val="en-US"/>
      </w:rPr>
      <w:t>Error! Use the Home tab to apply CharSectno to the text that you want to appear here.</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4AF862AF" wp14:editId="35EEB475">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66F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66F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CB66FC">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B66FC">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B66FC">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B66FC">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B66FC">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B66FC">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B66FC">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0E6070"/>
    <w:multiLevelType w:val="singleLevel"/>
    <w:tmpl w:val="544A35C6"/>
    <w:lvl w:ilvl="0">
      <w:start w:val="1"/>
      <w:numFmt w:val="lowerLetter"/>
      <w:lvlText w:val="(%1)"/>
      <w:lvlJc w:val="left"/>
      <w:pPr>
        <w:tabs>
          <w:tab w:val="num" w:pos="1440"/>
        </w:tabs>
        <w:ind w:left="1440" w:hanging="720"/>
      </w:pPr>
      <w:rPr>
        <w:rFont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81B7C"/>
    <w:rsid w:val="00085567"/>
    <w:rsid w:val="000861BC"/>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42B62"/>
    <w:rsid w:val="0015201F"/>
    <w:rsid w:val="00154DCA"/>
    <w:rsid w:val="00157B8B"/>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20A7"/>
    <w:rsid w:val="00284719"/>
    <w:rsid w:val="00294043"/>
    <w:rsid w:val="00297ECB"/>
    <w:rsid w:val="002A1ECC"/>
    <w:rsid w:val="002A3436"/>
    <w:rsid w:val="002A7BCF"/>
    <w:rsid w:val="002B45FA"/>
    <w:rsid w:val="002B5188"/>
    <w:rsid w:val="002B5A43"/>
    <w:rsid w:val="002C7539"/>
    <w:rsid w:val="002D0113"/>
    <w:rsid w:val="002D043A"/>
    <w:rsid w:val="002D2AA2"/>
    <w:rsid w:val="002D6224"/>
    <w:rsid w:val="002E3F4B"/>
    <w:rsid w:val="002F5948"/>
    <w:rsid w:val="00301C54"/>
    <w:rsid w:val="00304F8B"/>
    <w:rsid w:val="00312E95"/>
    <w:rsid w:val="0033221D"/>
    <w:rsid w:val="003354D2"/>
    <w:rsid w:val="00335BC6"/>
    <w:rsid w:val="00340A59"/>
    <w:rsid w:val="003415D3"/>
    <w:rsid w:val="00344701"/>
    <w:rsid w:val="00352B0F"/>
    <w:rsid w:val="00356690"/>
    <w:rsid w:val="00360459"/>
    <w:rsid w:val="00365E25"/>
    <w:rsid w:val="003734C6"/>
    <w:rsid w:val="003802D6"/>
    <w:rsid w:val="00380660"/>
    <w:rsid w:val="00385187"/>
    <w:rsid w:val="003A189F"/>
    <w:rsid w:val="003A2FFE"/>
    <w:rsid w:val="003A5C26"/>
    <w:rsid w:val="003B3E42"/>
    <w:rsid w:val="003B403B"/>
    <w:rsid w:val="003C445A"/>
    <w:rsid w:val="003C4C02"/>
    <w:rsid w:val="003C6231"/>
    <w:rsid w:val="003D0BFE"/>
    <w:rsid w:val="003D5700"/>
    <w:rsid w:val="003E341B"/>
    <w:rsid w:val="003E5B64"/>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06E"/>
    <w:rsid w:val="00456CE5"/>
    <w:rsid w:val="00457895"/>
    <w:rsid w:val="00467661"/>
    <w:rsid w:val="004705B7"/>
    <w:rsid w:val="00472DBE"/>
    <w:rsid w:val="00474A19"/>
    <w:rsid w:val="00475366"/>
    <w:rsid w:val="004834A1"/>
    <w:rsid w:val="004840A6"/>
    <w:rsid w:val="004916B9"/>
    <w:rsid w:val="00496F97"/>
    <w:rsid w:val="004A4764"/>
    <w:rsid w:val="004A5E4B"/>
    <w:rsid w:val="004C1633"/>
    <w:rsid w:val="004C32AA"/>
    <w:rsid w:val="004C6AE8"/>
    <w:rsid w:val="004C6D55"/>
    <w:rsid w:val="004D10CF"/>
    <w:rsid w:val="004D4BCA"/>
    <w:rsid w:val="004E063A"/>
    <w:rsid w:val="004E7BEC"/>
    <w:rsid w:val="004F23E0"/>
    <w:rsid w:val="00505D3D"/>
    <w:rsid w:val="00506AF6"/>
    <w:rsid w:val="00513D05"/>
    <w:rsid w:val="00516768"/>
    <w:rsid w:val="00516B8D"/>
    <w:rsid w:val="005268CF"/>
    <w:rsid w:val="0053697E"/>
    <w:rsid w:val="00537FBC"/>
    <w:rsid w:val="00545116"/>
    <w:rsid w:val="005540FA"/>
    <w:rsid w:val="005574D1"/>
    <w:rsid w:val="00575A90"/>
    <w:rsid w:val="00584811"/>
    <w:rsid w:val="0058491F"/>
    <w:rsid w:val="00585784"/>
    <w:rsid w:val="00593AA6"/>
    <w:rsid w:val="00594161"/>
    <w:rsid w:val="00594749"/>
    <w:rsid w:val="005B05D3"/>
    <w:rsid w:val="005B4067"/>
    <w:rsid w:val="005C3F41"/>
    <w:rsid w:val="005D2D09"/>
    <w:rsid w:val="005E7FC2"/>
    <w:rsid w:val="00600219"/>
    <w:rsid w:val="00600E19"/>
    <w:rsid w:val="006013B7"/>
    <w:rsid w:val="00603D01"/>
    <w:rsid w:val="00603DC4"/>
    <w:rsid w:val="00611D12"/>
    <w:rsid w:val="00615B89"/>
    <w:rsid w:val="00616FF5"/>
    <w:rsid w:val="00617C4E"/>
    <w:rsid w:val="00620076"/>
    <w:rsid w:val="00620A0A"/>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0F8"/>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44622"/>
    <w:rsid w:val="007500C8"/>
    <w:rsid w:val="007527C1"/>
    <w:rsid w:val="007534B2"/>
    <w:rsid w:val="00754617"/>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667A"/>
    <w:rsid w:val="007E7626"/>
    <w:rsid w:val="007F2378"/>
    <w:rsid w:val="007F28C9"/>
    <w:rsid w:val="007F6020"/>
    <w:rsid w:val="00802137"/>
    <w:rsid w:val="00803587"/>
    <w:rsid w:val="00806368"/>
    <w:rsid w:val="008117E9"/>
    <w:rsid w:val="00824498"/>
    <w:rsid w:val="00831C11"/>
    <w:rsid w:val="008321ED"/>
    <w:rsid w:val="00832C32"/>
    <w:rsid w:val="008448C5"/>
    <w:rsid w:val="00850A63"/>
    <w:rsid w:val="00856A31"/>
    <w:rsid w:val="008608B9"/>
    <w:rsid w:val="0086644D"/>
    <w:rsid w:val="00867ABD"/>
    <w:rsid w:val="00867B37"/>
    <w:rsid w:val="00873081"/>
    <w:rsid w:val="008754D0"/>
    <w:rsid w:val="00877AE3"/>
    <w:rsid w:val="008855C9"/>
    <w:rsid w:val="00885EAB"/>
    <w:rsid w:val="00886456"/>
    <w:rsid w:val="008A46E1"/>
    <w:rsid w:val="008A4F43"/>
    <w:rsid w:val="008B2204"/>
    <w:rsid w:val="008B2706"/>
    <w:rsid w:val="008D08B9"/>
    <w:rsid w:val="008D0EE0"/>
    <w:rsid w:val="008D16D3"/>
    <w:rsid w:val="008D1B8B"/>
    <w:rsid w:val="008E4A16"/>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6922"/>
    <w:rsid w:val="009612CF"/>
    <w:rsid w:val="00973808"/>
    <w:rsid w:val="00982242"/>
    <w:rsid w:val="009868E9"/>
    <w:rsid w:val="009A04A2"/>
    <w:rsid w:val="009B1314"/>
    <w:rsid w:val="009B5A4E"/>
    <w:rsid w:val="009B6C50"/>
    <w:rsid w:val="009C2B65"/>
    <w:rsid w:val="009C404D"/>
    <w:rsid w:val="009E5CFC"/>
    <w:rsid w:val="009F4A9F"/>
    <w:rsid w:val="00A02752"/>
    <w:rsid w:val="00A05565"/>
    <w:rsid w:val="00A079CB"/>
    <w:rsid w:val="00A11C0D"/>
    <w:rsid w:val="00A12128"/>
    <w:rsid w:val="00A137F8"/>
    <w:rsid w:val="00A20CA1"/>
    <w:rsid w:val="00A22C98"/>
    <w:rsid w:val="00A231E2"/>
    <w:rsid w:val="00A250B5"/>
    <w:rsid w:val="00A515BC"/>
    <w:rsid w:val="00A56C3D"/>
    <w:rsid w:val="00A6070D"/>
    <w:rsid w:val="00A64912"/>
    <w:rsid w:val="00A70A74"/>
    <w:rsid w:val="00A9341B"/>
    <w:rsid w:val="00AA0658"/>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40BC7"/>
    <w:rsid w:val="00B50ADC"/>
    <w:rsid w:val="00B527C0"/>
    <w:rsid w:val="00B566B1"/>
    <w:rsid w:val="00B63834"/>
    <w:rsid w:val="00B664A3"/>
    <w:rsid w:val="00B72475"/>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503E"/>
    <w:rsid w:val="00BE719A"/>
    <w:rsid w:val="00BE720A"/>
    <w:rsid w:val="00BF0D73"/>
    <w:rsid w:val="00BF2465"/>
    <w:rsid w:val="00BF43B4"/>
    <w:rsid w:val="00BF525F"/>
    <w:rsid w:val="00C01863"/>
    <w:rsid w:val="00C11D03"/>
    <w:rsid w:val="00C12CCE"/>
    <w:rsid w:val="00C25E7F"/>
    <w:rsid w:val="00C2746F"/>
    <w:rsid w:val="00C324A0"/>
    <w:rsid w:val="00C3300F"/>
    <w:rsid w:val="00C418A0"/>
    <w:rsid w:val="00C42BF8"/>
    <w:rsid w:val="00C50043"/>
    <w:rsid w:val="00C5731E"/>
    <w:rsid w:val="00C66597"/>
    <w:rsid w:val="00C738B9"/>
    <w:rsid w:val="00C7573B"/>
    <w:rsid w:val="00C77046"/>
    <w:rsid w:val="00C847A0"/>
    <w:rsid w:val="00C93C03"/>
    <w:rsid w:val="00C96667"/>
    <w:rsid w:val="00C9794D"/>
    <w:rsid w:val="00CA61BB"/>
    <w:rsid w:val="00CA7414"/>
    <w:rsid w:val="00CB09D7"/>
    <w:rsid w:val="00CB1DCB"/>
    <w:rsid w:val="00CB2C8E"/>
    <w:rsid w:val="00CB602E"/>
    <w:rsid w:val="00CB66FC"/>
    <w:rsid w:val="00CC0B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3883"/>
    <w:rsid w:val="00D377E3"/>
    <w:rsid w:val="00D50484"/>
    <w:rsid w:val="00D527C9"/>
    <w:rsid w:val="00D52DC2"/>
    <w:rsid w:val="00D53BCC"/>
    <w:rsid w:val="00D5599D"/>
    <w:rsid w:val="00D5620B"/>
    <w:rsid w:val="00D60FC8"/>
    <w:rsid w:val="00D70DFB"/>
    <w:rsid w:val="00D71633"/>
    <w:rsid w:val="00D766DF"/>
    <w:rsid w:val="00D93889"/>
    <w:rsid w:val="00D93DA9"/>
    <w:rsid w:val="00D96383"/>
    <w:rsid w:val="00D97BB3"/>
    <w:rsid w:val="00DA186E"/>
    <w:rsid w:val="00DA4116"/>
    <w:rsid w:val="00DA7AC0"/>
    <w:rsid w:val="00DB251C"/>
    <w:rsid w:val="00DB4630"/>
    <w:rsid w:val="00DC4F88"/>
    <w:rsid w:val="00DD2B43"/>
    <w:rsid w:val="00DD31AB"/>
    <w:rsid w:val="00DE59B7"/>
    <w:rsid w:val="00DF24DC"/>
    <w:rsid w:val="00DF5291"/>
    <w:rsid w:val="00DF6D11"/>
    <w:rsid w:val="00E01818"/>
    <w:rsid w:val="00E05704"/>
    <w:rsid w:val="00E0571D"/>
    <w:rsid w:val="00E11E44"/>
    <w:rsid w:val="00E3270E"/>
    <w:rsid w:val="00E338EF"/>
    <w:rsid w:val="00E35C4E"/>
    <w:rsid w:val="00E544BB"/>
    <w:rsid w:val="00E55F66"/>
    <w:rsid w:val="00E64EE4"/>
    <w:rsid w:val="00E662CB"/>
    <w:rsid w:val="00E74DC7"/>
    <w:rsid w:val="00E8075A"/>
    <w:rsid w:val="00E840E6"/>
    <w:rsid w:val="00E92D94"/>
    <w:rsid w:val="00E9347E"/>
    <w:rsid w:val="00E93E6F"/>
    <w:rsid w:val="00E94D5E"/>
    <w:rsid w:val="00EA5BE3"/>
    <w:rsid w:val="00EA7100"/>
    <w:rsid w:val="00EA7F9F"/>
    <w:rsid w:val="00EB1274"/>
    <w:rsid w:val="00EB2BC4"/>
    <w:rsid w:val="00EC5E80"/>
    <w:rsid w:val="00ED2BB6"/>
    <w:rsid w:val="00ED34E1"/>
    <w:rsid w:val="00ED3B8D"/>
    <w:rsid w:val="00ED4913"/>
    <w:rsid w:val="00ED501C"/>
    <w:rsid w:val="00EF2E3A"/>
    <w:rsid w:val="00F02383"/>
    <w:rsid w:val="00F03C06"/>
    <w:rsid w:val="00F072A7"/>
    <w:rsid w:val="00F078DC"/>
    <w:rsid w:val="00F12215"/>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C2CFE"/>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8684</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2015-06-15T02:09:00Z</dcterms:created>
  <dcterms:modified xsi:type="dcterms:W3CDTF">2015-06-17T02:28:00Z</dcterms:modified>
  <dc:language/>
  <cp:version/>
</cp:coreProperties>
</file>