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11" w:rsidRDefault="005C3F11" w:rsidP="005C3F11">
      <w:pPr>
        <w:spacing w:after="120" w:line="240" w:lineRule="auto"/>
        <w:jc w:val="center"/>
        <w:outlineLvl w:val="0"/>
        <w:rPr>
          <w:rFonts w:ascii="Times New Roman" w:hAnsi="Times New Roman"/>
          <w:b/>
        </w:rPr>
      </w:pPr>
      <w:bookmarkStart w:id="0" w:name="_GoBack"/>
      <w:bookmarkEnd w:id="0"/>
      <w:r>
        <w:rPr>
          <w:noProof/>
          <w:lang w:eastAsia="en-AU"/>
        </w:rPr>
        <w:drawing>
          <wp:inline distT="0" distB="0" distL="0" distR="0" wp14:anchorId="6EB58378" wp14:editId="448187EE">
            <wp:extent cx="1757680" cy="932180"/>
            <wp:effectExtent l="0" t="0" r="0" b="1270"/>
            <wp:docPr id="2" name="Picture 2" descr="Commonwealth Coat of Arms of Australia - Repatriation Medi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680" cy="932180"/>
                    </a:xfrm>
                    <a:prstGeom prst="rect">
                      <a:avLst/>
                    </a:prstGeom>
                    <a:noFill/>
                    <a:ln>
                      <a:noFill/>
                    </a:ln>
                  </pic:spPr>
                </pic:pic>
              </a:graphicData>
            </a:graphic>
          </wp:inline>
        </w:drawing>
      </w:r>
    </w:p>
    <w:p w:rsidR="00B413B4" w:rsidRDefault="00B413B4" w:rsidP="00B413B4">
      <w:pPr>
        <w:spacing w:before="240" w:after="120" w:line="240" w:lineRule="auto"/>
        <w:jc w:val="center"/>
        <w:outlineLvl w:val="0"/>
        <w:rPr>
          <w:rFonts w:ascii="Times New Roman" w:hAnsi="Times New Roman"/>
          <w:b/>
        </w:rPr>
      </w:pPr>
      <w:r>
        <w:rPr>
          <w:rFonts w:ascii="Times New Roman" w:hAnsi="Times New Roman"/>
          <w:b/>
        </w:rPr>
        <w:t>NOTICE OF INVESTIGATION</w:t>
      </w:r>
    </w:p>
    <w:p w:rsidR="00B413B4" w:rsidRDefault="00B413B4" w:rsidP="00B413B4">
      <w:pPr>
        <w:spacing w:after="120" w:line="240" w:lineRule="auto"/>
        <w:jc w:val="center"/>
        <w:outlineLvl w:val="0"/>
        <w:rPr>
          <w:rFonts w:ascii="Times New Roman" w:hAnsi="Times New Roman"/>
          <w:b/>
        </w:rPr>
      </w:pPr>
      <w:r>
        <w:rPr>
          <w:rFonts w:ascii="Times New Roman" w:hAnsi="Times New Roman"/>
          <w:b/>
        </w:rPr>
        <w:t>Section 196G of the</w:t>
      </w:r>
    </w:p>
    <w:p w:rsidR="00B413B4" w:rsidRDefault="00B413B4" w:rsidP="00B413B4">
      <w:pPr>
        <w:spacing w:after="120" w:line="240" w:lineRule="auto"/>
        <w:jc w:val="center"/>
        <w:outlineLvl w:val="0"/>
        <w:rPr>
          <w:rFonts w:ascii="Times New Roman" w:hAnsi="Times New Roman"/>
          <w:b/>
        </w:rPr>
      </w:pPr>
      <w:r>
        <w:rPr>
          <w:rFonts w:ascii="Times New Roman" w:hAnsi="Times New Roman"/>
          <w:i/>
        </w:rPr>
        <w:t>Veterans' Entitlements Act 1986</w:t>
      </w:r>
    </w:p>
    <w:p w:rsidR="00B413B4" w:rsidRPr="008F4078" w:rsidRDefault="00B413B4" w:rsidP="00B413B4">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5098"/>
        <w:gridCol w:w="4144"/>
      </w:tblGrid>
      <w:tr w:rsidR="00B413B4" w:rsidRPr="008F4078" w:rsidTr="008C0022">
        <w:trPr>
          <w:jc w:val="center"/>
        </w:trPr>
        <w:tc>
          <w:tcPr>
            <w:tcW w:w="5098" w:type="dxa"/>
          </w:tcPr>
          <w:p w:rsidR="00B413B4" w:rsidRPr="00B413B4" w:rsidRDefault="00B413B4" w:rsidP="008C0022">
            <w:pPr>
              <w:spacing w:after="60"/>
              <w:rPr>
                <w:b/>
                <w:sz w:val="22"/>
                <w:szCs w:val="22"/>
              </w:rPr>
            </w:pPr>
            <w:bookmarkStart w:id="1" w:name="OLE_LINK3"/>
            <w:bookmarkStart w:id="2" w:name="OLE_LINK4"/>
            <w:r w:rsidRPr="00B413B4">
              <w:rPr>
                <w:b/>
                <w:sz w:val="22"/>
                <w:szCs w:val="22"/>
              </w:rPr>
              <w:t>Condition:</w:t>
            </w:r>
          </w:p>
        </w:tc>
        <w:tc>
          <w:tcPr>
            <w:tcW w:w="4144" w:type="dxa"/>
          </w:tcPr>
          <w:p w:rsidR="00B413B4" w:rsidRPr="00B413B4" w:rsidRDefault="00B413B4" w:rsidP="008C0022">
            <w:pPr>
              <w:spacing w:after="60"/>
              <w:rPr>
                <w:b/>
                <w:sz w:val="22"/>
                <w:szCs w:val="22"/>
              </w:rPr>
            </w:pPr>
            <w:r w:rsidRPr="00B413B4">
              <w:rPr>
                <w:b/>
                <w:sz w:val="22"/>
                <w:szCs w:val="22"/>
              </w:rPr>
              <w:t>Instrument Nos.:</w:t>
            </w:r>
          </w:p>
        </w:tc>
      </w:tr>
      <w:bookmarkEnd w:id="1"/>
      <w:bookmarkEnd w:id="2"/>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 xml:space="preserve">myeloma </w:t>
            </w:r>
          </w:p>
        </w:tc>
        <w:tc>
          <w:tcPr>
            <w:tcW w:w="4144" w:type="dxa"/>
          </w:tcPr>
          <w:p w:rsidR="00B413B4" w:rsidRPr="00B413B4" w:rsidRDefault="00B413B4" w:rsidP="008C0022">
            <w:pPr>
              <w:rPr>
                <w:sz w:val="22"/>
                <w:szCs w:val="22"/>
              </w:rPr>
            </w:pPr>
            <w:r w:rsidRPr="00B413B4">
              <w:rPr>
                <w:sz w:val="22"/>
                <w:szCs w:val="22"/>
              </w:rPr>
              <w:t>69 &amp; 70 of 2012, as amended</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giant cell arteritis</w:t>
            </w:r>
          </w:p>
        </w:tc>
        <w:tc>
          <w:tcPr>
            <w:tcW w:w="4144" w:type="dxa"/>
          </w:tcPr>
          <w:p w:rsidR="00B413B4" w:rsidRPr="00B413B4" w:rsidRDefault="00B413B4" w:rsidP="008C0022">
            <w:pPr>
              <w:rPr>
                <w:sz w:val="22"/>
                <w:szCs w:val="22"/>
              </w:rPr>
            </w:pPr>
            <w:r w:rsidRPr="00B413B4">
              <w:rPr>
                <w:sz w:val="22"/>
                <w:szCs w:val="22"/>
              </w:rPr>
              <w:t>71 &amp; 72 of 2012</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solar keratosis</w:t>
            </w:r>
          </w:p>
        </w:tc>
        <w:tc>
          <w:tcPr>
            <w:tcW w:w="4144" w:type="dxa"/>
          </w:tcPr>
          <w:p w:rsidR="00B413B4" w:rsidRPr="00B413B4" w:rsidRDefault="00B413B4" w:rsidP="008C0022">
            <w:pPr>
              <w:rPr>
                <w:sz w:val="22"/>
                <w:szCs w:val="22"/>
              </w:rPr>
            </w:pPr>
            <w:r w:rsidRPr="00B413B4">
              <w:rPr>
                <w:sz w:val="22"/>
                <w:szCs w:val="22"/>
              </w:rPr>
              <w:t>73 &amp; 74 of 2012</w:t>
            </w:r>
          </w:p>
        </w:tc>
      </w:tr>
      <w:tr w:rsidR="00B413B4" w:rsidRPr="0004785A" w:rsidTr="008C0022">
        <w:tblPrEx>
          <w:jc w:val="left"/>
        </w:tblPrEx>
        <w:trPr>
          <w:trHeight w:val="255"/>
        </w:trPr>
        <w:tc>
          <w:tcPr>
            <w:tcW w:w="5098" w:type="dxa"/>
            <w:noWrap/>
            <w:hideMark/>
          </w:tcPr>
          <w:p w:rsidR="00B413B4" w:rsidRPr="00B413B4" w:rsidRDefault="00B413B4" w:rsidP="008C0022">
            <w:pPr>
              <w:rPr>
                <w:sz w:val="22"/>
                <w:szCs w:val="22"/>
              </w:rPr>
            </w:pPr>
            <w:r w:rsidRPr="00B413B4">
              <w:rPr>
                <w:sz w:val="22"/>
                <w:szCs w:val="22"/>
              </w:rPr>
              <w:t>acute lymphoblastic leukaemia</w:t>
            </w:r>
          </w:p>
        </w:tc>
        <w:tc>
          <w:tcPr>
            <w:tcW w:w="4144" w:type="dxa"/>
          </w:tcPr>
          <w:p w:rsidR="00B413B4" w:rsidRPr="00B413B4" w:rsidRDefault="00B413B4" w:rsidP="008C0022">
            <w:pPr>
              <w:rPr>
                <w:sz w:val="22"/>
                <w:szCs w:val="22"/>
              </w:rPr>
            </w:pPr>
            <w:r w:rsidRPr="00B413B4">
              <w:rPr>
                <w:sz w:val="22"/>
                <w:szCs w:val="22"/>
              </w:rPr>
              <w:t>75 &amp; 76 of 2012, as amended</w:t>
            </w:r>
          </w:p>
        </w:tc>
      </w:tr>
      <w:tr w:rsidR="00B413B4" w:rsidRPr="0004785A" w:rsidTr="008C0022">
        <w:tblPrEx>
          <w:jc w:val="left"/>
        </w:tblPrEx>
        <w:trPr>
          <w:trHeight w:val="255"/>
        </w:trPr>
        <w:tc>
          <w:tcPr>
            <w:tcW w:w="5098" w:type="dxa"/>
            <w:noWrap/>
            <w:hideMark/>
          </w:tcPr>
          <w:p w:rsidR="00B413B4" w:rsidRPr="00B413B4" w:rsidRDefault="00B413B4" w:rsidP="008C0022">
            <w:pPr>
              <w:rPr>
                <w:sz w:val="22"/>
                <w:szCs w:val="22"/>
              </w:rPr>
            </w:pPr>
            <w:r w:rsidRPr="00B413B4">
              <w:rPr>
                <w:sz w:val="22"/>
                <w:szCs w:val="22"/>
              </w:rPr>
              <w:t>malignant neoplasm of the oral cavity, oropharynx &amp; hypopharynx</w:t>
            </w:r>
          </w:p>
        </w:tc>
        <w:tc>
          <w:tcPr>
            <w:tcW w:w="4144" w:type="dxa"/>
          </w:tcPr>
          <w:p w:rsidR="00B413B4" w:rsidRPr="00B413B4" w:rsidRDefault="00B413B4" w:rsidP="008C0022">
            <w:pPr>
              <w:rPr>
                <w:sz w:val="22"/>
                <w:szCs w:val="22"/>
              </w:rPr>
            </w:pPr>
            <w:r w:rsidRPr="00B413B4">
              <w:rPr>
                <w:sz w:val="22"/>
                <w:szCs w:val="22"/>
              </w:rPr>
              <w:t>1 &amp; 2 of 2013</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ankylosing spondylitis</w:t>
            </w:r>
          </w:p>
        </w:tc>
        <w:tc>
          <w:tcPr>
            <w:tcW w:w="4144" w:type="dxa"/>
          </w:tcPr>
          <w:p w:rsidR="00B413B4" w:rsidRPr="00B413B4" w:rsidRDefault="00B413B4" w:rsidP="008C0022">
            <w:pPr>
              <w:rPr>
                <w:sz w:val="22"/>
                <w:szCs w:val="22"/>
              </w:rPr>
            </w:pPr>
            <w:r w:rsidRPr="00B413B4">
              <w:rPr>
                <w:sz w:val="22"/>
                <w:szCs w:val="22"/>
              </w:rPr>
              <w:t>3 &amp; 4 of 2013</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 xml:space="preserve">inguinal hernia </w:t>
            </w:r>
          </w:p>
        </w:tc>
        <w:tc>
          <w:tcPr>
            <w:tcW w:w="4144" w:type="dxa"/>
          </w:tcPr>
          <w:p w:rsidR="00B413B4" w:rsidRPr="00B413B4" w:rsidRDefault="00B413B4" w:rsidP="008C0022">
            <w:pPr>
              <w:rPr>
                <w:sz w:val="22"/>
                <w:szCs w:val="22"/>
              </w:rPr>
            </w:pPr>
            <w:r w:rsidRPr="00B413B4">
              <w:rPr>
                <w:sz w:val="22"/>
                <w:szCs w:val="22"/>
              </w:rPr>
              <w:t>5 &amp; 6 of 2013</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carpal tunnel syndrome</w:t>
            </w:r>
          </w:p>
        </w:tc>
        <w:tc>
          <w:tcPr>
            <w:tcW w:w="4144" w:type="dxa"/>
          </w:tcPr>
          <w:p w:rsidR="00B413B4" w:rsidRPr="00B413B4" w:rsidRDefault="00B413B4" w:rsidP="008C0022">
            <w:pPr>
              <w:rPr>
                <w:sz w:val="22"/>
                <w:szCs w:val="22"/>
              </w:rPr>
            </w:pPr>
            <w:r w:rsidRPr="00B413B4">
              <w:rPr>
                <w:sz w:val="22"/>
                <w:szCs w:val="22"/>
              </w:rPr>
              <w:t>7 &amp; 8 of 2013</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 xml:space="preserve">adenocarcinoma of the kidney </w:t>
            </w:r>
          </w:p>
        </w:tc>
        <w:tc>
          <w:tcPr>
            <w:tcW w:w="4144" w:type="dxa"/>
          </w:tcPr>
          <w:p w:rsidR="00B413B4" w:rsidRPr="00B413B4" w:rsidRDefault="00B413B4" w:rsidP="008C0022">
            <w:pPr>
              <w:rPr>
                <w:sz w:val="22"/>
                <w:szCs w:val="22"/>
              </w:rPr>
            </w:pPr>
            <w:r w:rsidRPr="00B413B4">
              <w:rPr>
                <w:sz w:val="22"/>
                <w:szCs w:val="22"/>
              </w:rPr>
              <w:t>9 &amp; 10 of 2013, as amended</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 xml:space="preserve">polycythaemia </w:t>
            </w:r>
            <w:proofErr w:type="spellStart"/>
            <w:r w:rsidRPr="00B413B4">
              <w:rPr>
                <w:sz w:val="22"/>
                <w:szCs w:val="22"/>
              </w:rPr>
              <w:t>vera</w:t>
            </w:r>
            <w:proofErr w:type="spellEnd"/>
          </w:p>
        </w:tc>
        <w:tc>
          <w:tcPr>
            <w:tcW w:w="4144" w:type="dxa"/>
          </w:tcPr>
          <w:p w:rsidR="00B413B4" w:rsidRPr="00B413B4" w:rsidRDefault="00B413B4" w:rsidP="008C0022">
            <w:pPr>
              <w:rPr>
                <w:sz w:val="22"/>
                <w:szCs w:val="22"/>
              </w:rPr>
            </w:pPr>
            <w:r w:rsidRPr="00B413B4">
              <w:rPr>
                <w:sz w:val="22"/>
                <w:szCs w:val="22"/>
              </w:rPr>
              <w:t>11 &amp; 12 of 2013</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proofErr w:type="spellStart"/>
            <w:r w:rsidRPr="00B413B4">
              <w:rPr>
                <w:sz w:val="22"/>
                <w:szCs w:val="22"/>
              </w:rPr>
              <w:t>seborrhoeic</w:t>
            </w:r>
            <w:proofErr w:type="spellEnd"/>
            <w:r w:rsidRPr="00B413B4">
              <w:rPr>
                <w:sz w:val="22"/>
                <w:szCs w:val="22"/>
              </w:rPr>
              <w:t xml:space="preserve"> dermatitis</w:t>
            </w:r>
          </w:p>
        </w:tc>
        <w:tc>
          <w:tcPr>
            <w:tcW w:w="4144" w:type="dxa"/>
          </w:tcPr>
          <w:p w:rsidR="00B413B4" w:rsidRPr="00B413B4" w:rsidRDefault="00B413B4" w:rsidP="008C0022">
            <w:pPr>
              <w:rPr>
                <w:sz w:val="22"/>
                <w:szCs w:val="22"/>
              </w:rPr>
            </w:pPr>
            <w:r w:rsidRPr="00B413B4">
              <w:rPr>
                <w:sz w:val="22"/>
                <w:szCs w:val="22"/>
              </w:rPr>
              <w:t>13 &amp; 14 of 2013</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 xml:space="preserve">essential </w:t>
            </w:r>
            <w:proofErr w:type="spellStart"/>
            <w:r w:rsidRPr="00B413B4">
              <w:rPr>
                <w:sz w:val="22"/>
                <w:szCs w:val="22"/>
              </w:rPr>
              <w:t>thrombocythaemia</w:t>
            </w:r>
            <w:proofErr w:type="spellEnd"/>
          </w:p>
        </w:tc>
        <w:tc>
          <w:tcPr>
            <w:tcW w:w="4144" w:type="dxa"/>
          </w:tcPr>
          <w:p w:rsidR="00B413B4" w:rsidRPr="00B413B4" w:rsidRDefault="00B413B4" w:rsidP="008C0022">
            <w:pPr>
              <w:rPr>
                <w:sz w:val="22"/>
                <w:szCs w:val="22"/>
              </w:rPr>
            </w:pPr>
            <w:r w:rsidRPr="00B413B4">
              <w:rPr>
                <w:sz w:val="22"/>
                <w:szCs w:val="22"/>
              </w:rPr>
              <w:t>15 &amp; 16 of 2013</w:t>
            </w:r>
          </w:p>
        </w:tc>
      </w:tr>
      <w:tr w:rsidR="00B413B4" w:rsidRPr="0004785A" w:rsidTr="008C0022">
        <w:tblPrEx>
          <w:jc w:val="left"/>
        </w:tblPrEx>
        <w:trPr>
          <w:trHeight w:val="255"/>
        </w:trPr>
        <w:tc>
          <w:tcPr>
            <w:tcW w:w="5098" w:type="dxa"/>
            <w:hideMark/>
          </w:tcPr>
          <w:p w:rsidR="00B413B4" w:rsidRPr="00B413B4" w:rsidRDefault="00B413B4" w:rsidP="008C0022">
            <w:pPr>
              <w:rPr>
                <w:sz w:val="22"/>
                <w:szCs w:val="22"/>
              </w:rPr>
            </w:pPr>
            <w:r w:rsidRPr="00B413B4">
              <w:rPr>
                <w:sz w:val="22"/>
                <w:szCs w:val="22"/>
              </w:rPr>
              <w:t xml:space="preserve">primary </w:t>
            </w:r>
            <w:proofErr w:type="spellStart"/>
            <w:r w:rsidRPr="00B413B4">
              <w:rPr>
                <w:sz w:val="22"/>
                <w:szCs w:val="22"/>
              </w:rPr>
              <w:t>myelofibrosis</w:t>
            </w:r>
            <w:proofErr w:type="spellEnd"/>
          </w:p>
        </w:tc>
        <w:tc>
          <w:tcPr>
            <w:tcW w:w="4144" w:type="dxa"/>
          </w:tcPr>
          <w:p w:rsidR="00B413B4" w:rsidRPr="00B413B4" w:rsidRDefault="00B413B4" w:rsidP="008C0022">
            <w:pPr>
              <w:rPr>
                <w:sz w:val="22"/>
                <w:szCs w:val="22"/>
              </w:rPr>
            </w:pPr>
            <w:r w:rsidRPr="00B413B4">
              <w:rPr>
                <w:sz w:val="22"/>
                <w:szCs w:val="22"/>
              </w:rPr>
              <w:t>17 &amp; 18 of 2013</w:t>
            </w:r>
          </w:p>
        </w:tc>
      </w:tr>
    </w:tbl>
    <w:p w:rsidR="00B413B4" w:rsidRPr="008F4078" w:rsidRDefault="00B413B4" w:rsidP="00B413B4">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B413B4" w:rsidRDefault="00B413B4" w:rsidP="00B413B4">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B413B4" w:rsidRDefault="00B413B4" w:rsidP="00B413B4">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B413B4" w:rsidRDefault="00B413B4" w:rsidP="00B413B4">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B413B4" w:rsidRDefault="00B413B4" w:rsidP="00B413B4">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B413B4" w:rsidRDefault="00B413B4" w:rsidP="00B413B4">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B413B4" w:rsidRPr="00B959F6" w:rsidRDefault="00B413B4" w:rsidP="00B413B4">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Pr>
          <w:rFonts w:ascii="Times New Roman" w:hAnsi="Times New Roman"/>
          <w:b/>
        </w:rPr>
        <w:t>6</w:t>
      </w:r>
      <w:r w:rsidRPr="00B959F6">
        <w:rPr>
          <w:rFonts w:ascii="Times New Roman" w:hAnsi="Times New Roman"/>
          <w:b/>
        </w:rPr>
        <w:t> </w:t>
      </w:r>
      <w:r>
        <w:rPr>
          <w:rFonts w:ascii="Times New Roman" w:hAnsi="Times New Roman"/>
          <w:b/>
        </w:rPr>
        <w:t>October</w:t>
      </w:r>
      <w:r w:rsidRPr="00B959F6">
        <w:rPr>
          <w:rFonts w:ascii="Times New Roman" w:hAnsi="Times New Roman"/>
          <w:b/>
        </w:rPr>
        <w:t> 20</w:t>
      </w:r>
      <w:r>
        <w:rPr>
          <w:rFonts w:ascii="Times New Roman" w:hAnsi="Times New Roman"/>
          <w:b/>
        </w:rPr>
        <w:t>20</w:t>
      </w:r>
      <w:r w:rsidRPr="00B959F6">
        <w:rPr>
          <w:rFonts w:ascii="Times New Roman" w:hAnsi="Times New Roman"/>
        </w:rPr>
        <w:t>.</w:t>
      </w:r>
    </w:p>
    <w:p w:rsidR="00B413B4" w:rsidRPr="00B959F6" w:rsidRDefault="00B413B4" w:rsidP="00B413B4">
      <w:pPr>
        <w:spacing w:after="120" w:line="240" w:lineRule="auto"/>
        <w:jc w:val="both"/>
        <w:rPr>
          <w:rFonts w:ascii="Times New Roman" w:hAnsi="Times New Roman"/>
        </w:rPr>
      </w:pPr>
      <w:proofErr w:type="gramStart"/>
      <w:r w:rsidRPr="00B959F6">
        <w:rPr>
          <w:rFonts w:ascii="Times New Roman" w:hAnsi="Times New Roman"/>
        </w:rPr>
        <w:t>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w:t>
      </w:r>
      <w:proofErr w:type="gramEnd"/>
      <w:r w:rsidRPr="00B959F6">
        <w:rPr>
          <w:rFonts w:ascii="Times New Roman" w:hAnsi="Times New Roman"/>
        </w:rPr>
        <w:t xml:space="preserve">  </w:t>
      </w:r>
    </w:p>
    <w:p w:rsidR="00B413B4" w:rsidRPr="00B413B4" w:rsidRDefault="00B413B4" w:rsidP="00B413B4">
      <w:pPr>
        <w:spacing w:after="120" w:line="240" w:lineRule="auto"/>
        <w:jc w:val="both"/>
        <w:rPr>
          <w:rFonts w:ascii="Times New Roman" w:hAnsi="Times New Roman" w:cs="Times New Roman"/>
          <w:i/>
        </w:rPr>
      </w:pPr>
      <w:r w:rsidRPr="00B413B4">
        <w:rPr>
          <w:rFonts w:ascii="Times New Roman" w:hAnsi="Times New Roman" w:cs="Times New Roman"/>
        </w:rPr>
        <w:t xml:space="preserve">Persons and organisations wishing to make a submission can use the RMA website </w:t>
      </w:r>
      <w:hyperlink r:id="rId8" w:history="1">
        <w:r w:rsidRPr="00B413B4">
          <w:rPr>
            <w:rStyle w:val="Hyperlink"/>
            <w:rFonts w:ascii="Times New Roman" w:hAnsi="Times New Roman" w:cs="Times New Roman"/>
            <w:color w:val="0000FF"/>
          </w:rPr>
          <w:t>http://www.rma.gov.au/investigations/</w:t>
        </w:r>
      </w:hyperlink>
      <w:r w:rsidRPr="00B413B4">
        <w:rPr>
          <w:rFonts w:ascii="Times New Roman" w:hAnsi="Times New Roman" w:cs="Times New Roman"/>
        </w:rPr>
        <w:t xml:space="preserve"> </w:t>
      </w:r>
      <w:proofErr w:type="gramStart"/>
      <w:r w:rsidRPr="00B413B4">
        <w:rPr>
          <w:rFonts w:ascii="Times New Roman" w:hAnsi="Times New Roman" w:cs="Times New Roman"/>
        </w:rPr>
        <w:t>to electronically</w:t>
      </w:r>
      <w:r w:rsidRPr="00B413B4">
        <w:rPr>
          <w:rFonts w:ascii="Times New Roman" w:hAnsi="Times New Roman" w:cs="Times New Roman"/>
          <w:i/>
        </w:rPr>
        <w:t xml:space="preserve"> </w:t>
      </w:r>
      <w:r w:rsidRPr="00B413B4">
        <w:rPr>
          <w:rFonts w:ascii="Times New Roman" w:hAnsi="Times New Roman" w:cs="Times New Roman"/>
        </w:rPr>
        <w:t>lodge</w:t>
      </w:r>
      <w:proofErr w:type="gramEnd"/>
      <w:r w:rsidRPr="00B413B4">
        <w:rPr>
          <w:rFonts w:ascii="Times New Roman" w:hAnsi="Times New Roman" w:cs="Times New Roman"/>
        </w:rPr>
        <w:t xml:space="preserve"> the submission and supporting information.  Alternatively, submissions </w:t>
      </w:r>
      <w:proofErr w:type="gramStart"/>
      <w:r w:rsidRPr="00B413B4">
        <w:rPr>
          <w:rFonts w:ascii="Times New Roman" w:hAnsi="Times New Roman" w:cs="Times New Roman"/>
        </w:rPr>
        <w:t xml:space="preserve">can be sent by email to </w:t>
      </w:r>
      <w:hyperlink r:id="rId9" w:history="1">
        <w:r w:rsidRPr="00B413B4">
          <w:rPr>
            <w:rStyle w:val="Hyperlink"/>
            <w:rFonts w:ascii="Times New Roman" w:hAnsi="Times New Roman" w:cs="Times New Roman"/>
            <w:color w:val="0000FF"/>
          </w:rPr>
          <w:t>info@rma.gov.au</w:t>
        </w:r>
      </w:hyperlink>
      <w:r w:rsidRPr="00B413B4">
        <w:rPr>
          <w:rFonts w:ascii="Times New Roman" w:hAnsi="Times New Roman" w:cs="Times New Roman"/>
        </w:rPr>
        <w:t xml:space="preserve"> or posted to the address below</w:t>
      </w:r>
      <w:proofErr w:type="gramEnd"/>
      <w:r w:rsidRPr="00B413B4">
        <w:rPr>
          <w:rFonts w:ascii="Times New Roman" w:hAnsi="Times New Roman" w:cs="Times New Roman"/>
        </w:rPr>
        <w:t xml:space="preserve">.  The </w:t>
      </w:r>
      <w:r w:rsidRPr="00B413B4">
        <w:rPr>
          <w:rFonts w:ascii="Times New Roman" w:hAnsi="Times New Roman" w:cs="Times New Roman"/>
          <w:i/>
        </w:rPr>
        <w:t>RMA Submission Guidelines</w:t>
      </w:r>
      <w:r w:rsidRPr="00B413B4">
        <w:rPr>
          <w:rFonts w:ascii="Times New Roman" w:hAnsi="Times New Roman" w:cs="Times New Roman"/>
        </w:rPr>
        <w:t xml:space="preserve"> are available online for guidance.  The</w:t>
      </w:r>
      <w:r w:rsidRPr="00B413B4">
        <w:rPr>
          <w:rFonts w:ascii="Times New Roman" w:hAnsi="Times New Roman" w:cs="Times New Roman"/>
          <w:i/>
        </w:rPr>
        <w:t xml:space="preserve"> </w:t>
      </w:r>
      <w:r w:rsidRPr="00B413B4">
        <w:rPr>
          <w:rFonts w:ascii="Times New Roman" w:hAnsi="Times New Roman" w:cs="Times New Roman"/>
        </w:rPr>
        <w:t xml:space="preserve">RMA Secretariat </w:t>
      </w:r>
      <w:proofErr w:type="gramStart"/>
      <w:r w:rsidRPr="00B413B4">
        <w:rPr>
          <w:rFonts w:ascii="Times New Roman" w:hAnsi="Times New Roman" w:cs="Times New Roman"/>
        </w:rPr>
        <w:t>may be contacted</w:t>
      </w:r>
      <w:proofErr w:type="gramEnd"/>
      <w:r w:rsidRPr="00B413B4">
        <w:rPr>
          <w:rFonts w:ascii="Times New Roman" w:hAnsi="Times New Roman" w:cs="Times New Roman"/>
        </w:rPr>
        <w:t xml:space="preserve"> at the address, telephone number or email address below for further assistance.</w:t>
      </w:r>
    </w:p>
    <w:p w:rsidR="00B413B4" w:rsidRPr="00B959F6" w:rsidRDefault="00B413B4" w:rsidP="00B413B4">
      <w:pPr>
        <w:keepNext/>
        <w:spacing w:after="240" w:line="240" w:lineRule="auto"/>
        <w:jc w:val="both"/>
        <w:rPr>
          <w:rFonts w:ascii="Times New Roman" w:hAnsi="Times New Roman"/>
        </w:rPr>
      </w:pPr>
      <w:r w:rsidRPr="00B959F6">
        <w:rPr>
          <w:rFonts w:ascii="Times New Roman" w:hAnsi="Times New Roman"/>
        </w:rPr>
        <w:lastRenderedPageBreak/>
        <w:t xml:space="preserve">All submissions must be in writing and received by the Authority no later than </w:t>
      </w:r>
      <w:r>
        <w:rPr>
          <w:rFonts w:ascii="Times New Roman" w:hAnsi="Times New Roman"/>
          <w:b/>
        </w:rPr>
        <w:t>18</w:t>
      </w:r>
      <w:r w:rsidRPr="00B959F6">
        <w:rPr>
          <w:rFonts w:ascii="Times New Roman" w:hAnsi="Times New Roman"/>
          <w:b/>
        </w:rPr>
        <w:t> </w:t>
      </w:r>
      <w:r>
        <w:rPr>
          <w:rFonts w:ascii="Times New Roman" w:hAnsi="Times New Roman"/>
          <w:b/>
        </w:rPr>
        <w:t>September</w:t>
      </w:r>
      <w:r w:rsidRPr="00B959F6">
        <w:rPr>
          <w:rFonts w:ascii="Times New Roman" w:hAnsi="Times New Roman"/>
          <w:b/>
        </w:rPr>
        <w:t> 20</w:t>
      </w:r>
      <w:r>
        <w:rPr>
          <w:rFonts w:ascii="Times New Roman" w:hAnsi="Times New Roman"/>
          <w:b/>
        </w:rPr>
        <w:t>20</w:t>
      </w:r>
      <w:r w:rsidRPr="00B959F6">
        <w:rPr>
          <w:rFonts w:ascii="Times New Roman" w:hAnsi="Times New Roman"/>
        </w:rPr>
        <w:t>.</w:t>
      </w:r>
    </w:p>
    <w:p w:rsidR="00B413B4" w:rsidRDefault="00B413B4" w:rsidP="00B413B4">
      <w:pPr>
        <w:spacing w:after="120" w:line="240" w:lineRule="auto"/>
        <w:rPr>
          <w:rFonts w:ascii="Times New Roman" w:hAnsi="Times New Roman"/>
        </w:rPr>
      </w:pPr>
    </w:p>
    <w:p w:rsidR="00B413B4" w:rsidRDefault="00B413B4" w:rsidP="00B413B4">
      <w:pPr>
        <w:spacing w:after="120" w:line="240" w:lineRule="auto"/>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B413B4" w:rsidTr="008C0022">
        <w:tc>
          <w:tcPr>
            <w:tcW w:w="4106" w:type="dxa"/>
            <w:shd w:val="clear" w:color="auto" w:fill="auto"/>
          </w:tcPr>
          <w:p w:rsidR="00B413B4" w:rsidRPr="00361BE8" w:rsidRDefault="00B413B4" w:rsidP="008C0022">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B413B4" w:rsidRPr="00361BE8" w:rsidRDefault="00B413B4" w:rsidP="008C0022">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B413B4" w:rsidRPr="005E4978" w:rsidRDefault="00B413B4" w:rsidP="008C0022">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B413B4" w:rsidRPr="005E4978" w:rsidRDefault="00B413B4" w:rsidP="008C0022">
            <w:pPr>
              <w:rPr>
                <w:rFonts w:eastAsia="Calibri"/>
              </w:rPr>
            </w:pPr>
            <w:r>
              <w:rPr>
                <w:noProof/>
                <w:lang w:eastAsia="en-AU"/>
              </w:rPr>
              <w:drawing>
                <wp:inline distT="0" distB="0" distL="0" distR="0" wp14:anchorId="7B6295F8" wp14:editId="1020472E">
                  <wp:extent cx="2463800" cy="533400"/>
                  <wp:effectExtent l="0" t="0" r="0" b="0"/>
                  <wp:docPr id="3" name="Picture 3" descr="RMA -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tc>
      </w:tr>
      <w:tr w:rsidR="00B413B4" w:rsidRPr="005D464B" w:rsidTr="008C0022">
        <w:tc>
          <w:tcPr>
            <w:tcW w:w="4106" w:type="dxa"/>
            <w:shd w:val="clear" w:color="auto" w:fill="auto"/>
          </w:tcPr>
          <w:p w:rsidR="00B413B4" w:rsidRPr="005D464B" w:rsidRDefault="00B413B4" w:rsidP="008C0022">
            <w:pPr>
              <w:jc w:val="center"/>
              <w:rPr>
                <w:rFonts w:ascii="Times New Roman" w:eastAsia="Calibri" w:hAnsi="Times New Roman"/>
              </w:rPr>
            </w:pPr>
          </w:p>
        </w:tc>
        <w:tc>
          <w:tcPr>
            <w:tcW w:w="4910" w:type="dxa"/>
            <w:shd w:val="clear" w:color="auto" w:fill="auto"/>
          </w:tcPr>
          <w:p w:rsidR="00B413B4" w:rsidRPr="00361BE8" w:rsidRDefault="00B413B4" w:rsidP="008C0022">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Pr>
                <w:rFonts w:ascii="Times New Roman" w:hAnsi="Times New Roman"/>
              </w:rPr>
              <w:t>20</w:t>
            </w:r>
            <w:r w:rsidRPr="00361BE8">
              <w:rPr>
                <w:rFonts w:ascii="Times New Roman" w:hAnsi="Times New Roman"/>
              </w:rPr>
              <w:t xml:space="preserve"> / </w:t>
            </w:r>
            <w:r>
              <w:rPr>
                <w:rFonts w:ascii="Times New Roman" w:hAnsi="Times New Roman"/>
              </w:rPr>
              <w:t>4</w:t>
            </w:r>
            <w:r w:rsidRPr="00361BE8">
              <w:rPr>
                <w:rFonts w:ascii="Times New Roman" w:hAnsi="Times New Roman"/>
              </w:rPr>
              <w:t xml:space="preserve"> /</w:t>
            </w:r>
            <w:r>
              <w:rPr>
                <w:rFonts w:ascii="Times New Roman" w:hAnsi="Times New Roman"/>
              </w:rPr>
              <w:t xml:space="preserve"> 2020</w:t>
            </w:r>
          </w:p>
        </w:tc>
      </w:tr>
    </w:tbl>
    <w:p w:rsidR="00B413B4" w:rsidRDefault="00B413B4" w:rsidP="00B413B4">
      <w:pPr>
        <w:spacing w:after="120" w:line="240" w:lineRule="auto"/>
        <w:rPr>
          <w:rFonts w:ascii="Times New Roman" w:hAnsi="Times New Roman"/>
        </w:rPr>
      </w:pPr>
    </w:p>
    <w:p w:rsidR="004B2753" w:rsidRPr="00424B97" w:rsidRDefault="004B2753" w:rsidP="00424B97"/>
    <w:sectPr w:rsidR="004B2753" w:rsidRPr="00424B97" w:rsidSect="008E4F6C">
      <w:headerReference w:type="first" r:id="rId11"/>
      <w:footerReference w:type="first" r:id="rId12"/>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11" w:rsidRDefault="005C3F11" w:rsidP="005C3F11">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5C3F11" w:rsidRDefault="005C3F11" w:rsidP="005C3F11">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5C3F11" w:rsidRDefault="005C3F11" w:rsidP="005C3F11">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E1F2B"/>
    <w:rsid w:val="001C2AAD"/>
    <w:rsid w:val="001F6E54"/>
    <w:rsid w:val="00280BCD"/>
    <w:rsid w:val="003A707F"/>
    <w:rsid w:val="003B0EC1"/>
    <w:rsid w:val="003B573B"/>
    <w:rsid w:val="003F2CBD"/>
    <w:rsid w:val="00424B97"/>
    <w:rsid w:val="004B2753"/>
    <w:rsid w:val="00520873"/>
    <w:rsid w:val="00573D44"/>
    <w:rsid w:val="005C3F11"/>
    <w:rsid w:val="00665954"/>
    <w:rsid w:val="00813EEA"/>
    <w:rsid w:val="00840A06"/>
    <w:rsid w:val="008439B7"/>
    <w:rsid w:val="0087253F"/>
    <w:rsid w:val="008E4F6C"/>
    <w:rsid w:val="009539C7"/>
    <w:rsid w:val="00A00F21"/>
    <w:rsid w:val="00B413B4"/>
    <w:rsid w:val="00B84226"/>
    <w:rsid w:val="00BE7780"/>
    <w:rsid w:val="00C63C4E"/>
    <w:rsid w:val="00C72C30"/>
    <w:rsid w:val="00D229E5"/>
    <w:rsid w:val="00D77A88"/>
    <w:rsid w:val="00F03910"/>
    <w:rsid w:val="00F40885"/>
    <w:rsid w:val="00FA2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rsid w:val="005C3F11"/>
    <w:rPr>
      <w:color w:val="0563C1"/>
      <w:u w:val="single"/>
    </w:rPr>
  </w:style>
  <w:style w:type="table" w:styleId="TableGrid">
    <w:name w:val="Table Grid"/>
    <w:basedOn w:val="TableNormal"/>
    <w:rsid w:val="00B413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gov.au/investig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FBBF-6F7D-46A4-AE88-8717AEC2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PresentationFormat/>
  <Lines>22</Lines>
  <Paragraphs>6</Paragraphs>
  <ScaleCrop>false</ScaleCrop>
  <Manager/>
  <Company/>
  <LinksUpToDate>false</LinksUpToDate>
  <CharactersWithSpaces>3176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2020-04-20T04:04:00Z</dcterms:created>
  <dcterms:modified xsi:type="dcterms:W3CDTF">2020-04-20T04:05:00Z</dcterms:modified>
  <cp:category/>
  <cp:contentStatus/>
  <dc:language/>
  <cp:version/>
</cp:coreProperties>
</file>