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19D" w:rsidRDefault="008F4078">
      <w:pPr>
        <w:spacing w:after="120" w:line="240" w:lineRule="auto"/>
        <w:jc w:val="center"/>
        <w:outlineLvl w:val="0"/>
        <w:rPr>
          <w:rFonts w:ascii="Times New Roman" w:hAnsi="Times New Roman"/>
          <w:b/>
        </w:rPr>
      </w:pPr>
      <w:r>
        <w:rPr>
          <w:noProof/>
          <w:lang w:eastAsia="en-AU"/>
        </w:rPr>
        <w:drawing>
          <wp:inline distT="0" distB="0" distL="0" distR="0">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sidR="0019126D">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105" w:type="dxa"/>
        <w:tblLayout w:type="fixed"/>
        <w:tblLook w:val="04A0" w:firstRow="1" w:lastRow="0" w:firstColumn="1" w:lastColumn="0" w:noHBand="0" w:noVBand="1"/>
      </w:tblPr>
      <w:tblGrid>
        <w:gridCol w:w="4820"/>
        <w:gridCol w:w="4285"/>
      </w:tblGrid>
      <w:tr w:rsidR="009E03D2" w:rsidRPr="009E03D2" w:rsidTr="003F71C2">
        <w:trPr>
          <w:trHeight w:val="255"/>
        </w:trPr>
        <w:tc>
          <w:tcPr>
            <w:tcW w:w="4820" w:type="dxa"/>
          </w:tcPr>
          <w:p w:rsidR="009E03D2" w:rsidRPr="009E03D2" w:rsidRDefault="009E03D2" w:rsidP="001B7BA5">
            <w:pPr>
              <w:spacing w:after="0" w:line="240" w:lineRule="auto"/>
              <w:rPr>
                <w:b/>
                <w:lang w:eastAsia="en-AU"/>
              </w:rPr>
            </w:pPr>
            <w:bookmarkStart w:id="0" w:name="OLE_LINK3"/>
            <w:bookmarkStart w:id="1" w:name="OLE_LINK4"/>
            <w:r w:rsidRPr="009E03D2">
              <w:rPr>
                <w:b/>
                <w:lang w:eastAsia="en-AU"/>
              </w:rPr>
              <w:t>Condition:</w:t>
            </w:r>
          </w:p>
        </w:tc>
        <w:tc>
          <w:tcPr>
            <w:tcW w:w="4285" w:type="dxa"/>
          </w:tcPr>
          <w:p w:rsidR="009E03D2" w:rsidRPr="009E03D2" w:rsidRDefault="009E03D2" w:rsidP="001B7BA5">
            <w:pPr>
              <w:spacing w:after="0" w:line="240" w:lineRule="auto"/>
              <w:rPr>
                <w:b/>
                <w:lang w:eastAsia="en-AU"/>
              </w:rPr>
            </w:pPr>
            <w:r w:rsidRPr="009E03D2">
              <w:rPr>
                <w:b/>
                <w:lang w:eastAsia="en-AU"/>
              </w:rPr>
              <w:t>Instrument Nos.:</w:t>
            </w:r>
            <w:bookmarkStart w:id="2" w:name="_GoBack"/>
            <w:bookmarkEnd w:id="2"/>
          </w:p>
        </w:tc>
      </w:tr>
      <w:bookmarkEnd w:id="0"/>
      <w:bookmarkEnd w:id="1"/>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psoriasis </w:t>
            </w:r>
          </w:p>
        </w:tc>
        <w:tc>
          <w:tcPr>
            <w:tcW w:w="4285" w:type="dxa"/>
          </w:tcPr>
          <w:p w:rsidR="006B4D71" w:rsidRPr="0004785A" w:rsidRDefault="006B4D71" w:rsidP="001B7BA5">
            <w:pPr>
              <w:spacing w:after="0" w:line="240" w:lineRule="auto"/>
              <w:rPr>
                <w:lang w:eastAsia="en-AU"/>
              </w:rPr>
            </w:pPr>
            <w:r w:rsidRPr="0004785A">
              <w:rPr>
                <w:lang w:eastAsia="en-AU"/>
              </w:rPr>
              <w:t>31 of 2012, as amended, &amp; 32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tinnitus </w:t>
            </w:r>
          </w:p>
        </w:tc>
        <w:tc>
          <w:tcPr>
            <w:tcW w:w="4285" w:type="dxa"/>
          </w:tcPr>
          <w:p w:rsidR="006B4D71" w:rsidRPr="0004785A" w:rsidRDefault="006B4D71" w:rsidP="001B7BA5">
            <w:pPr>
              <w:spacing w:after="0" w:line="240" w:lineRule="auto"/>
              <w:rPr>
                <w:lang w:eastAsia="en-AU"/>
              </w:rPr>
            </w:pPr>
            <w:r w:rsidRPr="0004785A">
              <w:rPr>
                <w:lang w:eastAsia="en-AU"/>
              </w:rPr>
              <w:t>33 &amp; 34 of 2012, as amended</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otitic barotrauma </w:t>
            </w:r>
          </w:p>
        </w:tc>
        <w:tc>
          <w:tcPr>
            <w:tcW w:w="4285" w:type="dxa"/>
          </w:tcPr>
          <w:p w:rsidR="006B4D71" w:rsidRPr="0004785A" w:rsidRDefault="006B4D71" w:rsidP="001B7BA5">
            <w:pPr>
              <w:spacing w:after="0" w:line="240" w:lineRule="auto"/>
              <w:rPr>
                <w:lang w:eastAsia="en-AU"/>
              </w:rPr>
            </w:pPr>
            <w:r w:rsidRPr="0004785A">
              <w:rPr>
                <w:lang w:eastAsia="en-AU"/>
              </w:rPr>
              <w:t>35 &amp; 36 of 2012</w:t>
            </w:r>
          </w:p>
        </w:tc>
      </w:tr>
      <w:tr w:rsidR="006B4D71" w:rsidRPr="0004785A" w:rsidTr="003F71C2">
        <w:trPr>
          <w:trHeight w:val="255"/>
        </w:trPr>
        <w:tc>
          <w:tcPr>
            <w:tcW w:w="4820" w:type="dxa"/>
            <w:noWrap/>
            <w:hideMark/>
          </w:tcPr>
          <w:p w:rsidR="006B4D71" w:rsidRPr="008A2054" w:rsidRDefault="006B4D71" w:rsidP="001B7BA5">
            <w:pPr>
              <w:spacing w:after="0" w:line="240" w:lineRule="auto"/>
              <w:rPr>
                <w:lang w:eastAsia="en-AU"/>
              </w:rPr>
            </w:pPr>
            <w:r w:rsidRPr="008A2054">
              <w:rPr>
                <w:lang w:eastAsia="en-AU"/>
              </w:rPr>
              <w:t xml:space="preserve">carotid arterial disease </w:t>
            </w:r>
          </w:p>
        </w:tc>
        <w:tc>
          <w:tcPr>
            <w:tcW w:w="4285" w:type="dxa"/>
          </w:tcPr>
          <w:p w:rsidR="006B4D71" w:rsidRPr="0004785A" w:rsidRDefault="006B4D71" w:rsidP="001B7BA5">
            <w:pPr>
              <w:spacing w:after="0" w:line="240" w:lineRule="auto"/>
              <w:rPr>
                <w:lang w:eastAsia="en-AU"/>
              </w:rPr>
            </w:pPr>
            <w:r w:rsidRPr="0004785A">
              <w:rPr>
                <w:lang w:eastAsia="en-AU"/>
              </w:rPr>
              <w:t>37 &amp; 38 of 2012, as amended</w:t>
            </w:r>
          </w:p>
        </w:tc>
      </w:tr>
      <w:tr w:rsidR="006B4D71" w:rsidRPr="0004785A" w:rsidTr="003F71C2">
        <w:trPr>
          <w:trHeight w:val="255"/>
        </w:trPr>
        <w:tc>
          <w:tcPr>
            <w:tcW w:w="4820" w:type="dxa"/>
            <w:noWrap/>
            <w:hideMark/>
          </w:tcPr>
          <w:p w:rsidR="006B4D71" w:rsidRPr="008A2054" w:rsidRDefault="006B4D71" w:rsidP="001B7BA5">
            <w:pPr>
              <w:spacing w:after="0" w:line="240" w:lineRule="auto"/>
              <w:rPr>
                <w:lang w:eastAsia="en-AU"/>
              </w:rPr>
            </w:pPr>
            <w:r w:rsidRPr="008A2054">
              <w:rPr>
                <w:lang w:eastAsia="en-AU"/>
              </w:rPr>
              <w:t>malignant neoplasm of the cervix</w:t>
            </w:r>
          </w:p>
        </w:tc>
        <w:tc>
          <w:tcPr>
            <w:tcW w:w="4285" w:type="dxa"/>
          </w:tcPr>
          <w:p w:rsidR="006B4D71" w:rsidRPr="0004785A" w:rsidRDefault="006B4D71" w:rsidP="001B7BA5">
            <w:pPr>
              <w:spacing w:after="0" w:line="240" w:lineRule="auto"/>
              <w:rPr>
                <w:lang w:eastAsia="en-AU"/>
              </w:rPr>
            </w:pPr>
            <w:r w:rsidRPr="0004785A">
              <w:rPr>
                <w:lang w:eastAsia="en-AU"/>
              </w:rPr>
              <w:t>39 &amp; 40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endometriosis</w:t>
            </w:r>
          </w:p>
        </w:tc>
        <w:tc>
          <w:tcPr>
            <w:tcW w:w="4285" w:type="dxa"/>
          </w:tcPr>
          <w:p w:rsidR="006B4D71" w:rsidRPr="0004785A" w:rsidRDefault="006B4D71" w:rsidP="001B7BA5">
            <w:pPr>
              <w:spacing w:after="0" w:line="240" w:lineRule="auto"/>
              <w:rPr>
                <w:lang w:eastAsia="en-AU"/>
              </w:rPr>
            </w:pPr>
            <w:r w:rsidRPr="0004785A">
              <w:rPr>
                <w:lang w:eastAsia="en-AU"/>
              </w:rPr>
              <w:t>41 &amp; 42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porphyria </w:t>
            </w:r>
            <w:r w:rsidRPr="0004785A">
              <w:rPr>
                <w:lang w:eastAsia="en-AU"/>
              </w:rPr>
              <w:t>cutanea</w:t>
            </w:r>
            <w:r w:rsidRPr="008A2054">
              <w:rPr>
                <w:lang w:eastAsia="en-AU"/>
              </w:rPr>
              <w:t xml:space="preserve"> tarda</w:t>
            </w:r>
          </w:p>
        </w:tc>
        <w:tc>
          <w:tcPr>
            <w:tcW w:w="4285" w:type="dxa"/>
          </w:tcPr>
          <w:p w:rsidR="006B4D71" w:rsidRPr="0004785A" w:rsidRDefault="006B4D71" w:rsidP="001B7BA5">
            <w:pPr>
              <w:spacing w:after="0" w:line="240" w:lineRule="auto"/>
              <w:rPr>
                <w:lang w:eastAsia="en-AU"/>
              </w:rPr>
            </w:pPr>
            <w:r w:rsidRPr="0004785A">
              <w:rPr>
                <w:lang w:eastAsia="en-AU"/>
              </w:rPr>
              <w:t>43 &amp; 44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pes planus</w:t>
            </w:r>
          </w:p>
        </w:tc>
        <w:tc>
          <w:tcPr>
            <w:tcW w:w="4285" w:type="dxa"/>
          </w:tcPr>
          <w:p w:rsidR="006B4D71" w:rsidRPr="0004785A" w:rsidRDefault="006B4D71" w:rsidP="001B7BA5">
            <w:pPr>
              <w:spacing w:after="0" w:line="240" w:lineRule="auto"/>
              <w:rPr>
                <w:lang w:eastAsia="en-AU"/>
              </w:rPr>
            </w:pPr>
            <w:r w:rsidRPr="0004785A">
              <w:rPr>
                <w:lang w:eastAsia="en-AU"/>
              </w:rPr>
              <w:t>45 &amp; 46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physical injury due to munitions discharge</w:t>
            </w:r>
          </w:p>
        </w:tc>
        <w:tc>
          <w:tcPr>
            <w:tcW w:w="4285" w:type="dxa"/>
          </w:tcPr>
          <w:p w:rsidR="006B4D71" w:rsidRPr="0004785A" w:rsidRDefault="006B4D71" w:rsidP="001B7BA5">
            <w:pPr>
              <w:spacing w:after="0" w:line="240" w:lineRule="auto"/>
              <w:rPr>
                <w:lang w:eastAsia="en-AU"/>
              </w:rPr>
            </w:pPr>
            <w:r w:rsidRPr="0004785A">
              <w:rPr>
                <w:lang w:eastAsia="en-AU"/>
              </w:rPr>
              <w:t>48 &amp; 49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aplastic anaemia </w:t>
            </w:r>
          </w:p>
        </w:tc>
        <w:tc>
          <w:tcPr>
            <w:tcW w:w="4285" w:type="dxa"/>
          </w:tcPr>
          <w:p w:rsidR="006B4D71" w:rsidRPr="0004785A" w:rsidRDefault="006B4D71" w:rsidP="001B7BA5">
            <w:pPr>
              <w:spacing w:after="0" w:line="240" w:lineRule="auto"/>
              <w:rPr>
                <w:lang w:eastAsia="en-AU"/>
              </w:rPr>
            </w:pPr>
            <w:r w:rsidRPr="0004785A">
              <w:rPr>
                <w:lang w:eastAsia="en-AU"/>
              </w:rPr>
              <w:t>50 &amp; 51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mesangial IgA glomerulonephritis</w:t>
            </w:r>
          </w:p>
        </w:tc>
        <w:tc>
          <w:tcPr>
            <w:tcW w:w="4285" w:type="dxa"/>
          </w:tcPr>
          <w:p w:rsidR="006B4D71" w:rsidRPr="0004785A" w:rsidRDefault="006B4D71" w:rsidP="001B7BA5">
            <w:pPr>
              <w:spacing w:after="0" w:line="240" w:lineRule="auto"/>
              <w:rPr>
                <w:lang w:eastAsia="en-AU"/>
              </w:rPr>
            </w:pPr>
            <w:r w:rsidRPr="0004785A">
              <w:rPr>
                <w:lang w:eastAsia="en-AU"/>
              </w:rPr>
              <w:t>52 &amp; 53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deep vein thrombosis</w:t>
            </w:r>
          </w:p>
        </w:tc>
        <w:tc>
          <w:tcPr>
            <w:tcW w:w="4285" w:type="dxa"/>
          </w:tcPr>
          <w:p w:rsidR="006B4D71" w:rsidRPr="0004785A" w:rsidRDefault="006B4D71" w:rsidP="001B7BA5">
            <w:pPr>
              <w:spacing w:after="0" w:line="240" w:lineRule="auto"/>
              <w:rPr>
                <w:lang w:eastAsia="en-AU"/>
              </w:rPr>
            </w:pPr>
            <w:r w:rsidRPr="0004785A">
              <w:rPr>
                <w:lang w:eastAsia="en-AU"/>
              </w:rPr>
              <w:t>54 &amp; 55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pulmonary thromboembolism</w:t>
            </w:r>
          </w:p>
        </w:tc>
        <w:tc>
          <w:tcPr>
            <w:tcW w:w="4285" w:type="dxa"/>
          </w:tcPr>
          <w:p w:rsidR="006B4D71" w:rsidRPr="0004785A" w:rsidRDefault="006B4D71" w:rsidP="001B7BA5">
            <w:pPr>
              <w:spacing w:after="0" w:line="240" w:lineRule="auto"/>
              <w:rPr>
                <w:lang w:eastAsia="en-AU"/>
              </w:rPr>
            </w:pPr>
            <w:r w:rsidRPr="0004785A">
              <w:rPr>
                <w:lang w:eastAsia="en-AU"/>
              </w:rPr>
              <w:t>56 &amp; 57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otitis externa </w:t>
            </w:r>
          </w:p>
        </w:tc>
        <w:tc>
          <w:tcPr>
            <w:tcW w:w="4285" w:type="dxa"/>
          </w:tcPr>
          <w:p w:rsidR="006B4D71" w:rsidRPr="0004785A" w:rsidRDefault="006B4D71" w:rsidP="001B7BA5">
            <w:pPr>
              <w:spacing w:after="0" w:line="240" w:lineRule="auto"/>
              <w:rPr>
                <w:lang w:eastAsia="en-AU"/>
              </w:rPr>
            </w:pPr>
            <w:r w:rsidRPr="0004785A">
              <w:rPr>
                <w:lang w:eastAsia="en-AU"/>
              </w:rPr>
              <w:t>58 &amp; 59 of 2012</w:t>
            </w:r>
          </w:p>
        </w:tc>
      </w:tr>
      <w:tr w:rsidR="006B4D71" w:rsidRPr="0004785A" w:rsidTr="003F71C2">
        <w:trPr>
          <w:trHeight w:val="255"/>
        </w:trPr>
        <w:tc>
          <w:tcPr>
            <w:tcW w:w="4820" w:type="dxa"/>
            <w:hideMark/>
          </w:tcPr>
          <w:p w:rsidR="006B4D71" w:rsidRPr="008A2054" w:rsidRDefault="006B4D71" w:rsidP="001B7BA5">
            <w:pPr>
              <w:spacing w:after="0" w:line="240" w:lineRule="auto"/>
              <w:rPr>
                <w:lang w:eastAsia="en-AU"/>
              </w:rPr>
            </w:pPr>
            <w:r w:rsidRPr="008A2054">
              <w:rPr>
                <w:lang w:eastAsia="en-AU"/>
              </w:rPr>
              <w:t xml:space="preserve">asthma </w:t>
            </w:r>
          </w:p>
        </w:tc>
        <w:tc>
          <w:tcPr>
            <w:tcW w:w="4285" w:type="dxa"/>
          </w:tcPr>
          <w:p w:rsidR="006B4D71" w:rsidRPr="0004785A" w:rsidRDefault="006B4D71" w:rsidP="001B7BA5">
            <w:pPr>
              <w:spacing w:after="0" w:line="240" w:lineRule="auto"/>
              <w:rPr>
                <w:lang w:eastAsia="en-AU"/>
              </w:rPr>
            </w:pPr>
            <w:r w:rsidRPr="0004785A">
              <w:rPr>
                <w:lang w:eastAsia="en-AU"/>
              </w:rPr>
              <w:t>60 &amp; 61 of 2012</w:t>
            </w:r>
          </w:p>
        </w:tc>
      </w:tr>
    </w:tbl>
    <w:p w:rsidR="008F4078" w:rsidRPr="008F4078" w:rsidRDefault="008F4078" w:rsidP="00FA67DE">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0E1947" w:rsidRDefault="008F4078" w:rsidP="004738AB">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sidR="000E1947">
        <w:rPr>
          <w:rFonts w:ascii="Times New Roman" w:hAnsi="Times New Roman"/>
        </w:rPr>
        <w:t>a</w:t>
      </w:r>
      <w:proofErr w:type="gramEnd"/>
      <w:r w:rsidR="000E1947">
        <w:rPr>
          <w:rFonts w:ascii="Times New Roman" w:hAnsi="Times New Roman"/>
        </w:rPr>
        <w:t xml:space="preserve"> person eligible to make a claim for pension under Part II or Part IV of the VEA;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0E1947" w:rsidRDefault="000E1947" w:rsidP="004738AB">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0E1947" w:rsidRDefault="000E1947" w:rsidP="000E1947">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B56DFE" w:rsidRPr="00B959F6" w:rsidRDefault="008F4078" w:rsidP="00646133">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w:t>
      </w:r>
      <w:r w:rsidR="004063E3">
        <w:rPr>
          <w:rFonts w:ascii="Times New Roman" w:hAnsi="Times New Roman"/>
        </w:rPr>
        <w:t>i</w:t>
      </w:r>
      <w:r w:rsidR="000C749A" w:rsidRPr="00B959F6">
        <w:rPr>
          <w:rFonts w:ascii="Times New Roman" w:hAnsi="Times New Roman"/>
        </w:rPr>
        <w:t xml:space="preserve">n </w:t>
      </w:r>
      <w:r w:rsidR="004063E3">
        <w:rPr>
          <w:rFonts w:ascii="Times New Roman" w:hAnsi="Times New Roman"/>
          <w:b/>
        </w:rPr>
        <w:t>February</w:t>
      </w:r>
      <w:r w:rsidR="00692237" w:rsidRPr="00B959F6">
        <w:rPr>
          <w:rFonts w:ascii="Times New Roman" w:hAnsi="Times New Roman"/>
          <w:b/>
        </w:rPr>
        <w:t> </w:t>
      </w:r>
      <w:r w:rsidR="00F64146" w:rsidRPr="00B959F6">
        <w:rPr>
          <w:rFonts w:ascii="Times New Roman" w:hAnsi="Times New Roman"/>
          <w:b/>
        </w:rPr>
        <w:t>20</w:t>
      </w:r>
      <w:r w:rsidR="006B4D71">
        <w:rPr>
          <w:rFonts w:ascii="Times New Roman" w:hAnsi="Times New Roman"/>
          <w:b/>
        </w:rPr>
        <w:t>20</w:t>
      </w:r>
      <w:r w:rsidRPr="00B959F6">
        <w:rPr>
          <w:rFonts w:ascii="Times New Roman" w:hAnsi="Times New Roman"/>
        </w:rPr>
        <w:t>.</w:t>
      </w:r>
    </w:p>
    <w:p w:rsidR="00646133" w:rsidRPr="00B959F6" w:rsidRDefault="008F4078" w:rsidP="001056A1">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r w:rsidR="00D95364" w:rsidRPr="00B959F6">
        <w:rPr>
          <w:rFonts w:ascii="Times New Roman" w:hAnsi="Times New Roman"/>
        </w:rPr>
        <w:t xml:space="preserve"> </w:t>
      </w:r>
    </w:p>
    <w:p w:rsidR="00A620CA" w:rsidRPr="00B959F6" w:rsidRDefault="00A620CA" w:rsidP="00453FF9">
      <w:pPr>
        <w:keepNext/>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00FE46D9" w:rsidRPr="00B959F6">
          <w:rPr>
            <w:rStyle w:val="Hyperlink"/>
            <w:rFonts w:ascii="Times New Roman" w:hAnsi="Times New Roman"/>
            <w:color w:val="0070C0"/>
          </w:rPr>
          <w:t>http://www.rma.gov.au/investigations/</w:t>
        </w:r>
      </w:hyperlink>
      <w:r w:rsidR="00FE46D9" w:rsidRPr="00B959F6">
        <w:rPr>
          <w:rFonts w:ascii="Times New Roman" w:hAnsi="Times New Roman"/>
        </w:rPr>
        <w:t xml:space="preserve"> </w:t>
      </w:r>
      <w:r w:rsidRPr="00B959F6">
        <w:rPr>
          <w:rFonts w:ascii="Times New Roman" w:hAnsi="Times New Roman"/>
        </w:rPr>
        <w:t>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 xml:space="preserve">RMA </w:t>
      </w:r>
      <w:r w:rsidRPr="00B959F6">
        <w:rPr>
          <w:rFonts w:ascii="Times New Roman" w:hAnsi="Times New Roman"/>
          <w:i/>
        </w:rPr>
        <w:lastRenderedPageBreak/>
        <w:t>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8F4078" w:rsidRPr="00B959F6" w:rsidRDefault="008F4078" w:rsidP="001056A1">
      <w:pPr>
        <w:keepNext/>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4063E3">
        <w:rPr>
          <w:rFonts w:ascii="Times New Roman" w:hAnsi="Times New Roman"/>
          <w:b/>
        </w:rPr>
        <w:t>24</w:t>
      </w:r>
      <w:r w:rsidRPr="00B959F6">
        <w:rPr>
          <w:rFonts w:ascii="Times New Roman" w:hAnsi="Times New Roman"/>
          <w:b/>
        </w:rPr>
        <w:t> </w:t>
      </w:r>
      <w:r w:rsidR="004063E3">
        <w:rPr>
          <w:rFonts w:ascii="Times New Roman" w:hAnsi="Times New Roman"/>
          <w:b/>
        </w:rPr>
        <w:t>January</w:t>
      </w:r>
      <w:r w:rsidR="000317D5" w:rsidRPr="00B959F6">
        <w:rPr>
          <w:rFonts w:ascii="Times New Roman" w:hAnsi="Times New Roman"/>
          <w:b/>
        </w:rPr>
        <w:t> </w:t>
      </w:r>
      <w:r w:rsidRPr="00B959F6">
        <w:rPr>
          <w:rFonts w:ascii="Times New Roman" w:hAnsi="Times New Roman"/>
          <w:b/>
        </w:rPr>
        <w:t>20</w:t>
      </w:r>
      <w:r w:rsidR="006B4D71">
        <w:rPr>
          <w:rFonts w:ascii="Times New Roman" w:hAnsi="Times New Roman"/>
          <w:b/>
        </w:rPr>
        <w:t>20</w:t>
      </w:r>
      <w:r w:rsidRPr="00B959F6">
        <w:rPr>
          <w:rFonts w:ascii="Times New Roman" w:hAnsi="Times New Roman"/>
        </w:rPr>
        <w:t>.</w:t>
      </w:r>
    </w:p>
    <w:p w:rsidR="00646133" w:rsidRDefault="00646133" w:rsidP="00646133">
      <w:pPr>
        <w:spacing w:after="120" w:line="240" w:lineRule="auto"/>
        <w:rPr>
          <w:rFonts w:ascii="Times New Roman" w:hAnsi="Times New Roman"/>
        </w:rPr>
      </w:pPr>
    </w:p>
    <w:p w:rsidR="00646133" w:rsidRDefault="00646133" w:rsidP="00646133">
      <w:pPr>
        <w:spacing w:after="120" w:line="240" w:lineRule="auto"/>
        <w:rPr>
          <w:rFonts w:ascii="Times New Roman" w:hAnsi="Times New Roman"/>
        </w:rPr>
      </w:pPr>
    </w:p>
    <w:tbl>
      <w:tblPr>
        <w:tblW w:w="0" w:type="auto"/>
        <w:tblLayout w:type="fixed"/>
        <w:tblLook w:val="04A0" w:firstRow="1" w:lastRow="0" w:firstColumn="1" w:lastColumn="0" w:noHBand="0" w:noVBand="1"/>
      </w:tblPr>
      <w:tblGrid>
        <w:gridCol w:w="4106"/>
        <w:gridCol w:w="4910"/>
      </w:tblGrid>
      <w:tr w:rsidR="00646133" w:rsidTr="00FB0C10">
        <w:tc>
          <w:tcPr>
            <w:tcW w:w="4106" w:type="dxa"/>
            <w:shd w:val="clear" w:color="auto" w:fill="auto"/>
          </w:tcPr>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646133" w:rsidRPr="00361BE8" w:rsidRDefault="00646133" w:rsidP="00FB0C10">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646133" w:rsidRPr="005E4978" w:rsidRDefault="00646133" w:rsidP="00FB0C10">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646133" w:rsidRPr="005E4978" w:rsidRDefault="003332F9" w:rsidP="00FB0C10">
            <w:pPr>
              <w:rPr>
                <w:rFonts w:eastAsia="Calibri"/>
              </w:rPr>
            </w:pPr>
            <w:r w:rsidRPr="003D2444">
              <w:rPr>
                <w:noProof/>
                <w:lang w:eastAsia="en-AU"/>
              </w:rPr>
              <w:drawing>
                <wp:inline distT="0" distB="0" distL="0" distR="0" wp14:anchorId="66DFCD2D" wp14:editId="32CF177B">
                  <wp:extent cx="2463800" cy="533400"/>
                  <wp:effectExtent l="0" t="0" r="0" b="0"/>
                  <wp:docPr id="3" name="Picture 3" descr="RMA - Chairper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tc>
      </w:tr>
      <w:tr w:rsidR="00646133" w:rsidRPr="005D464B" w:rsidTr="00FB0C10">
        <w:tc>
          <w:tcPr>
            <w:tcW w:w="4106" w:type="dxa"/>
            <w:shd w:val="clear" w:color="auto" w:fill="auto"/>
          </w:tcPr>
          <w:p w:rsidR="00646133" w:rsidRPr="005D464B" w:rsidRDefault="00646133" w:rsidP="00FB0C10">
            <w:pPr>
              <w:jc w:val="center"/>
              <w:rPr>
                <w:rFonts w:ascii="Times New Roman" w:eastAsia="Calibri" w:hAnsi="Times New Roman"/>
              </w:rPr>
            </w:pPr>
          </w:p>
        </w:tc>
        <w:tc>
          <w:tcPr>
            <w:tcW w:w="4910" w:type="dxa"/>
            <w:shd w:val="clear" w:color="auto" w:fill="auto"/>
          </w:tcPr>
          <w:p w:rsidR="00646133" w:rsidRPr="00361BE8" w:rsidRDefault="00646133" w:rsidP="004063E3">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NICHOLAS SAUNDERS AO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4063E3">
              <w:rPr>
                <w:rFonts w:ascii="Times New Roman" w:hAnsi="Times New Roman"/>
              </w:rPr>
              <w:t>18</w:t>
            </w:r>
            <w:r w:rsidRPr="00361BE8">
              <w:rPr>
                <w:rFonts w:ascii="Times New Roman" w:hAnsi="Times New Roman"/>
              </w:rPr>
              <w:t xml:space="preserve"> / </w:t>
            </w:r>
            <w:r w:rsidR="006B4D71">
              <w:rPr>
                <w:rFonts w:ascii="Times New Roman" w:hAnsi="Times New Roman"/>
              </w:rPr>
              <w:t>10</w:t>
            </w:r>
            <w:r w:rsidRPr="00361BE8">
              <w:rPr>
                <w:rFonts w:ascii="Times New Roman" w:hAnsi="Times New Roman"/>
              </w:rPr>
              <w:t xml:space="preserve"> /</w:t>
            </w:r>
            <w:r>
              <w:rPr>
                <w:rFonts w:ascii="Times New Roman" w:hAnsi="Times New Roman"/>
              </w:rPr>
              <w:t xml:space="preserve"> 201</w:t>
            </w:r>
            <w:r w:rsidR="00530177">
              <w:rPr>
                <w:rFonts w:ascii="Times New Roman" w:hAnsi="Times New Roman"/>
              </w:rPr>
              <w:t>9</w:t>
            </w:r>
          </w:p>
        </w:tc>
      </w:tr>
    </w:tbl>
    <w:p w:rsidR="008F4078" w:rsidRPr="001056A1" w:rsidRDefault="008F4078" w:rsidP="00646133">
      <w:pPr>
        <w:spacing w:after="120" w:line="240" w:lineRule="auto"/>
        <w:rPr>
          <w:rFonts w:ascii="Times New Roman" w:hAnsi="Times New Roman"/>
        </w:rPr>
      </w:pPr>
    </w:p>
    <w:sectPr w:rsidR="008F4078" w:rsidRPr="001056A1" w:rsidSect="00692237">
      <w:footerReference w:type="default" r:id="rId10"/>
      <w:headerReference w:type="first" r:id="rId11"/>
      <w:footerReference w:type="first" r:id="rId12"/>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A9D" w:rsidRDefault="00A40A9D">
      <w:pPr>
        <w:spacing w:after="0" w:line="240" w:lineRule="auto"/>
      </w:pPr>
      <w:r>
        <w:separator/>
      </w:r>
    </w:p>
  </w:endnote>
  <w:endnote w:type="continuationSeparator" w:id="0">
    <w:p w:rsidR="00A40A9D" w:rsidRDefault="00A4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Repatriation Medical Authority</w:t>
    </w:r>
  </w:p>
  <w:p w:rsidR="00FE46D9" w:rsidRPr="00FE46D9" w:rsidRDefault="00FE46D9" w:rsidP="00FE46D9">
    <w:pPr>
      <w:pStyle w:val="Footer"/>
      <w:jc w:val="center"/>
      <w:rPr>
        <w:rFonts w:ascii="Times New Roman" w:hAnsi="Times New Roman"/>
        <w:b/>
        <w:i/>
        <w:sz w:val="20"/>
        <w:szCs w:val="20"/>
      </w:rPr>
    </w:pPr>
    <w:r w:rsidRPr="00FE46D9">
      <w:rPr>
        <w:rFonts w:ascii="Times New Roman" w:hAnsi="Times New Roman"/>
        <w:b/>
        <w:i/>
        <w:sz w:val="20"/>
        <w:szCs w:val="20"/>
      </w:rPr>
      <w:t>GPO Box 1014, Brisbane, Qld 4001</w:t>
    </w:r>
  </w:p>
  <w:p w:rsidR="000C749A" w:rsidRPr="00FE46D9" w:rsidRDefault="00FE46D9" w:rsidP="00FE46D9">
    <w:pPr>
      <w:pStyle w:val="Footer"/>
      <w:jc w:val="center"/>
    </w:pPr>
    <w:r w:rsidRPr="00FE46D9">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A9D" w:rsidRDefault="00A40A9D">
      <w:pPr>
        <w:spacing w:after="0" w:line="240" w:lineRule="auto"/>
      </w:pPr>
      <w:r>
        <w:separator/>
      </w:r>
    </w:p>
  </w:footnote>
  <w:footnote w:type="continuationSeparator" w:id="0">
    <w:p w:rsidR="00A40A9D" w:rsidRDefault="00A4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Description w:val="Australian Government Coat of Arms - Government Gazette Notices"/>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17D5"/>
    <w:rsid w:val="00042EA6"/>
    <w:rsid w:val="00077FBA"/>
    <w:rsid w:val="000C749A"/>
    <w:rsid w:val="000E1947"/>
    <w:rsid w:val="001056A1"/>
    <w:rsid w:val="0019126D"/>
    <w:rsid w:val="00265BED"/>
    <w:rsid w:val="00276157"/>
    <w:rsid w:val="002A129D"/>
    <w:rsid w:val="002B0BD3"/>
    <w:rsid w:val="0032084F"/>
    <w:rsid w:val="003332F9"/>
    <w:rsid w:val="003846B1"/>
    <w:rsid w:val="00393E76"/>
    <w:rsid w:val="003D1509"/>
    <w:rsid w:val="003F0EE1"/>
    <w:rsid w:val="003F13CE"/>
    <w:rsid w:val="003F71C2"/>
    <w:rsid w:val="004063E3"/>
    <w:rsid w:val="00453FF9"/>
    <w:rsid w:val="0046105D"/>
    <w:rsid w:val="0047256A"/>
    <w:rsid w:val="004738AB"/>
    <w:rsid w:val="004E71EA"/>
    <w:rsid w:val="00530177"/>
    <w:rsid w:val="00580170"/>
    <w:rsid w:val="00646133"/>
    <w:rsid w:val="006577D1"/>
    <w:rsid w:val="00692237"/>
    <w:rsid w:val="006B4D71"/>
    <w:rsid w:val="007409C1"/>
    <w:rsid w:val="00772C2A"/>
    <w:rsid w:val="008D118E"/>
    <w:rsid w:val="008F4078"/>
    <w:rsid w:val="009341B9"/>
    <w:rsid w:val="009A0F87"/>
    <w:rsid w:val="009E03D2"/>
    <w:rsid w:val="00A40A9D"/>
    <w:rsid w:val="00A620CA"/>
    <w:rsid w:val="00A831EA"/>
    <w:rsid w:val="00B56DFE"/>
    <w:rsid w:val="00B577E4"/>
    <w:rsid w:val="00B939D4"/>
    <w:rsid w:val="00B959F6"/>
    <w:rsid w:val="00BB1EAE"/>
    <w:rsid w:val="00C52127"/>
    <w:rsid w:val="00C62889"/>
    <w:rsid w:val="00C71187"/>
    <w:rsid w:val="00D01316"/>
    <w:rsid w:val="00D95364"/>
    <w:rsid w:val="00E50053"/>
    <w:rsid w:val="00EB5101"/>
    <w:rsid w:val="00EC319D"/>
    <w:rsid w:val="00EF0818"/>
    <w:rsid w:val="00F64146"/>
    <w:rsid w:val="00FA67DE"/>
    <w:rsid w:val="00FB1B82"/>
    <w:rsid w:val="00FE4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53FE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 w:type="paragraph" w:styleId="ListParagraph">
    <w:name w:val="List Paragraph"/>
    <w:basedOn w:val="Normal"/>
    <w:uiPriority w:val="34"/>
    <w:qFormat/>
    <w:rsid w:val="00530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8133">
      <w:bodyDiv w:val="1"/>
      <w:marLeft w:val="0"/>
      <w:marRight w:val="0"/>
      <w:marTop w:val="0"/>
      <w:marBottom w:val="0"/>
      <w:divBdr>
        <w:top w:val="none" w:sz="0" w:space="0" w:color="auto"/>
        <w:left w:val="none" w:sz="0" w:space="0" w:color="auto"/>
        <w:bottom w:val="none" w:sz="0" w:space="0" w:color="auto"/>
        <w:right w:val="none" w:sz="0" w:space="0" w:color="auto"/>
      </w:divBdr>
    </w:div>
    <w:div w:id="4507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D1325-0DDB-4C1F-A3B9-49593EFB188A}"/>
</file>

<file path=customXml/itemProps2.xml><?xml version="1.0" encoding="utf-8"?>
<ds:datastoreItem xmlns:ds="http://schemas.openxmlformats.org/officeDocument/2006/customXml" ds:itemID="{6A54844E-580A-4950-A35C-BE5053B1D719}"/>
</file>

<file path=customXml/itemProps3.xml><?xml version="1.0" encoding="utf-8"?>
<ds:datastoreItem xmlns:ds="http://schemas.openxmlformats.org/officeDocument/2006/customXml" ds:itemID="{78E762D7-7B8C-4B8C-BE6E-DF0C46F643C4}"/>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2019-10-02T03:21:00Z</dcterms:created>
  <dcterms:modified xsi:type="dcterms:W3CDTF">2019-10-21T23:20:00Z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