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7F3EF0" w:rsidRPr="005269D2">
        <w:rPr>
          <w:rFonts w:ascii="Times New Roman" w:hAnsi="Times New Roman"/>
          <w:b/>
        </w:rPr>
        <w:t>the definition</w:t>
      </w:r>
      <w:r w:rsidRPr="005269D2">
        <w:rPr>
          <w:rFonts w:ascii="Times New Roman" w:hAnsi="Times New Roman"/>
          <w:b/>
        </w:rPr>
        <w:t xml:space="preserve"> </w:t>
      </w:r>
      <w:r w:rsidR="00C916E3" w:rsidRPr="005269D2">
        <w:rPr>
          <w:rFonts w:ascii="Times New Roman" w:hAnsi="Times New Roman"/>
          <w:b/>
        </w:rPr>
        <w:t>of</w:t>
      </w:r>
      <w:r w:rsidRPr="005269D2">
        <w:rPr>
          <w:rFonts w:ascii="Times New Roman" w:hAnsi="Times New Roman"/>
          <w:b/>
        </w:rPr>
        <w:t xml:space="preserve"> </w:t>
      </w:r>
      <w:r w:rsidR="00C0696D" w:rsidRPr="005269D2">
        <w:rPr>
          <w:rFonts w:ascii="Times New Roman" w:hAnsi="Times New Roman"/>
          <w:b/>
        </w:rPr>
        <w:t>migraine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 of Principles Instrument No</w:t>
      </w:r>
      <w:r w:rsidR="007F3EF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C0696D">
        <w:rPr>
          <w:rFonts w:ascii="Times New Roman" w:hAnsi="Times New Roman"/>
        </w:rPr>
        <w:t>7</w:t>
      </w:r>
      <w:r w:rsidR="007F3EF0">
        <w:rPr>
          <w:rFonts w:ascii="Times New Roman" w:hAnsi="Times New Roman"/>
        </w:rPr>
        <w:t xml:space="preserve"> and </w:t>
      </w:r>
      <w:r w:rsidR="00C0696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of </w:t>
      </w:r>
      <w:r w:rsidR="0065020F">
        <w:rPr>
          <w:rFonts w:ascii="Times New Roman" w:hAnsi="Times New Roman"/>
        </w:rPr>
        <w:t>201</w:t>
      </w:r>
      <w:r w:rsidR="00C0696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concerning </w:t>
      </w:r>
      <w:r w:rsidR="00C0696D">
        <w:rPr>
          <w:rFonts w:ascii="Times New Roman" w:hAnsi="Times New Roman"/>
          <w:b/>
        </w:rPr>
        <w:t>migraine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7046EA">
        <w:rPr>
          <w:rFonts w:ascii="Times New Roman" w:hAnsi="Times New Roman"/>
          <w:b/>
        </w:rPr>
        <w:t>3 December</w:t>
      </w:r>
      <w:r w:rsidR="0065020F">
        <w:rPr>
          <w:rFonts w:ascii="Times New Roman" w:hAnsi="Times New Roman"/>
          <w:b/>
        </w:rPr>
        <w:t xml:space="preserve"> 2019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7046EA">
        <w:rPr>
          <w:rFonts w:ascii="Times New Roman" w:hAnsi="Times New Roman"/>
          <w:b/>
        </w:rPr>
        <w:t>18 November</w:t>
      </w:r>
      <w:r w:rsidR="0065020F">
        <w:rPr>
          <w:rFonts w:ascii="Times New Roman" w:hAnsi="Times New Roman"/>
          <w:b/>
        </w:rPr>
        <w:t xml:space="preserve"> 2019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82505B" w:rsidP="000C2BCE">
            <w:pPr>
              <w:rPr>
                <w:rFonts w:eastAsia="Calibri"/>
              </w:rPr>
            </w:pPr>
            <w:r w:rsidRPr="003D2444">
              <w:rPr>
                <w:noProof/>
                <w:lang w:eastAsia="en-AU"/>
              </w:rPr>
              <w:drawing>
                <wp:inline distT="0" distB="0" distL="0" distR="0">
                  <wp:extent cx="2463800" cy="533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C0696D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C0696D">
              <w:rPr>
                <w:rFonts w:ascii="Times New Roman" w:hAnsi="Times New Roman"/>
              </w:rPr>
              <w:t>23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0696D">
              <w:rPr>
                <w:rFonts w:ascii="Times New Roman" w:hAnsi="Times New Roman"/>
              </w:rPr>
              <w:t>8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65020F">
              <w:rPr>
                <w:rFonts w:ascii="Times New Roman" w:hAnsi="Times New Roman"/>
              </w:rPr>
              <w:t>2019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2179D2"/>
    <w:rsid w:val="0022652F"/>
    <w:rsid w:val="00377D60"/>
    <w:rsid w:val="00501CE3"/>
    <w:rsid w:val="005152E7"/>
    <w:rsid w:val="005269D2"/>
    <w:rsid w:val="00567FAE"/>
    <w:rsid w:val="0065020F"/>
    <w:rsid w:val="007046EA"/>
    <w:rsid w:val="007F3EF0"/>
    <w:rsid w:val="0082505B"/>
    <w:rsid w:val="0098363B"/>
    <w:rsid w:val="00992374"/>
    <w:rsid w:val="009A1634"/>
    <w:rsid w:val="009A69B2"/>
    <w:rsid w:val="009C07B3"/>
    <w:rsid w:val="00AB2F70"/>
    <w:rsid w:val="00C0696D"/>
    <w:rsid w:val="00C916E3"/>
    <w:rsid w:val="00D954AF"/>
    <w:rsid w:val="00D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2019-08-08T04:24:00Z</dcterms:created>
  <dcterms:modified xsi:type="dcterms:W3CDTF">2019-08-21T04:05:00Z</dcterms:modified>
</cp:coreProperties>
</file>