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9D" w:rsidRDefault="008F4078">
      <w:pPr>
        <w:spacing w:after="120" w:line="240" w:lineRule="auto"/>
        <w:jc w:val="center"/>
        <w:outlineLvl w:val="0"/>
        <w:rPr>
          <w:rFonts w:ascii="Times New Roman" w:hAnsi="Times New Roman"/>
          <w:b/>
        </w:rPr>
      </w:pPr>
      <w:bookmarkStart w:id="0" w:name="_GoBack"/>
      <w:bookmarkEnd w:id="0"/>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B56DFE">
      <w:pPr>
        <w:spacing w:before="240"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692237">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692237">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8F4078" w:rsidRPr="008F4078" w:rsidTr="008F4078">
        <w:trPr>
          <w:jc w:val="center"/>
        </w:trPr>
        <w:tc>
          <w:tcPr>
            <w:tcW w:w="4621" w:type="dxa"/>
          </w:tcPr>
          <w:p w:rsidR="008F4078" w:rsidRPr="008F4078" w:rsidRDefault="008F4078" w:rsidP="00692237">
            <w:pPr>
              <w:spacing w:after="120" w:line="240" w:lineRule="auto"/>
              <w:rPr>
                <w:b/>
              </w:rPr>
            </w:pPr>
            <w:bookmarkStart w:id="1" w:name="OLE_LINK3"/>
            <w:bookmarkStart w:id="2" w:name="OLE_LINK4"/>
            <w:r w:rsidRPr="008F4078">
              <w:rPr>
                <w:b/>
              </w:rPr>
              <w:t>Condition:</w:t>
            </w:r>
          </w:p>
        </w:tc>
        <w:tc>
          <w:tcPr>
            <w:tcW w:w="4621" w:type="dxa"/>
          </w:tcPr>
          <w:p w:rsidR="008F4078" w:rsidRPr="008F4078" w:rsidRDefault="008F4078" w:rsidP="00692237">
            <w:pPr>
              <w:spacing w:after="120" w:line="240" w:lineRule="auto"/>
              <w:rPr>
                <w:b/>
              </w:rPr>
            </w:pPr>
            <w:r w:rsidRPr="008F4078">
              <w:rPr>
                <w:b/>
              </w:rPr>
              <w:t>Instrument Nos.:</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cluster headache</w:t>
            </w:r>
          </w:p>
        </w:tc>
        <w:tc>
          <w:tcPr>
            <w:tcW w:w="4621" w:type="dxa"/>
          </w:tcPr>
          <w:p w:rsidR="003846B1" w:rsidRPr="008F4078" w:rsidRDefault="00276157" w:rsidP="00276157">
            <w:pPr>
              <w:spacing w:after="120" w:line="240" w:lineRule="auto"/>
            </w:pPr>
            <w:r>
              <w:t>20 &amp; 21 of 2010</w:t>
            </w:r>
          </w:p>
        </w:tc>
      </w:tr>
      <w:tr w:rsidR="003846B1" w:rsidRPr="008F4078" w:rsidTr="008F4078">
        <w:trPr>
          <w:jc w:val="center"/>
        </w:trPr>
        <w:tc>
          <w:tcPr>
            <w:tcW w:w="4621" w:type="dxa"/>
            <w:vAlign w:val="bottom"/>
          </w:tcPr>
          <w:p w:rsidR="003846B1" w:rsidRPr="003D1509" w:rsidRDefault="00276157" w:rsidP="00C62889">
            <w:pPr>
              <w:autoSpaceDE w:val="0"/>
              <w:autoSpaceDN w:val="0"/>
              <w:adjustRightInd w:val="0"/>
              <w:spacing w:after="120" w:line="240" w:lineRule="auto"/>
            </w:pPr>
            <w:r w:rsidRPr="00276157">
              <w:t>Alzheimer-type dementia</w:t>
            </w:r>
          </w:p>
        </w:tc>
        <w:tc>
          <w:tcPr>
            <w:tcW w:w="4621" w:type="dxa"/>
          </w:tcPr>
          <w:p w:rsidR="003846B1" w:rsidRPr="008F4078" w:rsidRDefault="00276157" w:rsidP="00276157">
            <w:pPr>
              <w:spacing w:after="120" w:line="240" w:lineRule="auto"/>
            </w:pPr>
            <w:r>
              <w:t>22</w:t>
            </w:r>
            <w:r w:rsidR="00D95364">
              <w:t xml:space="preserve"> &amp; </w:t>
            </w:r>
            <w:r>
              <w:t>23</w:t>
            </w:r>
            <w:r w:rsidR="00D95364">
              <w:t xml:space="preserve"> of 20</w:t>
            </w:r>
            <w:r>
              <w:t>10, as amended</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dislocation</w:t>
            </w:r>
          </w:p>
        </w:tc>
        <w:tc>
          <w:tcPr>
            <w:tcW w:w="4621" w:type="dxa"/>
          </w:tcPr>
          <w:p w:rsidR="003846B1" w:rsidRPr="008F4078" w:rsidRDefault="00276157" w:rsidP="00276157">
            <w:pPr>
              <w:spacing w:after="120" w:line="240" w:lineRule="auto"/>
            </w:pPr>
            <w:r>
              <w:t>24</w:t>
            </w:r>
            <w:r w:rsidR="00D95364">
              <w:t xml:space="preserve"> &amp; 2</w:t>
            </w:r>
            <w:r>
              <w:t>5</w:t>
            </w:r>
            <w:r w:rsidR="00D95364">
              <w:t xml:space="preserve"> of 20</w:t>
            </w:r>
            <w:r>
              <w:t>10</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reactive arthritis</w:t>
            </w:r>
          </w:p>
        </w:tc>
        <w:tc>
          <w:tcPr>
            <w:tcW w:w="4621" w:type="dxa"/>
          </w:tcPr>
          <w:p w:rsidR="003846B1" w:rsidRPr="008F4078" w:rsidRDefault="00276157" w:rsidP="00276157">
            <w:pPr>
              <w:spacing w:after="120" w:line="240" w:lineRule="auto"/>
            </w:pPr>
            <w:r>
              <w:t>26 &amp; 27 of 2010</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non-Hodgkin's lymphoma</w:t>
            </w:r>
          </w:p>
        </w:tc>
        <w:tc>
          <w:tcPr>
            <w:tcW w:w="4621" w:type="dxa"/>
          </w:tcPr>
          <w:p w:rsidR="003846B1" w:rsidRPr="008F4078" w:rsidRDefault="00276157" w:rsidP="00276157">
            <w:pPr>
              <w:spacing w:after="120" w:line="240" w:lineRule="auto"/>
            </w:pPr>
            <w:r>
              <w:t>28 &amp; 29 of 2010, as amended</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gout</w:t>
            </w:r>
          </w:p>
        </w:tc>
        <w:tc>
          <w:tcPr>
            <w:tcW w:w="4621" w:type="dxa"/>
          </w:tcPr>
          <w:p w:rsidR="003846B1" w:rsidRPr="008F4078" w:rsidRDefault="00276157" w:rsidP="00276157">
            <w:pPr>
              <w:spacing w:after="120" w:line="240" w:lineRule="auto"/>
            </w:pPr>
            <w:r>
              <w:t>30 &amp; 31 of 2010</w:t>
            </w:r>
          </w:p>
        </w:tc>
      </w:tr>
      <w:tr w:rsidR="003846B1" w:rsidRPr="008F4078" w:rsidTr="008F4078">
        <w:trPr>
          <w:jc w:val="center"/>
        </w:trPr>
        <w:tc>
          <w:tcPr>
            <w:tcW w:w="4621" w:type="dxa"/>
            <w:vAlign w:val="bottom"/>
          </w:tcPr>
          <w:p w:rsidR="003846B1" w:rsidRPr="003D1509" w:rsidRDefault="00276157" w:rsidP="00692237">
            <w:pPr>
              <w:autoSpaceDE w:val="0"/>
              <w:autoSpaceDN w:val="0"/>
              <w:adjustRightInd w:val="0"/>
              <w:spacing w:after="120" w:line="240" w:lineRule="auto"/>
            </w:pPr>
            <w:r w:rsidRPr="00276157">
              <w:t>joint instability</w:t>
            </w:r>
          </w:p>
        </w:tc>
        <w:tc>
          <w:tcPr>
            <w:tcW w:w="4621" w:type="dxa"/>
          </w:tcPr>
          <w:p w:rsidR="003846B1" w:rsidRPr="008F4078" w:rsidRDefault="00276157" w:rsidP="00276157">
            <w:pPr>
              <w:spacing w:after="120" w:line="240" w:lineRule="auto"/>
            </w:pPr>
            <w:r>
              <w:t>32 &amp; 33 of 2010</w:t>
            </w:r>
          </w:p>
        </w:tc>
      </w:tr>
      <w:tr w:rsidR="003846B1" w:rsidRPr="008F4078" w:rsidTr="00820809">
        <w:trPr>
          <w:jc w:val="center"/>
        </w:trPr>
        <w:tc>
          <w:tcPr>
            <w:tcW w:w="4621" w:type="dxa"/>
            <w:vAlign w:val="bottom"/>
          </w:tcPr>
          <w:p w:rsidR="003846B1" w:rsidRPr="003D1509" w:rsidRDefault="00276157" w:rsidP="00276157">
            <w:pPr>
              <w:autoSpaceDE w:val="0"/>
              <w:autoSpaceDN w:val="0"/>
              <w:adjustRightInd w:val="0"/>
              <w:spacing w:after="120" w:line="240" w:lineRule="auto"/>
            </w:pPr>
            <w:r w:rsidRPr="00276157">
              <w:t xml:space="preserve">iliotibial band syndrome </w:t>
            </w:r>
          </w:p>
        </w:tc>
        <w:tc>
          <w:tcPr>
            <w:tcW w:w="4621" w:type="dxa"/>
          </w:tcPr>
          <w:p w:rsidR="003846B1" w:rsidRPr="008F4078" w:rsidRDefault="00D95364" w:rsidP="00276157">
            <w:pPr>
              <w:spacing w:after="120" w:line="240" w:lineRule="auto"/>
            </w:pPr>
            <w:r>
              <w:t>3</w:t>
            </w:r>
            <w:r w:rsidR="00276157">
              <w:t>4</w:t>
            </w:r>
            <w:r>
              <w:t xml:space="preserve"> &amp; 3</w:t>
            </w:r>
            <w:r w:rsidR="00276157">
              <w:t>5</w:t>
            </w:r>
            <w:r>
              <w:t xml:space="preserve"> of 20</w:t>
            </w:r>
            <w:r w:rsidR="00276157">
              <w:t>10</w:t>
            </w:r>
          </w:p>
        </w:tc>
      </w:tr>
      <w:tr w:rsidR="003846B1" w:rsidRPr="008F4078" w:rsidTr="00820809">
        <w:trPr>
          <w:jc w:val="center"/>
        </w:trPr>
        <w:tc>
          <w:tcPr>
            <w:tcW w:w="4621" w:type="dxa"/>
            <w:vAlign w:val="bottom"/>
          </w:tcPr>
          <w:p w:rsidR="003846B1" w:rsidRPr="003D1509" w:rsidRDefault="00276157" w:rsidP="00276157">
            <w:pPr>
              <w:autoSpaceDE w:val="0"/>
              <w:autoSpaceDN w:val="0"/>
              <w:adjustRightInd w:val="0"/>
              <w:spacing w:after="120" w:line="240" w:lineRule="auto"/>
            </w:pPr>
            <w:r w:rsidRPr="00276157">
              <w:t xml:space="preserve">methaemoglobinaemia </w:t>
            </w:r>
          </w:p>
        </w:tc>
        <w:tc>
          <w:tcPr>
            <w:tcW w:w="4621" w:type="dxa"/>
          </w:tcPr>
          <w:p w:rsidR="003846B1" w:rsidRPr="008F4078" w:rsidRDefault="00276157" w:rsidP="00276157">
            <w:pPr>
              <w:spacing w:after="120" w:line="240" w:lineRule="auto"/>
            </w:pPr>
            <w:r>
              <w:t>47 &amp; 48 of 2010</w:t>
            </w:r>
          </w:p>
        </w:tc>
      </w:tr>
      <w:tr w:rsidR="00D95364" w:rsidRPr="008F4078" w:rsidTr="00820809">
        <w:trPr>
          <w:jc w:val="center"/>
        </w:trPr>
        <w:tc>
          <w:tcPr>
            <w:tcW w:w="4621" w:type="dxa"/>
            <w:vAlign w:val="bottom"/>
          </w:tcPr>
          <w:p w:rsidR="00D95364" w:rsidRPr="003D1509" w:rsidRDefault="00276157" w:rsidP="00692237">
            <w:pPr>
              <w:autoSpaceDE w:val="0"/>
              <w:autoSpaceDN w:val="0"/>
              <w:adjustRightInd w:val="0"/>
              <w:spacing w:after="120" w:line="240" w:lineRule="auto"/>
            </w:pPr>
            <w:r w:rsidRPr="00276157">
              <w:t>sinus barotrauma</w:t>
            </w:r>
          </w:p>
        </w:tc>
        <w:tc>
          <w:tcPr>
            <w:tcW w:w="4621" w:type="dxa"/>
          </w:tcPr>
          <w:p w:rsidR="00D95364" w:rsidRDefault="00276157" w:rsidP="00276157">
            <w:pPr>
              <w:spacing w:after="120" w:line="240" w:lineRule="auto"/>
            </w:pPr>
            <w:r>
              <w:t>4</w:t>
            </w:r>
            <w:r w:rsidR="00D95364">
              <w:t xml:space="preserve">9 &amp; </w:t>
            </w:r>
            <w:r>
              <w:t>5</w:t>
            </w:r>
            <w:r w:rsidR="00D95364">
              <w:t>0 of 20</w:t>
            </w:r>
            <w:r>
              <w:t>10, as amended</w:t>
            </w:r>
          </w:p>
        </w:tc>
      </w:tr>
      <w:tr w:rsidR="00D95364" w:rsidRPr="008F4078" w:rsidTr="00820809">
        <w:trPr>
          <w:jc w:val="center"/>
        </w:trPr>
        <w:tc>
          <w:tcPr>
            <w:tcW w:w="4621" w:type="dxa"/>
            <w:vAlign w:val="bottom"/>
          </w:tcPr>
          <w:p w:rsidR="00D95364" w:rsidRPr="003D1509" w:rsidRDefault="00276157" w:rsidP="00692237">
            <w:pPr>
              <w:autoSpaceDE w:val="0"/>
              <w:autoSpaceDN w:val="0"/>
              <w:adjustRightInd w:val="0"/>
              <w:spacing w:after="120" w:line="240" w:lineRule="auto"/>
            </w:pPr>
            <w:r w:rsidRPr="00276157">
              <w:t>internal derangement of the knee</w:t>
            </w:r>
          </w:p>
        </w:tc>
        <w:tc>
          <w:tcPr>
            <w:tcW w:w="4621" w:type="dxa"/>
          </w:tcPr>
          <w:p w:rsidR="00D95364" w:rsidRDefault="00276157" w:rsidP="00276157">
            <w:pPr>
              <w:spacing w:after="120" w:line="240" w:lineRule="auto"/>
            </w:pPr>
            <w:r>
              <w:t>51</w:t>
            </w:r>
            <w:r w:rsidR="00D95364">
              <w:t xml:space="preserve"> &amp; 5</w:t>
            </w:r>
            <w:r>
              <w:t>2</w:t>
            </w:r>
            <w:r w:rsidR="00D95364">
              <w:t xml:space="preserve"> of 20</w:t>
            </w:r>
            <w:r>
              <w:t>10</w:t>
            </w:r>
          </w:p>
        </w:tc>
      </w:tr>
      <w:tr w:rsidR="00D95364" w:rsidRPr="008F4078" w:rsidTr="00820809">
        <w:trPr>
          <w:jc w:val="center"/>
        </w:trPr>
        <w:tc>
          <w:tcPr>
            <w:tcW w:w="4621" w:type="dxa"/>
            <w:vAlign w:val="bottom"/>
          </w:tcPr>
          <w:p w:rsidR="00D95364" w:rsidRPr="003D1509" w:rsidRDefault="00276157" w:rsidP="00692237">
            <w:pPr>
              <w:autoSpaceDE w:val="0"/>
              <w:autoSpaceDN w:val="0"/>
              <w:adjustRightInd w:val="0"/>
              <w:spacing w:after="120" w:line="240" w:lineRule="auto"/>
            </w:pPr>
            <w:r w:rsidRPr="00276157">
              <w:t>acute articular cartilage tear</w:t>
            </w:r>
          </w:p>
        </w:tc>
        <w:tc>
          <w:tcPr>
            <w:tcW w:w="4621" w:type="dxa"/>
          </w:tcPr>
          <w:p w:rsidR="00D95364" w:rsidRDefault="00D95364" w:rsidP="00276157">
            <w:pPr>
              <w:spacing w:after="120" w:line="240" w:lineRule="auto"/>
            </w:pPr>
            <w:r>
              <w:t>5</w:t>
            </w:r>
            <w:r w:rsidR="00276157">
              <w:t>3</w:t>
            </w:r>
            <w:r>
              <w:t xml:space="preserve"> &amp; 5</w:t>
            </w:r>
            <w:r w:rsidR="00276157">
              <w:t>4</w:t>
            </w:r>
            <w:r>
              <w:t xml:space="preserve"> of 20</w:t>
            </w:r>
            <w:r w:rsidR="00276157">
              <w:t>10</w:t>
            </w:r>
          </w:p>
        </w:tc>
      </w:tr>
      <w:tr w:rsidR="00D95364" w:rsidRPr="008F4078" w:rsidTr="00820809">
        <w:trPr>
          <w:jc w:val="center"/>
        </w:trPr>
        <w:tc>
          <w:tcPr>
            <w:tcW w:w="4621" w:type="dxa"/>
            <w:vAlign w:val="bottom"/>
          </w:tcPr>
          <w:p w:rsidR="00D95364" w:rsidRPr="003D1509" w:rsidRDefault="00276157" w:rsidP="00692237">
            <w:pPr>
              <w:autoSpaceDE w:val="0"/>
              <w:autoSpaceDN w:val="0"/>
              <w:adjustRightInd w:val="0"/>
              <w:spacing w:after="120" w:line="240" w:lineRule="auto"/>
            </w:pPr>
            <w:r w:rsidRPr="00276157">
              <w:t>acute meniscal tear of the knee</w:t>
            </w:r>
          </w:p>
        </w:tc>
        <w:tc>
          <w:tcPr>
            <w:tcW w:w="4621" w:type="dxa"/>
          </w:tcPr>
          <w:p w:rsidR="00D95364" w:rsidRDefault="00276157" w:rsidP="00276157">
            <w:pPr>
              <w:spacing w:after="120" w:line="240" w:lineRule="auto"/>
            </w:pPr>
            <w:r>
              <w:t>55</w:t>
            </w:r>
            <w:r w:rsidR="00D95364">
              <w:t xml:space="preserve"> &amp; </w:t>
            </w:r>
            <w:r>
              <w:t>5</w:t>
            </w:r>
            <w:r w:rsidR="00D95364">
              <w:t>6 of 20</w:t>
            </w:r>
            <w:r>
              <w:t>10</w:t>
            </w:r>
          </w:p>
        </w:tc>
      </w:tr>
      <w:tr w:rsidR="00D95364" w:rsidRPr="008F4078" w:rsidTr="00820809">
        <w:trPr>
          <w:jc w:val="center"/>
        </w:trPr>
        <w:tc>
          <w:tcPr>
            <w:tcW w:w="4621" w:type="dxa"/>
            <w:vAlign w:val="bottom"/>
          </w:tcPr>
          <w:p w:rsidR="00D95364" w:rsidRPr="003D1509" w:rsidRDefault="00276157" w:rsidP="00C62889">
            <w:pPr>
              <w:autoSpaceDE w:val="0"/>
              <w:autoSpaceDN w:val="0"/>
              <w:adjustRightInd w:val="0"/>
              <w:spacing w:after="120" w:line="240" w:lineRule="auto"/>
            </w:pPr>
            <w:r w:rsidRPr="00276157">
              <w:t>Dupuytren</w:t>
            </w:r>
            <w:r w:rsidR="00C62889">
              <w:t>'</w:t>
            </w:r>
            <w:r w:rsidRPr="00276157">
              <w:t xml:space="preserve">s disease </w:t>
            </w:r>
          </w:p>
        </w:tc>
        <w:tc>
          <w:tcPr>
            <w:tcW w:w="4621" w:type="dxa"/>
          </w:tcPr>
          <w:p w:rsidR="00D95364" w:rsidRDefault="00276157" w:rsidP="00276157">
            <w:pPr>
              <w:spacing w:after="120" w:line="240" w:lineRule="auto"/>
            </w:pPr>
            <w:r>
              <w:t>57</w:t>
            </w:r>
            <w:r w:rsidR="00D95364">
              <w:t xml:space="preserve"> &amp; </w:t>
            </w:r>
            <w:r>
              <w:t>58</w:t>
            </w:r>
            <w:r w:rsidR="00D95364">
              <w:t xml:space="preserve"> of 20</w:t>
            </w:r>
            <w:r>
              <w:t>10</w:t>
            </w:r>
          </w:p>
        </w:tc>
      </w:tr>
      <w:tr w:rsidR="00D95364" w:rsidRPr="008F4078" w:rsidTr="00820809">
        <w:trPr>
          <w:jc w:val="center"/>
        </w:trPr>
        <w:tc>
          <w:tcPr>
            <w:tcW w:w="4621" w:type="dxa"/>
            <w:vAlign w:val="bottom"/>
          </w:tcPr>
          <w:p w:rsidR="00D95364" w:rsidRPr="003D1509" w:rsidRDefault="00276157" w:rsidP="00276157">
            <w:pPr>
              <w:autoSpaceDE w:val="0"/>
              <w:autoSpaceDN w:val="0"/>
              <w:adjustRightInd w:val="0"/>
              <w:spacing w:after="120" w:line="240" w:lineRule="auto"/>
            </w:pPr>
            <w:r w:rsidRPr="00276157">
              <w:t xml:space="preserve">blepharitis </w:t>
            </w:r>
          </w:p>
        </w:tc>
        <w:tc>
          <w:tcPr>
            <w:tcW w:w="4621" w:type="dxa"/>
          </w:tcPr>
          <w:p w:rsidR="00D95364" w:rsidRDefault="00276157" w:rsidP="00276157">
            <w:pPr>
              <w:spacing w:after="120" w:line="240" w:lineRule="auto"/>
            </w:pPr>
            <w:r>
              <w:t>63</w:t>
            </w:r>
            <w:r w:rsidR="00D95364">
              <w:t xml:space="preserve"> &amp; 6</w:t>
            </w:r>
            <w:r>
              <w:t>4</w:t>
            </w:r>
            <w:r w:rsidR="00D95364">
              <w:t xml:space="preserve"> of 20</w:t>
            </w:r>
            <w:r>
              <w:t>10</w:t>
            </w:r>
          </w:p>
        </w:tc>
      </w:tr>
      <w:tr w:rsidR="00D95364" w:rsidRPr="008F4078" w:rsidTr="00820809">
        <w:trPr>
          <w:jc w:val="center"/>
        </w:trPr>
        <w:tc>
          <w:tcPr>
            <w:tcW w:w="4621" w:type="dxa"/>
            <w:vAlign w:val="bottom"/>
          </w:tcPr>
          <w:p w:rsidR="00D95364" w:rsidRPr="003D1509" w:rsidRDefault="00276157" w:rsidP="00692237">
            <w:pPr>
              <w:autoSpaceDE w:val="0"/>
              <w:autoSpaceDN w:val="0"/>
              <w:adjustRightInd w:val="0"/>
              <w:spacing w:after="120" w:line="240" w:lineRule="auto"/>
            </w:pPr>
            <w:r w:rsidRPr="00276157">
              <w:t>renal stone disease</w:t>
            </w:r>
          </w:p>
        </w:tc>
        <w:tc>
          <w:tcPr>
            <w:tcW w:w="4621" w:type="dxa"/>
          </w:tcPr>
          <w:p w:rsidR="00D95364" w:rsidRDefault="00276157" w:rsidP="00276157">
            <w:pPr>
              <w:spacing w:after="120" w:line="240" w:lineRule="auto"/>
            </w:pPr>
            <w:r>
              <w:t>65</w:t>
            </w:r>
            <w:r w:rsidR="00D95364">
              <w:t xml:space="preserve"> &amp; 6</w:t>
            </w:r>
            <w:r>
              <w:t>6</w:t>
            </w:r>
            <w:r w:rsidR="00D95364">
              <w:t xml:space="preserve"> of 20</w:t>
            </w:r>
            <w:r>
              <w:t>10</w:t>
            </w:r>
          </w:p>
        </w:tc>
      </w:tr>
      <w:tr w:rsidR="003D1509" w:rsidRPr="008F4078" w:rsidTr="00820809">
        <w:trPr>
          <w:jc w:val="center"/>
        </w:trPr>
        <w:tc>
          <w:tcPr>
            <w:tcW w:w="4621" w:type="dxa"/>
            <w:vAlign w:val="bottom"/>
          </w:tcPr>
          <w:p w:rsidR="003D1509" w:rsidRPr="003D1509" w:rsidRDefault="00276157" w:rsidP="00276157">
            <w:pPr>
              <w:autoSpaceDE w:val="0"/>
              <w:autoSpaceDN w:val="0"/>
              <w:adjustRightInd w:val="0"/>
              <w:spacing w:after="120" w:line="240" w:lineRule="auto"/>
            </w:pPr>
            <w:r w:rsidRPr="00276157">
              <w:t xml:space="preserve">subarachnoid haemorrhage </w:t>
            </w:r>
          </w:p>
        </w:tc>
        <w:tc>
          <w:tcPr>
            <w:tcW w:w="4621" w:type="dxa"/>
          </w:tcPr>
          <w:p w:rsidR="003D1509" w:rsidRDefault="003D1509" w:rsidP="00276157">
            <w:pPr>
              <w:spacing w:after="120" w:line="240" w:lineRule="auto"/>
            </w:pPr>
            <w:r>
              <w:t>6</w:t>
            </w:r>
            <w:r w:rsidR="00276157">
              <w:t>7</w:t>
            </w:r>
            <w:r>
              <w:t xml:space="preserve"> &amp; 6</w:t>
            </w:r>
            <w:r w:rsidR="00276157">
              <w:t>8</w:t>
            </w:r>
            <w:r>
              <w:t xml:space="preserve"> of 20</w:t>
            </w:r>
            <w:r w:rsidR="00276157">
              <w:t>10</w:t>
            </w:r>
          </w:p>
        </w:tc>
      </w:tr>
      <w:tr w:rsidR="003D1509" w:rsidRPr="008F4078" w:rsidTr="00820809">
        <w:trPr>
          <w:jc w:val="center"/>
        </w:trPr>
        <w:tc>
          <w:tcPr>
            <w:tcW w:w="4621" w:type="dxa"/>
            <w:vAlign w:val="bottom"/>
          </w:tcPr>
          <w:p w:rsidR="003D1509" w:rsidRPr="003D1509" w:rsidRDefault="00276157" w:rsidP="006577D1">
            <w:pPr>
              <w:autoSpaceDE w:val="0"/>
              <w:autoSpaceDN w:val="0"/>
              <w:adjustRightInd w:val="0"/>
              <w:spacing w:after="120" w:line="240" w:lineRule="auto"/>
            </w:pPr>
            <w:r w:rsidRPr="00276157">
              <w:t>pilonidal sinus</w:t>
            </w:r>
          </w:p>
        </w:tc>
        <w:tc>
          <w:tcPr>
            <w:tcW w:w="4621" w:type="dxa"/>
          </w:tcPr>
          <w:p w:rsidR="003D1509" w:rsidRDefault="00C62889" w:rsidP="00C62889">
            <w:pPr>
              <w:spacing w:after="120" w:line="240" w:lineRule="auto"/>
            </w:pPr>
            <w:r>
              <w:t>71</w:t>
            </w:r>
            <w:r w:rsidR="003D1509">
              <w:t xml:space="preserve"> &amp; 7</w:t>
            </w:r>
            <w:r w:rsidR="00276157">
              <w:t>2</w:t>
            </w:r>
            <w:r w:rsidR="003D1509">
              <w:t xml:space="preserve"> of 20</w:t>
            </w:r>
            <w:r w:rsidR="00276157">
              <w:t>10</w:t>
            </w:r>
          </w:p>
        </w:tc>
      </w:tr>
      <w:tr w:rsidR="003D1509" w:rsidRPr="008F4078" w:rsidTr="00820809">
        <w:trPr>
          <w:jc w:val="center"/>
        </w:trPr>
        <w:tc>
          <w:tcPr>
            <w:tcW w:w="4621" w:type="dxa"/>
            <w:vAlign w:val="bottom"/>
          </w:tcPr>
          <w:p w:rsidR="003D1509" w:rsidRPr="003D1509" w:rsidRDefault="00C62889" w:rsidP="006577D1">
            <w:pPr>
              <w:autoSpaceDE w:val="0"/>
              <w:autoSpaceDN w:val="0"/>
              <w:adjustRightInd w:val="0"/>
              <w:spacing w:after="120" w:line="240" w:lineRule="auto"/>
            </w:pPr>
            <w:r w:rsidRPr="00C62889">
              <w:t>anal fissure</w:t>
            </w:r>
          </w:p>
        </w:tc>
        <w:tc>
          <w:tcPr>
            <w:tcW w:w="4621" w:type="dxa"/>
          </w:tcPr>
          <w:p w:rsidR="003D1509" w:rsidRDefault="003D1509" w:rsidP="00C62889">
            <w:pPr>
              <w:spacing w:after="120" w:line="240" w:lineRule="auto"/>
            </w:pPr>
            <w:r>
              <w:t>7</w:t>
            </w:r>
            <w:r w:rsidR="00C62889">
              <w:t>3</w:t>
            </w:r>
            <w:r>
              <w:t xml:space="preserve"> &amp; 7</w:t>
            </w:r>
            <w:r w:rsidR="00C62889">
              <w:t>4</w:t>
            </w:r>
            <w:r>
              <w:t xml:space="preserve"> of 20</w:t>
            </w:r>
            <w:r w:rsidR="00C62889">
              <w:t>1</w:t>
            </w:r>
            <w:r>
              <w:t>0</w:t>
            </w:r>
          </w:p>
        </w:tc>
      </w:tr>
      <w:tr w:rsidR="003D1509" w:rsidRPr="008F4078" w:rsidTr="00820809">
        <w:trPr>
          <w:jc w:val="center"/>
        </w:trPr>
        <w:tc>
          <w:tcPr>
            <w:tcW w:w="4621" w:type="dxa"/>
            <w:vAlign w:val="bottom"/>
          </w:tcPr>
          <w:p w:rsidR="003D1509" w:rsidRPr="003D1509" w:rsidRDefault="00C62889" w:rsidP="006577D1">
            <w:pPr>
              <w:autoSpaceDE w:val="0"/>
              <w:autoSpaceDN w:val="0"/>
              <w:adjustRightInd w:val="0"/>
              <w:spacing w:after="120" w:line="240" w:lineRule="auto"/>
            </w:pPr>
            <w:r w:rsidRPr="00C62889">
              <w:t xml:space="preserve">chronic pruritus </w:t>
            </w:r>
            <w:proofErr w:type="spellStart"/>
            <w:r w:rsidRPr="00C62889">
              <w:t>ani</w:t>
            </w:r>
            <w:proofErr w:type="spellEnd"/>
          </w:p>
        </w:tc>
        <w:tc>
          <w:tcPr>
            <w:tcW w:w="4621" w:type="dxa"/>
          </w:tcPr>
          <w:p w:rsidR="003D1509" w:rsidRDefault="00C62889" w:rsidP="00C62889">
            <w:pPr>
              <w:spacing w:after="120" w:line="240" w:lineRule="auto"/>
            </w:pPr>
            <w:r>
              <w:t>75</w:t>
            </w:r>
            <w:r w:rsidR="003D1509">
              <w:t xml:space="preserve"> &amp; 7</w:t>
            </w:r>
            <w:r>
              <w:t>6</w:t>
            </w:r>
            <w:r w:rsidR="003D1509">
              <w:t xml:space="preserve"> of 20</w:t>
            </w:r>
            <w:r>
              <w:t>1</w:t>
            </w:r>
            <w:r w:rsidR="003D1509">
              <w:t>0</w:t>
            </w:r>
          </w:p>
        </w:tc>
      </w:tr>
      <w:tr w:rsidR="003D1509" w:rsidRPr="008F4078" w:rsidTr="00820809">
        <w:trPr>
          <w:jc w:val="center"/>
        </w:trPr>
        <w:tc>
          <w:tcPr>
            <w:tcW w:w="4621" w:type="dxa"/>
            <w:vAlign w:val="bottom"/>
          </w:tcPr>
          <w:p w:rsidR="003D1509" w:rsidRPr="003D1509" w:rsidRDefault="00C62889" w:rsidP="00692237">
            <w:pPr>
              <w:autoSpaceDE w:val="0"/>
              <w:autoSpaceDN w:val="0"/>
              <w:adjustRightInd w:val="0"/>
              <w:spacing w:after="120" w:line="240" w:lineRule="auto"/>
            </w:pPr>
            <w:r w:rsidRPr="00C62889">
              <w:t>heel bursitis</w:t>
            </w:r>
          </w:p>
        </w:tc>
        <w:tc>
          <w:tcPr>
            <w:tcW w:w="4621" w:type="dxa"/>
          </w:tcPr>
          <w:p w:rsidR="003D1509" w:rsidRDefault="00C62889" w:rsidP="00C62889">
            <w:pPr>
              <w:spacing w:after="120" w:line="240" w:lineRule="auto"/>
            </w:pPr>
            <w:r>
              <w:t>77</w:t>
            </w:r>
            <w:r w:rsidR="003D1509">
              <w:t xml:space="preserve"> &amp; 7</w:t>
            </w:r>
            <w:r>
              <w:t>8</w:t>
            </w:r>
            <w:r w:rsidR="003D1509">
              <w:t xml:space="preserve"> of 20</w:t>
            </w:r>
            <w:r>
              <w:t>10</w:t>
            </w:r>
          </w:p>
        </w:tc>
      </w:tr>
      <w:tr w:rsidR="003D1509" w:rsidRPr="008F4078" w:rsidTr="00820809">
        <w:trPr>
          <w:jc w:val="center"/>
        </w:trPr>
        <w:tc>
          <w:tcPr>
            <w:tcW w:w="4621" w:type="dxa"/>
            <w:vAlign w:val="bottom"/>
          </w:tcPr>
          <w:p w:rsidR="003D1509" w:rsidRPr="003D1509" w:rsidRDefault="00C62889" w:rsidP="006577D1">
            <w:pPr>
              <w:autoSpaceDE w:val="0"/>
              <w:autoSpaceDN w:val="0"/>
              <w:adjustRightInd w:val="0"/>
              <w:spacing w:after="120" w:line="240" w:lineRule="auto"/>
            </w:pPr>
            <w:r w:rsidRPr="00C62889">
              <w:t>chondromalacia patella</w:t>
            </w:r>
          </w:p>
        </w:tc>
        <w:tc>
          <w:tcPr>
            <w:tcW w:w="4621" w:type="dxa"/>
          </w:tcPr>
          <w:p w:rsidR="003D1509" w:rsidRDefault="00C62889" w:rsidP="00C62889">
            <w:pPr>
              <w:spacing w:after="120" w:line="240" w:lineRule="auto"/>
            </w:pPr>
            <w:r>
              <w:t xml:space="preserve">79 </w:t>
            </w:r>
            <w:r w:rsidR="006577D1">
              <w:t xml:space="preserve">&amp; </w:t>
            </w:r>
            <w:r>
              <w:t>80</w:t>
            </w:r>
            <w:r w:rsidR="006577D1">
              <w:t xml:space="preserve"> of 2010</w:t>
            </w:r>
          </w:p>
        </w:tc>
      </w:tr>
      <w:tr w:rsidR="003D1509" w:rsidRPr="008F4078" w:rsidTr="00820809">
        <w:trPr>
          <w:jc w:val="center"/>
        </w:trPr>
        <w:tc>
          <w:tcPr>
            <w:tcW w:w="4621" w:type="dxa"/>
            <w:vAlign w:val="bottom"/>
          </w:tcPr>
          <w:p w:rsidR="003D1509" w:rsidRPr="003D1509" w:rsidRDefault="00C62889" w:rsidP="00C62889">
            <w:pPr>
              <w:autoSpaceDE w:val="0"/>
              <w:autoSpaceDN w:val="0"/>
              <w:adjustRightInd w:val="0"/>
              <w:spacing w:after="120" w:line="240" w:lineRule="auto"/>
            </w:pPr>
            <w:r w:rsidRPr="00C62889">
              <w:t xml:space="preserve">rapidly progressive crescentic glomerulonephritis </w:t>
            </w:r>
          </w:p>
        </w:tc>
        <w:tc>
          <w:tcPr>
            <w:tcW w:w="4621" w:type="dxa"/>
          </w:tcPr>
          <w:p w:rsidR="003D1509" w:rsidRDefault="00C62889" w:rsidP="00C62889">
            <w:pPr>
              <w:spacing w:after="120" w:line="240" w:lineRule="auto"/>
            </w:pPr>
            <w:r>
              <w:t>81</w:t>
            </w:r>
            <w:r w:rsidR="006577D1">
              <w:t xml:space="preserve"> &amp; </w:t>
            </w:r>
            <w:r>
              <w:t>82</w:t>
            </w:r>
            <w:r w:rsidR="006577D1">
              <w:t xml:space="preserve"> of 2010</w:t>
            </w:r>
          </w:p>
        </w:tc>
      </w:tr>
      <w:tr w:rsidR="00030A04" w:rsidRPr="008F4078" w:rsidTr="00820809">
        <w:trPr>
          <w:jc w:val="center"/>
        </w:trPr>
        <w:tc>
          <w:tcPr>
            <w:tcW w:w="4621" w:type="dxa"/>
            <w:vAlign w:val="bottom"/>
          </w:tcPr>
          <w:p w:rsidR="00030A04" w:rsidRPr="00C62889" w:rsidRDefault="00030A04" w:rsidP="00C62889">
            <w:pPr>
              <w:autoSpaceDE w:val="0"/>
              <w:autoSpaceDN w:val="0"/>
              <w:adjustRightInd w:val="0"/>
              <w:spacing w:after="120" w:line="240" w:lineRule="auto"/>
            </w:pPr>
            <w:r>
              <w:t>dental malocclusion</w:t>
            </w:r>
          </w:p>
        </w:tc>
        <w:tc>
          <w:tcPr>
            <w:tcW w:w="4621" w:type="dxa"/>
          </w:tcPr>
          <w:p w:rsidR="00030A04" w:rsidRDefault="00030A04" w:rsidP="00C62889">
            <w:pPr>
              <w:spacing w:after="120" w:line="240" w:lineRule="auto"/>
            </w:pPr>
            <w:r>
              <w:t>17 &amp; 18 of 2011</w:t>
            </w:r>
          </w:p>
        </w:tc>
      </w:tr>
      <w:bookmarkEnd w:id="1"/>
      <w:bookmarkEnd w:id="2"/>
    </w:tbl>
    <w:p w:rsidR="00D95364" w:rsidRDefault="00D95364" w:rsidP="00692237">
      <w:pPr>
        <w:spacing w:after="120" w:line="240" w:lineRule="auto"/>
        <w:jc w:val="both"/>
        <w:rPr>
          <w:rFonts w:ascii="Times New Roman" w:hAnsi="Times New Roman"/>
        </w:rPr>
      </w:pP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lastRenderedPageBreak/>
        <w:t>The Authority invites the following persons and organisations to make written submissions to the Authority in respect of any of the investigations:</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pension under Part II or Part IV of the </w:t>
      </w:r>
      <w:r w:rsidR="00A565D5">
        <w:rPr>
          <w:rFonts w:ascii="Times New Roman" w:hAnsi="Times New Roman"/>
        </w:rPr>
        <w:t>VEA</w:t>
      </w:r>
      <w:r w:rsidRPr="008F4078">
        <w:rPr>
          <w:rFonts w:ascii="Times New Roman" w:hAnsi="Times New Roman"/>
        </w:rPr>
        <w:t>;</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compensation under section 319 of the </w:t>
      </w:r>
      <w:r w:rsidRPr="008F4078">
        <w:rPr>
          <w:rFonts w:ascii="Times New Roman" w:hAnsi="Times New Roman"/>
          <w:i/>
        </w:rPr>
        <w:t>Military Rehabilitation and Compensation  Act 2004</w:t>
      </w:r>
      <w:r w:rsidRPr="00C15E61">
        <w:rPr>
          <w:rFonts w:ascii="Times New Roman" w:hAnsi="Times New Roman"/>
        </w:rPr>
        <w:t xml:space="preserve"> (</w:t>
      </w:r>
      <w:r w:rsidRPr="008F4078">
        <w:rPr>
          <w:rFonts w:ascii="Times New Roman" w:hAnsi="Times New Roman"/>
        </w:rPr>
        <w:t>the MRCA);</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an organisation representing veterans, Australian mariners, members of the Forces, members of the Peacekeeping Forces, members within the meaning of the MRCA, or their dependants;</w:t>
      </w:r>
    </w:p>
    <w:p w:rsidR="008F4078" w:rsidRPr="008F4078" w:rsidRDefault="008F4078" w:rsidP="00A620CA">
      <w:pPr>
        <w:spacing w:after="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the Repatriation Commission or the Military Rehabilitation and Compensation Commission; and</w:t>
      </w:r>
    </w:p>
    <w:p w:rsidR="008F4078" w:rsidRPr="008F4078" w:rsidRDefault="008F4078" w:rsidP="001056A1">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 person having expertise in a field relevant to the investigation.</w:t>
      </w:r>
    </w:p>
    <w:p w:rsidR="00B56DFE" w:rsidRDefault="008F4078" w:rsidP="001056A1">
      <w:pPr>
        <w:spacing w:after="120" w:line="240" w:lineRule="auto"/>
        <w:jc w:val="both"/>
        <w:rPr>
          <w:rFonts w:ascii="Times New Roman" w:hAnsi="Times New Roman"/>
        </w:rPr>
      </w:pPr>
      <w:r w:rsidRPr="008F4078">
        <w:rPr>
          <w:rFonts w:ascii="Times New Roman" w:hAnsi="Times New Roman"/>
        </w:rPr>
        <w:t xml:space="preserve">The Authority will hold its first meeting for the purposes of each of these investigations </w:t>
      </w:r>
      <w:r w:rsidR="00692237">
        <w:rPr>
          <w:rFonts w:ascii="Times New Roman" w:hAnsi="Times New Roman"/>
        </w:rPr>
        <w:t>o</w:t>
      </w:r>
      <w:r w:rsidR="000C749A">
        <w:rPr>
          <w:rFonts w:ascii="Times New Roman" w:hAnsi="Times New Roman"/>
        </w:rPr>
        <w:t xml:space="preserve">n </w:t>
      </w:r>
      <w:r w:rsidR="00030A04" w:rsidRPr="00A565D5">
        <w:rPr>
          <w:rFonts w:ascii="Times New Roman" w:hAnsi="Times New Roman"/>
          <w:b/>
        </w:rPr>
        <w:t>10</w:t>
      </w:r>
      <w:r w:rsidR="00692237" w:rsidRPr="00A565D5">
        <w:rPr>
          <w:rFonts w:ascii="Times New Roman" w:hAnsi="Times New Roman"/>
          <w:b/>
        </w:rPr>
        <w:t> </w:t>
      </w:r>
      <w:r w:rsidR="00D95364" w:rsidRPr="00A565D5">
        <w:rPr>
          <w:rFonts w:ascii="Times New Roman" w:hAnsi="Times New Roman"/>
          <w:b/>
        </w:rPr>
        <w:t>April</w:t>
      </w:r>
      <w:r w:rsidR="00692237" w:rsidRPr="00A565D5">
        <w:rPr>
          <w:rFonts w:ascii="Times New Roman" w:hAnsi="Times New Roman"/>
          <w:b/>
        </w:rPr>
        <w:t> </w:t>
      </w:r>
      <w:r w:rsidR="00F64146" w:rsidRPr="00A565D5">
        <w:rPr>
          <w:rFonts w:ascii="Times New Roman" w:hAnsi="Times New Roman"/>
          <w:b/>
        </w:rPr>
        <w:t>201</w:t>
      </w:r>
      <w:r w:rsidR="00C62889" w:rsidRPr="00A565D5">
        <w:rPr>
          <w:rFonts w:ascii="Times New Roman" w:hAnsi="Times New Roman"/>
          <w:b/>
        </w:rPr>
        <w:t>8</w:t>
      </w:r>
      <w:r w:rsidRPr="008F4078">
        <w:rPr>
          <w:rFonts w:ascii="Times New Roman" w:hAnsi="Times New Roman"/>
        </w:rPr>
        <w:t>.</w:t>
      </w:r>
    </w:p>
    <w:p w:rsidR="00A620CA" w:rsidRPr="00A565D5" w:rsidRDefault="008F4078" w:rsidP="001056A1">
      <w:pPr>
        <w:spacing w:after="120" w:line="240" w:lineRule="auto"/>
        <w:jc w:val="both"/>
        <w:rPr>
          <w:rFonts w:ascii="Times New Roman" w:hAnsi="Times New Roman"/>
          <w:i/>
        </w:rPr>
      </w:pPr>
      <w:r w:rsidRPr="008F4078">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w:t>
      </w:r>
      <w:r w:rsidRPr="00A565D5">
        <w:rPr>
          <w:rFonts w:ascii="Times New Roman" w:hAnsi="Times New Roman"/>
        </w:rPr>
        <w:t xml:space="preserve">injury, a service disease or a service death. </w:t>
      </w:r>
      <w:r w:rsidR="00D95364" w:rsidRPr="00A565D5">
        <w:rPr>
          <w:rFonts w:ascii="Times New Roman" w:hAnsi="Times New Roman"/>
        </w:rPr>
        <w:t xml:space="preserve"> </w:t>
      </w:r>
      <w:r w:rsidR="00A620CA" w:rsidRPr="00A565D5">
        <w:rPr>
          <w:rFonts w:ascii="Times New Roman" w:hAnsi="Times New Roman"/>
        </w:rPr>
        <w:t xml:space="preserve">Persons and organisations wishing to make a submission can use the RMA website </w:t>
      </w:r>
      <w:r w:rsidR="00A565D5" w:rsidRPr="00A565D5">
        <w:rPr>
          <w:rStyle w:val="Hyperlink"/>
          <w:rFonts w:ascii="Times New Roman" w:hAnsi="Times New Roman"/>
        </w:rPr>
        <w:t>http://</w:t>
      </w:r>
      <w:r w:rsidR="00A620CA" w:rsidRPr="00A565D5">
        <w:rPr>
          <w:rStyle w:val="Hyperlink"/>
          <w:rFonts w:ascii="Times New Roman" w:hAnsi="Times New Roman"/>
        </w:rPr>
        <w:t>www.rma.gov.au/investigations/</w:t>
      </w:r>
      <w:r w:rsidR="00A620CA" w:rsidRPr="00A565D5">
        <w:rPr>
          <w:rFonts w:ascii="Times New Roman" w:hAnsi="Times New Roman"/>
        </w:rPr>
        <w:t xml:space="preserve"> to electronically</w:t>
      </w:r>
      <w:r w:rsidR="00A620CA" w:rsidRPr="00A565D5">
        <w:rPr>
          <w:rFonts w:ascii="Times New Roman" w:hAnsi="Times New Roman"/>
          <w:i/>
        </w:rPr>
        <w:t xml:space="preserve"> </w:t>
      </w:r>
      <w:r w:rsidR="00A620CA" w:rsidRPr="00A565D5">
        <w:rPr>
          <w:rFonts w:ascii="Times New Roman" w:hAnsi="Times New Roman"/>
        </w:rPr>
        <w:t xml:space="preserve">lodge the submission and supporting information.  Alternatively, submissions can be sent by email to </w:t>
      </w:r>
      <w:hyperlink r:id="rId7" w:history="1">
        <w:r w:rsidR="00A620CA" w:rsidRPr="00A565D5">
          <w:rPr>
            <w:rStyle w:val="Hyperlink"/>
            <w:rFonts w:ascii="Times New Roman" w:hAnsi="Times New Roman"/>
          </w:rPr>
          <w:t>info@rma.gov.au</w:t>
        </w:r>
      </w:hyperlink>
      <w:r w:rsidR="00A620CA" w:rsidRPr="00A565D5">
        <w:rPr>
          <w:rFonts w:ascii="Times New Roman" w:hAnsi="Times New Roman"/>
        </w:rPr>
        <w:t xml:space="preserve"> or posted to the address below.  The </w:t>
      </w:r>
      <w:r w:rsidR="00A620CA" w:rsidRPr="00A565D5">
        <w:rPr>
          <w:rFonts w:ascii="Times New Roman" w:hAnsi="Times New Roman"/>
          <w:i/>
        </w:rPr>
        <w:t>RMA Submission Guidelines</w:t>
      </w:r>
      <w:r w:rsidR="00A620CA" w:rsidRPr="00A565D5">
        <w:rPr>
          <w:rFonts w:ascii="Times New Roman" w:hAnsi="Times New Roman"/>
        </w:rPr>
        <w:t xml:space="preserve"> are available online for guidance.  The</w:t>
      </w:r>
      <w:r w:rsidR="00A620CA" w:rsidRPr="00A565D5">
        <w:rPr>
          <w:rFonts w:ascii="Times New Roman" w:hAnsi="Times New Roman"/>
          <w:i/>
        </w:rPr>
        <w:t xml:space="preserve"> </w:t>
      </w:r>
      <w:r w:rsidR="00A620CA" w:rsidRPr="00A565D5">
        <w:rPr>
          <w:rFonts w:ascii="Times New Roman" w:hAnsi="Times New Roman"/>
        </w:rPr>
        <w:t>RMA Secretariat may be contacted at the address, telephone number or email address below for further assistance.</w:t>
      </w:r>
    </w:p>
    <w:p w:rsidR="008F4078" w:rsidRDefault="008F4078" w:rsidP="001056A1">
      <w:pPr>
        <w:keepNext/>
        <w:spacing w:after="240" w:line="240" w:lineRule="auto"/>
        <w:jc w:val="both"/>
        <w:rPr>
          <w:rFonts w:ascii="Times New Roman" w:hAnsi="Times New Roman"/>
        </w:rPr>
      </w:pPr>
      <w:r w:rsidRPr="008F4078">
        <w:rPr>
          <w:rFonts w:ascii="Times New Roman" w:hAnsi="Times New Roman"/>
        </w:rPr>
        <w:t xml:space="preserve">All submissions must be in writing and received by the Authority at the address below no later than </w:t>
      </w:r>
      <w:r w:rsidR="00030A04">
        <w:rPr>
          <w:rFonts w:ascii="Times New Roman" w:hAnsi="Times New Roman"/>
          <w:b/>
        </w:rPr>
        <w:t>23</w:t>
      </w:r>
      <w:r w:rsidRPr="00C62889">
        <w:rPr>
          <w:rFonts w:ascii="Times New Roman" w:hAnsi="Times New Roman"/>
          <w:b/>
        </w:rPr>
        <w:t> </w:t>
      </w:r>
      <w:r w:rsidR="00D95364">
        <w:rPr>
          <w:rFonts w:ascii="Times New Roman" w:hAnsi="Times New Roman"/>
          <w:b/>
        </w:rPr>
        <w:t>March</w:t>
      </w:r>
      <w:r w:rsidR="000317D5">
        <w:rPr>
          <w:rFonts w:ascii="Times New Roman" w:hAnsi="Times New Roman"/>
          <w:b/>
        </w:rPr>
        <w:t> </w:t>
      </w:r>
      <w:r w:rsidRPr="008F4078">
        <w:rPr>
          <w:rFonts w:ascii="Times New Roman" w:hAnsi="Times New Roman"/>
          <w:b/>
        </w:rPr>
        <w:t>201</w:t>
      </w:r>
      <w:r w:rsidR="00C62889">
        <w:rPr>
          <w:rFonts w:ascii="Times New Roman" w:hAnsi="Times New Roman"/>
          <w:b/>
        </w:rPr>
        <w:t>8</w:t>
      </w:r>
      <w:r w:rsidRPr="00D95364">
        <w:rPr>
          <w:rFonts w:ascii="Times New Roman" w:hAnsi="Times New Roman"/>
        </w:rPr>
        <w:t>.</w:t>
      </w:r>
      <w:r w:rsidR="00DA5E51">
        <w:rPr>
          <w:rFonts w:ascii="Times New Roman" w:hAnsi="Times New Roman"/>
        </w:rPr>
        <w:t xml:space="preserve"> </w:t>
      </w:r>
    </w:p>
    <w:p w:rsidR="00030A04" w:rsidRDefault="00030A04" w:rsidP="00030A04">
      <w:pPr>
        <w:spacing w:after="120" w:line="240" w:lineRule="auto"/>
        <w:jc w:val="both"/>
        <w:rPr>
          <w:rFonts w:ascii="Times New Roman" w:hAnsi="Times New Roman"/>
        </w:rPr>
      </w:pPr>
    </w:p>
    <w:p w:rsidR="00ED708E" w:rsidRDefault="00ED708E" w:rsidP="00030A04">
      <w:pPr>
        <w:spacing w:after="120" w:line="240" w:lineRule="auto"/>
        <w:jc w:val="both"/>
        <w:rPr>
          <w:rFonts w:ascii="Times New Roman" w:hAnsi="Times New Roman"/>
        </w:rPr>
      </w:pPr>
    </w:p>
    <w:tbl>
      <w:tblPr>
        <w:tblW w:w="0" w:type="auto"/>
        <w:tblLayout w:type="fixed"/>
        <w:tblLook w:val="04A0" w:firstRow="1" w:lastRow="0" w:firstColumn="1" w:lastColumn="0" w:noHBand="0" w:noVBand="1"/>
      </w:tblPr>
      <w:tblGrid>
        <w:gridCol w:w="4106"/>
        <w:gridCol w:w="4910"/>
      </w:tblGrid>
      <w:tr w:rsidR="00030A04" w:rsidTr="00774A40">
        <w:tc>
          <w:tcPr>
            <w:tcW w:w="4106" w:type="dxa"/>
            <w:shd w:val="clear" w:color="auto" w:fill="auto"/>
          </w:tcPr>
          <w:p w:rsidR="00030A04" w:rsidRPr="00361BE8" w:rsidRDefault="00030A04" w:rsidP="00774A40">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030A04" w:rsidRPr="00361BE8" w:rsidRDefault="00030A04" w:rsidP="00774A40">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030A04" w:rsidRPr="005E4978" w:rsidRDefault="00030A04" w:rsidP="00774A40">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030A04" w:rsidRPr="005E4978" w:rsidRDefault="00030A04" w:rsidP="00774A40">
            <w:pPr>
              <w:rPr>
                <w:rFonts w:eastAsia="Calibri"/>
              </w:rPr>
            </w:pPr>
            <w:r w:rsidRPr="005E4978">
              <w:rPr>
                <w:rFonts w:eastAsia="Calibri"/>
                <w:noProof/>
                <w:lang w:eastAsia="en-AU"/>
              </w:rPr>
              <w:drawing>
                <wp:anchor distT="0" distB="0" distL="114300" distR="114300" simplePos="0" relativeHeight="251659264" behindDoc="1" locked="0" layoutInCell="1" allowOverlap="1" wp14:anchorId="3FD7F6F9" wp14:editId="5B2A7497">
                  <wp:simplePos x="0" y="0"/>
                  <wp:positionH relativeFrom="column">
                    <wp:posOffset>123825</wp:posOffset>
                  </wp:positionH>
                  <wp:positionV relativeFrom="paragraph">
                    <wp:posOffset>12700</wp:posOffset>
                  </wp:positionV>
                  <wp:extent cx="2466975" cy="533400"/>
                  <wp:effectExtent l="0" t="0" r="9525" b="0"/>
                  <wp:wrapTight wrapText="bothSides">
                    <wp:wrapPolygon edited="0">
                      <wp:start x="0" y="0"/>
                      <wp:lineTo x="0" y="20829"/>
                      <wp:lineTo x="21517" y="20829"/>
                      <wp:lineTo x="21517"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0A04" w:rsidRPr="005D464B" w:rsidTr="00774A40">
        <w:tc>
          <w:tcPr>
            <w:tcW w:w="4106" w:type="dxa"/>
            <w:shd w:val="clear" w:color="auto" w:fill="auto"/>
          </w:tcPr>
          <w:p w:rsidR="00030A04" w:rsidRPr="005D464B" w:rsidRDefault="00030A04" w:rsidP="00774A40">
            <w:pPr>
              <w:jc w:val="center"/>
              <w:rPr>
                <w:rFonts w:ascii="Times New Roman" w:eastAsia="Calibri" w:hAnsi="Times New Roman"/>
              </w:rPr>
            </w:pPr>
          </w:p>
        </w:tc>
        <w:tc>
          <w:tcPr>
            <w:tcW w:w="4910" w:type="dxa"/>
            <w:shd w:val="clear" w:color="auto" w:fill="auto"/>
          </w:tcPr>
          <w:p w:rsidR="00030A04" w:rsidRPr="00361BE8" w:rsidRDefault="00030A04" w:rsidP="00030A04">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t xml:space="preserve"> </w:t>
            </w:r>
            <w:r>
              <w:rPr>
                <w:rFonts w:ascii="Times New Roman" w:hAnsi="Times New Roman"/>
              </w:rPr>
              <w:t>3</w:t>
            </w:r>
            <w:r w:rsidRPr="00361BE8">
              <w:rPr>
                <w:rFonts w:ascii="Times New Roman" w:hAnsi="Times New Roman"/>
              </w:rPr>
              <w:t xml:space="preserve"> / </w:t>
            </w:r>
            <w:r>
              <w:rPr>
                <w:rFonts w:ascii="Times New Roman" w:hAnsi="Times New Roman"/>
              </w:rPr>
              <w:t>11</w:t>
            </w:r>
            <w:r w:rsidRPr="00361BE8">
              <w:rPr>
                <w:rFonts w:ascii="Times New Roman" w:hAnsi="Times New Roman"/>
              </w:rPr>
              <w:t xml:space="preserve"> /</w:t>
            </w:r>
            <w:r w:rsidR="00C15E61">
              <w:rPr>
                <w:rFonts w:ascii="Times New Roman" w:hAnsi="Times New Roman"/>
              </w:rPr>
              <w:t xml:space="preserve"> </w:t>
            </w:r>
            <w:r>
              <w:rPr>
                <w:rFonts w:ascii="Times New Roman" w:hAnsi="Times New Roman"/>
              </w:rPr>
              <w:t>2017</w:t>
            </w:r>
          </w:p>
        </w:tc>
      </w:tr>
    </w:tbl>
    <w:p w:rsidR="00030A04" w:rsidRDefault="00030A04" w:rsidP="00030A04">
      <w:pPr>
        <w:spacing w:after="120" w:line="240" w:lineRule="auto"/>
        <w:rPr>
          <w:rFonts w:ascii="Times New Roman" w:hAnsi="Times New Roman"/>
        </w:rPr>
      </w:pPr>
    </w:p>
    <w:sectPr w:rsidR="00030A04" w:rsidSect="00692237">
      <w:footerReference w:type="default" r:id="rId9"/>
      <w:headerReference w:type="first" r:id="rId10"/>
      <w:footerReference w:type="first" r:id="rId11"/>
      <w:type w:val="continuous"/>
      <w:pgSz w:w="11906" w:h="16838" w:code="9"/>
      <w:pgMar w:top="1134" w:right="1134" w:bottom="993"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5D5" w:rsidRPr="002B5BA6" w:rsidRDefault="00A565D5" w:rsidP="00A565D5">
    <w:pPr>
      <w:pStyle w:val="Footer"/>
      <w:jc w:val="center"/>
      <w:rPr>
        <w:rFonts w:ascii="Times New Roman" w:hAnsi="Times New Roman"/>
        <w:b/>
        <w:i/>
        <w:sz w:val="20"/>
        <w:szCs w:val="20"/>
      </w:rPr>
    </w:pPr>
    <w:r w:rsidRPr="002B5BA6">
      <w:rPr>
        <w:rFonts w:ascii="Times New Roman" w:hAnsi="Times New Roman"/>
        <w:b/>
        <w:i/>
        <w:sz w:val="20"/>
        <w:szCs w:val="20"/>
      </w:rPr>
      <w:t>Repatriation Medical Authority</w:t>
    </w:r>
  </w:p>
  <w:p w:rsidR="00A565D5" w:rsidRPr="002B5BA6" w:rsidRDefault="00A565D5" w:rsidP="00A565D5">
    <w:pPr>
      <w:pStyle w:val="Footer"/>
      <w:jc w:val="center"/>
      <w:rPr>
        <w:rFonts w:ascii="Times New Roman" w:hAnsi="Times New Roman"/>
        <w:b/>
        <w:i/>
        <w:sz w:val="20"/>
        <w:szCs w:val="20"/>
      </w:rPr>
    </w:pPr>
    <w:r w:rsidRPr="002B5BA6">
      <w:rPr>
        <w:rFonts w:ascii="Times New Roman" w:hAnsi="Times New Roman"/>
        <w:b/>
        <w:i/>
        <w:sz w:val="20"/>
        <w:szCs w:val="20"/>
      </w:rPr>
      <w:t>GPO Box 1014, Brisbane, Qld 4001</w:t>
    </w:r>
  </w:p>
  <w:p w:rsidR="00A565D5" w:rsidRDefault="00A565D5" w:rsidP="00A565D5">
    <w:pPr>
      <w:pStyle w:val="Footer"/>
      <w:jc w:val="center"/>
    </w:pPr>
    <w:r w:rsidRPr="002B5BA6">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BA6" w:rsidRPr="002B5BA6" w:rsidRDefault="002B5BA6" w:rsidP="002B5BA6">
    <w:pPr>
      <w:pStyle w:val="Footer"/>
      <w:jc w:val="center"/>
      <w:rPr>
        <w:rFonts w:ascii="Times New Roman" w:hAnsi="Times New Roman"/>
        <w:b/>
        <w:i/>
        <w:sz w:val="20"/>
        <w:szCs w:val="20"/>
      </w:rPr>
    </w:pPr>
    <w:r w:rsidRPr="002B5BA6">
      <w:rPr>
        <w:rFonts w:ascii="Times New Roman" w:hAnsi="Times New Roman"/>
        <w:b/>
        <w:i/>
        <w:sz w:val="20"/>
        <w:szCs w:val="20"/>
      </w:rPr>
      <w:t>Repatriation Medical Authority</w:t>
    </w:r>
  </w:p>
  <w:p w:rsidR="002B5BA6" w:rsidRPr="002B5BA6" w:rsidRDefault="002B5BA6" w:rsidP="002B5BA6">
    <w:pPr>
      <w:pStyle w:val="Footer"/>
      <w:jc w:val="center"/>
      <w:rPr>
        <w:rFonts w:ascii="Times New Roman" w:hAnsi="Times New Roman"/>
        <w:b/>
        <w:i/>
        <w:sz w:val="20"/>
        <w:szCs w:val="20"/>
      </w:rPr>
    </w:pPr>
    <w:r w:rsidRPr="002B5BA6">
      <w:rPr>
        <w:rFonts w:ascii="Times New Roman" w:hAnsi="Times New Roman"/>
        <w:b/>
        <w:i/>
        <w:sz w:val="20"/>
        <w:szCs w:val="20"/>
      </w:rPr>
      <w:t>GPO Box 1014, Brisbane, Qld 4001</w:t>
    </w:r>
  </w:p>
  <w:p w:rsidR="000C749A" w:rsidRPr="002B5BA6" w:rsidRDefault="002B5BA6" w:rsidP="002B5BA6">
    <w:pPr>
      <w:pStyle w:val="Footer"/>
      <w:jc w:val="center"/>
    </w:pPr>
    <w:r w:rsidRPr="002B5BA6">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8"/>
    <w:rsid w:val="00030A04"/>
    <w:rsid w:val="000317D5"/>
    <w:rsid w:val="000C749A"/>
    <w:rsid w:val="001056A1"/>
    <w:rsid w:val="00276157"/>
    <w:rsid w:val="002B0BD3"/>
    <w:rsid w:val="002B5BA6"/>
    <w:rsid w:val="0032084F"/>
    <w:rsid w:val="003846B1"/>
    <w:rsid w:val="003D1509"/>
    <w:rsid w:val="003F0EE1"/>
    <w:rsid w:val="004B1432"/>
    <w:rsid w:val="004B7E54"/>
    <w:rsid w:val="00580170"/>
    <w:rsid w:val="005A7506"/>
    <w:rsid w:val="006577D1"/>
    <w:rsid w:val="00692237"/>
    <w:rsid w:val="008F4078"/>
    <w:rsid w:val="009341B9"/>
    <w:rsid w:val="009A0F87"/>
    <w:rsid w:val="00A565D5"/>
    <w:rsid w:val="00A620CA"/>
    <w:rsid w:val="00B56DFE"/>
    <w:rsid w:val="00B939D4"/>
    <w:rsid w:val="00C15E61"/>
    <w:rsid w:val="00C62889"/>
    <w:rsid w:val="00C71187"/>
    <w:rsid w:val="00D95364"/>
    <w:rsid w:val="00DA5E51"/>
    <w:rsid w:val="00E50053"/>
    <w:rsid w:val="00EB5101"/>
    <w:rsid w:val="00EC319D"/>
    <w:rsid w:val="00ED708E"/>
    <w:rsid w:val="00EF0818"/>
    <w:rsid w:val="00F6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20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rma.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2979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2017-10-31T02:20:00Z</dcterms:created>
  <dcterms:modified xsi:type="dcterms:W3CDTF">2017-11-03T00:09:00Z</dcterms:modified>
</cp:coreProperties>
</file>