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9A" w:rsidRDefault="00972E23">
      <w:pPr>
        <w:pStyle w:val="FormTitle"/>
      </w:pPr>
      <w:bookmarkStart w:id="0" w:name="_GoBack"/>
      <w:bookmarkEnd w:id="0"/>
      <w:r>
        <w:rPr>
          <w:noProof/>
        </w:rPr>
        <w:drawing>
          <wp:inline distT="0" distB="0" distL="0" distR="0">
            <wp:extent cx="3068955" cy="94615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46150"/>
                    </a:xfrm>
                    <a:prstGeom prst="rect">
                      <a:avLst/>
                    </a:prstGeom>
                    <a:noFill/>
                    <a:ln>
                      <a:noFill/>
                    </a:ln>
                  </pic:spPr>
                </pic:pic>
              </a:graphicData>
            </a:graphic>
          </wp:inline>
        </w:drawing>
      </w:r>
    </w:p>
    <w:p w:rsidR="000154C1" w:rsidRDefault="000154C1" w:rsidP="000154C1">
      <w:pPr>
        <w:pStyle w:val="FormTitle"/>
        <w:rPr>
          <w:sz w:val="24"/>
          <w:szCs w:val="24"/>
        </w:rPr>
      </w:pPr>
    </w:p>
    <w:p w:rsidR="000154C1" w:rsidRDefault="000154C1" w:rsidP="000154C1">
      <w:pPr>
        <w:pStyle w:val="FormTitle"/>
        <w:rPr>
          <w:sz w:val="24"/>
          <w:szCs w:val="24"/>
        </w:rPr>
      </w:pPr>
    </w:p>
    <w:p w:rsidR="000154C1" w:rsidRDefault="000154C1" w:rsidP="000154C1">
      <w:pPr>
        <w:pStyle w:val="FormTitle"/>
        <w:rPr>
          <w:sz w:val="24"/>
          <w:szCs w:val="24"/>
        </w:rPr>
      </w:pPr>
      <w:r>
        <w:rPr>
          <w:sz w:val="24"/>
          <w:szCs w:val="24"/>
        </w:rPr>
        <w:t xml:space="preserve">REPATRIATION MEDICAL AUTHORITY </w:t>
      </w:r>
    </w:p>
    <w:p w:rsidR="000154C1" w:rsidRDefault="000154C1" w:rsidP="000154C1">
      <w:pPr>
        <w:pStyle w:val="FormTitle"/>
        <w:rPr>
          <w:sz w:val="24"/>
          <w:szCs w:val="24"/>
        </w:rPr>
      </w:pPr>
      <w:r>
        <w:rPr>
          <w:sz w:val="24"/>
          <w:szCs w:val="24"/>
        </w:rPr>
        <w:t xml:space="preserve">Statement of Reasons </w:t>
      </w:r>
    </w:p>
    <w:p w:rsidR="000154C1" w:rsidRPr="003F7DD3" w:rsidRDefault="000154C1" w:rsidP="000154C1">
      <w:pPr>
        <w:pStyle w:val="FormTitle"/>
        <w:rPr>
          <w:i/>
          <w:sz w:val="24"/>
          <w:szCs w:val="24"/>
        </w:rPr>
      </w:pPr>
      <w:r>
        <w:rPr>
          <w:sz w:val="24"/>
          <w:szCs w:val="24"/>
        </w:rPr>
        <w:t xml:space="preserve">S196B(9) </w:t>
      </w:r>
      <w:r>
        <w:rPr>
          <w:i/>
          <w:sz w:val="24"/>
          <w:szCs w:val="24"/>
        </w:rPr>
        <w:t>Veterans' Entitlements Act 1986</w:t>
      </w:r>
    </w:p>
    <w:p w:rsidR="00C44AE3" w:rsidRDefault="000154C1" w:rsidP="00C44AE3">
      <w:pPr>
        <w:pStyle w:val="FormTitle"/>
        <w:spacing w:after="0"/>
        <w:rPr>
          <w:sz w:val="24"/>
          <w:szCs w:val="24"/>
        </w:rPr>
      </w:pPr>
      <w:r>
        <w:rPr>
          <w:sz w:val="24"/>
          <w:szCs w:val="24"/>
        </w:rPr>
        <w:t xml:space="preserve">Decision not to amend the current Statements of Principles concerning </w:t>
      </w:r>
      <w:r w:rsidR="00972E23">
        <w:rPr>
          <w:sz w:val="24"/>
          <w:szCs w:val="24"/>
        </w:rPr>
        <w:t>MALIGNANT NEOPLASM OF THE BLADDER</w:t>
      </w:r>
      <w:r w:rsidR="00886FB2">
        <w:rPr>
          <w:sz w:val="24"/>
          <w:szCs w:val="24"/>
        </w:rPr>
        <w:t xml:space="preserve"> </w:t>
      </w:r>
    </w:p>
    <w:p w:rsidR="000154C1" w:rsidRDefault="000154C1" w:rsidP="00C44AE3">
      <w:pPr>
        <w:pStyle w:val="FormTitle"/>
        <w:spacing w:before="0" w:after="120"/>
        <w:rPr>
          <w:rFonts w:ascii="Times New Roman" w:hAnsi="Times New Roman" w:cs="Times New Roman"/>
        </w:rPr>
      </w:pPr>
      <w:r>
        <w:rPr>
          <w:sz w:val="24"/>
          <w:szCs w:val="24"/>
        </w:rPr>
        <w:t xml:space="preserve">following a review </w:t>
      </w:r>
    </w:p>
    <w:p w:rsidR="00613495" w:rsidRDefault="000154C1" w:rsidP="00C44AE3">
      <w:pPr>
        <w:pStyle w:val="TOC3"/>
        <w:jc w:val="center"/>
      </w:pPr>
      <w:r>
        <w:rPr>
          <w:sz w:val="22"/>
        </w:rPr>
        <w:t xml:space="preserve">Statements of Principles </w:t>
      </w:r>
      <w:r w:rsidR="00945C45">
        <w:rPr>
          <w:sz w:val="22"/>
        </w:rPr>
        <w:t>I</w:t>
      </w:r>
      <w:r>
        <w:rPr>
          <w:sz w:val="22"/>
        </w:rPr>
        <w:t xml:space="preserve">nstrument Nos. </w:t>
      </w:r>
      <w:r w:rsidR="00972E23">
        <w:rPr>
          <w:sz w:val="22"/>
        </w:rPr>
        <w:t>9</w:t>
      </w:r>
      <w:r w:rsidR="00AC144C">
        <w:rPr>
          <w:sz w:val="22"/>
        </w:rPr>
        <w:t>6</w:t>
      </w:r>
      <w:r>
        <w:rPr>
          <w:sz w:val="22"/>
        </w:rPr>
        <w:t xml:space="preserve"> &amp; </w:t>
      </w:r>
      <w:r w:rsidR="00972E23">
        <w:rPr>
          <w:sz w:val="22"/>
        </w:rPr>
        <w:t>9</w:t>
      </w:r>
      <w:r w:rsidR="00AC144C">
        <w:rPr>
          <w:sz w:val="22"/>
        </w:rPr>
        <w:t>7</w:t>
      </w:r>
      <w:r>
        <w:rPr>
          <w:sz w:val="22"/>
        </w:rPr>
        <w:t xml:space="preserve"> of 20</w:t>
      </w:r>
      <w:r w:rsidR="00886FB2">
        <w:rPr>
          <w:sz w:val="22"/>
        </w:rPr>
        <w:t>1</w:t>
      </w:r>
      <w:r w:rsidR="00972E23">
        <w:rPr>
          <w:sz w:val="22"/>
        </w:rPr>
        <w:t>1</w:t>
      </w:r>
      <w:r w:rsidR="00DA7A9A">
        <w:br w:type="page"/>
      </w:r>
      <w:r w:rsidR="00DA7A9A">
        <w:rPr>
          <w:rFonts w:ascii="Arial" w:hAnsi="Arial"/>
          <w:b/>
          <w:caps/>
          <w:szCs w:val="22"/>
        </w:rPr>
        <w:fldChar w:fldCharType="begin"/>
      </w:r>
      <w:r w:rsidR="00DA7A9A">
        <w:instrText xml:space="preserve"> TOC \h \z \t "Heading 2,4,Heading 3,5,Part Heading,3,Contents Heading,2,Alpha Heading,1" </w:instrText>
      </w:r>
      <w:r w:rsidR="00DA7A9A">
        <w:rPr>
          <w:rFonts w:ascii="Arial" w:hAnsi="Arial"/>
          <w:b/>
          <w:caps/>
          <w:szCs w:val="22"/>
        </w:rPr>
        <w:fldChar w:fldCharType="separate"/>
      </w:r>
    </w:p>
    <w:p w:rsidR="00613495" w:rsidRDefault="00986A60">
      <w:pPr>
        <w:pStyle w:val="TOC3"/>
        <w:rPr>
          <w:rFonts w:asciiTheme="minorHAnsi" w:eastAsiaTheme="minorEastAsia" w:hAnsiTheme="minorHAnsi" w:cstheme="minorBidi"/>
          <w:sz w:val="22"/>
          <w:szCs w:val="22"/>
        </w:rPr>
      </w:pPr>
      <w:hyperlink w:anchor="_Toc458083493" w:history="1">
        <w:r w:rsidR="00613495" w:rsidRPr="00932C2F">
          <w:rPr>
            <w:rStyle w:val="Hyperlink"/>
          </w:rPr>
          <w:t>Part  I</w:t>
        </w:r>
        <w:r w:rsidR="00613495">
          <w:rPr>
            <w:rFonts w:asciiTheme="minorHAnsi" w:eastAsiaTheme="minorEastAsia" w:hAnsiTheme="minorHAnsi" w:cstheme="minorBidi"/>
            <w:sz w:val="22"/>
            <w:szCs w:val="22"/>
          </w:rPr>
          <w:tab/>
        </w:r>
        <w:r w:rsidR="00613495" w:rsidRPr="00932C2F">
          <w:rPr>
            <w:rStyle w:val="Hyperlink"/>
          </w:rPr>
          <w:t>INTRODUCTION</w:t>
        </w:r>
        <w:r w:rsidR="00613495">
          <w:rPr>
            <w:webHidden/>
          </w:rPr>
          <w:tab/>
        </w:r>
        <w:r w:rsidR="00613495">
          <w:rPr>
            <w:webHidden/>
          </w:rPr>
          <w:fldChar w:fldCharType="begin"/>
        </w:r>
        <w:r w:rsidR="00613495">
          <w:rPr>
            <w:webHidden/>
          </w:rPr>
          <w:instrText xml:space="preserve"> PAGEREF _Toc458083493 \h </w:instrText>
        </w:r>
        <w:r w:rsidR="00613495">
          <w:rPr>
            <w:webHidden/>
          </w:rPr>
        </w:r>
        <w:r w:rsidR="00613495">
          <w:rPr>
            <w:webHidden/>
          </w:rPr>
          <w:fldChar w:fldCharType="separate"/>
        </w:r>
        <w:r w:rsidR="002B0D5F">
          <w:rPr>
            <w:webHidden/>
          </w:rPr>
          <w:t>3</w:t>
        </w:r>
        <w:r w:rsidR="00613495">
          <w:rPr>
            <w:webHidden/>
          </w:rPr>
          <w:fldChar w:fldCharType="end"/>
        </w:r>
      </w:hyperlink>
    </w:p>
    <w:p w:rsidR="00613495" w:rsidRDefault="00986A60">
      <w:pPr>
        <w:pStyle w:val="TOC3"/>
        <w:rPr>
          <w:rFonts w:asciiTheme="minorHAnsi" w:eastAsiaTheme="minorEastAsia" w:hAnsiTheme="minorHAnsi" w:cstheme="minorBidi"/>
          <w:sz w:val="22"/>
          <w:szCs w:val="22"/>
        </w:rPr>
      </w:pPr>
      <w:hyperlink w:anchor="_Toc458083494" w:history="1">
        <w:r w:rsidR="00613495" w:rsidRPr="00932C2F">
          <w:rPr>
            <w:rStyle w:val="Hyperlink"/>
          </w:rPr>
          <w:t>Part  II</w:t>
        </w:r>
        <w:r w:rsidR="00613495">
          <w:rPr>
            <w:rFonts w:asciiTheme="minorHAnsi" w:eastAsiaTheme="minorEastAsia" w:hAnsiTheme="minorHAnsi" w:cstheme="minorBidi"/>
            <w:sz w:val="22"/>
            <w:szCs w:val="22"/>
          </w:rPr>
          <w:tab/>
        </w:r>
        <w:r w:rsidR="00613495" w:rsidRPr="00932C2F">
          <w:rPr>
            <w:rStyle w:val="Hyperlink"/>
          </w:rPr>
          <w:t>Background to the Investigation</w:t>
        </w:r>
        <w:r w:rsidR="00613495">
          <w:rPr>
            <w:webHidden/>
          </w:rPr>
          <w:tab/>
        </w:r>
        <w:r w:rsidR="00613495">
          <w:rPr>
            <w:webHidden/>
          </w:rPr>
          <w:fldChar w:fldCharType="begin"/>
        </w:r>
        <w:r w:rsidR="00613495">
          <w:rPr>
            <w:webHidden/>
          </w:rPr>
          <w:instrText xml:space="preserve"> PAGEREF _Toc458083494 \h </w:instrText>
        </w:r>
        <w:r w:rsidR="00613495">
          <w:rPr>
            <w:webHidden/>
          </w:rPr>
        </w:r>
        <w:r w:rsidR="00613495">
          <w:rPr>
            <w:webHidden/>
          </w:rPr>
          <w:fldChar w:fldCharType="separate"/>
        </w:r>
        <w:r w:rsidR="002B0D5F">
          <w:rPr>
            <w:webHidden/>
          </w:rPr>
          <w:t>3</w:t>
        </w:r>
        <w:r w:rsidR="00613495">
          <w:rPr>
            <w:webHidden/>
          </w:rPr>
          <w:fldChar w:fldCharType="end"/>
        </w:r>
      </w:hyperlink>
    </w:p>
    <w:p w:rsidR="00613495" w:rsidRDefault="00986A60">
      <w:pPr>
        <w:pStyle w:val="TOC3"/>
        <w:rPr>
          <w:rFonts w:asciiTheme="minorHAnsi" w:eastAsiaTheme="minorEastAsia" w:hAnsiTheme="minorHAnsi" w:cstheme="minorBidi"/>
          <w:sz w:val="22"/>
          <w:szCs w:val="22"/>
        </w:rPr>
      </w:pPr>
      <w:hyperlink w:anchor="_Toc458083495" w:history="1">
        <w:r w:rsidR="00613495" w:rsidRPr="00932C2F">
          <w:rPr>
            <w:rStyle w:val="Hyperlink"/>
          </w:rPr>
          <w:t>Part  III</w:t>
        </w:r>
        <w:r w:rsidR="00613495">
          <w:rPr>
            <w:rFonts w:asciiTheme="minorHAnsi" w:eastAsiaTheme="minorEastAsia" w:hAnsiTheme="minorHAnsi" w:cstheme="minorBidi"/>
            <w:sz w:val="22"/>
            <w:szCs w:val="22"/>
          </w:rPr>
          <w:tab/>
        </w:r>
        <w:r w:rsidR="00613495" w:rsidRPr="00932C2F">
          <w:rPr>
            <w:rStyle w:val="Hyperlink"/>
          </w:rPr>
          <w:t>Submissions received by the Authority pursuant to section 196F</w:t>
        </w:r>
        <w:r w:rsidR="00613495">
          <w:rPr>
            <w:webHidden/>
          </w:rPr>
          <w:tab/>
        </w:r>
        <w:r w:rsidR="00613495">
          <w:rPr>
            <w:webHidden/>
          </w:rPr>
          <w:fldChar w:fldCharType="begin"/>
        </w:r>
        <w:r w:rsidR="00613495">
          <w:rPr>
            <w:webHidden/>
          </w:rPr>
          <w:instrText xml:space="preserve"> PAGEREF _Toc458083495 \h </w:instrText>
        </w:r>
        <w:r w:rsidR="00613495">
          <w:rPr>
            <w:webHidden/>
          </w:rPr>
        </w:r>
        <w:r w:rsidR="00613495">
          <w:rPr>
            <w:webHidden/>
          </w:rPr>
          <w:fldChar w:fldCharType="separate"/>
        </w:r>
        <w:r w:rsidR="002B0D5F">
          <w:rPr>
            <w:webHidden/>
          </w:rPr>
          <w:t>4</w:t>
        </w:r>
        <w:r w:rsidR="00613495">
          <w:rPr>
            <w:webHidden/>
          </w:rPr>
          <w:fldChar w:fldCharType="end"/>
        </w:r>
      </w:hyperlink>
    </w:p>
    <w:p w:rsidR="00613495" w:rsidRDefault="00986A60">
      <w:pPr>
        <w:pStyle w:val="TOC3"/>
        <w:rPr>
          <w:rFonts w:asciiTheme="minorHAnsi" w:eastAsiaTheme="minorEastAsia" w:hAnsiTheme="minorHAnsi" w:cstheme="minorBidi"/>
          <w:sz w:val="22"/>
          <w:szCs w:val="22"/>
        </w:rPr>
      </w:pPr>
      <w:hyperlink w:anchor="_Toc458083496" w:history="1">
        <w:r w:rsidR="00613495" w:rsidRPr="00932C2F">
          <w:rPr>
            <w:rStyle w:val="Hyperlink"/>
          </w:rPr>
          <w:t>Part  IV</w:t>
        </w:r>
        <w:r w:rsidR="00613495">
          <w:rPr>
            <w:rFonts w:asciiTheme="minorHAnsi" w:eastAsiaTheme="minorEastAsia" w:hAnsiTheme="minorHAnsi" w:cstheme="minorBidi"/>
            <w:sz w:val="22"/>
            <w:szCs w:val="22"/>
          </w:rPr>
          <w:tab/>
        </w:r>
        <w:r w:rsidR="00613495" w:rsidRPr="00932C2F">
          <w:rPr>
            <w:rStyle w:val="Hyperlink"/>
          </w:rPr>
          <w:t>Evidence/Information Available to the Repatriation Medical Authority</w:t>
        </w:r>
        <w:r w:rsidR="00613495">
          <w:rPr>
            <w:webHidden/>
          </w:rPr>
          <w:tab/>
        </w:r>
        <w:r w:rsidR="00613495">
          <w:rPr>
            <w:webHidden/>
          </w:rPr>
          <w:fldChar w:fldCharType="begin"/>
        </w:r>
        <w:r w:rsidR="00613495">
          <w:rPr>
            <w:webHidden/>
          </w:rPr>
          <w:instrText xml:space="preserve"> PAGEREF _Toc458083496 \h </w:instrText>
        </w:r>
        <w:r w:rsidR="00613495">
          <w:rPr>
            <w:webHidden/>
          </w:rPr>
        </w:r>
        <w:r w:rsidR="00613495">
          <w:rPr>
            <w:webHidden/>
          </w:rPr>
          <w:fldChar w:fldCharType="separate"/>
        </w:r>
        <w:r w:rsidR="002B0D5F">
          <w:rPr>
            <w:webHidden/>
          </w:rPr>
          <w:t>4</w:t>
        </w:r>
        <w:r w:rsidR="00613495">
          <w:rPr>
            <w:webHidden/>
          </w:rPr>
          <w:fldChar w:fldCharType="end"/>
        </w:r>
      </w:hyperlink>
    </w:p>
    <w:p w:rsidR="00613495" w:rsidRDefault="00986A60">
      <w:pPr>
        <w:pStyle w:val="TOC3"/>
        <w:rPr>
          <w:rFonts w:asciiTheme="minorHAnsi" w:eastAsiaTheme="minorEastAsia" w:hAnsiTheme="minorHAnsi" w:cstheme="minorBidi"/>
          <w:sz w:val="22"/>
          <w:szCs w:val="22"/>
        </w:rPr>
      </w:pPr>
      <w:hyperlink w:anchor="_Toc458083497" w:history="1">
        <w:r w:rsidR="00613495" w:rsidRPr="00932C2F">
          <w:rPr>
            <w:rStyle w:val="Hyperlink"/>
          </w:rPr>
          <w:t>Part  V</w:t>
        </w:r>
        <w:r w:rsidR="00613495">
          <w:rPr>
            <w:rFonts w:asciiTheme="minorHAnsi" w:eastAsiaTheme="minorEastAsia" w:hAnsiTheme="minorHAnsi" w:cstheme="minorBidi"/>
            <w:sz w:val="22"/>
            <w:szCs w:val="22"/>
          </w:rPr>
          <w:tab/>
        </w:r>
        <w:r w:rsidR="00613495" w:rsidRPr="00932C2F">
          <w:rPr>
            <w:rStyle w:val="Hyperlink"/>
          </w:rPr>
          <w:t>Sound medical-scientific evidence</w:t>
        </w:r>
        <w:r w:rsidR="00613495">
          <w:rPr>
            <w:webHidden/>
          </w:rPr>
          <w:tab/>
        </w:r>
        <w:r w:rsidR="00613495">
          <w:rPr>
            <w:webHidden/>
          </w:rPr>
          <w:fldChar w:fldCharType="begin"/>
        </w:r>
        <w:r w:rsidR="00613495">
          <w:rPr>
            <w:webHidden/>
          </w:rPr>
          <w:instrText xml:space="preserve"> PAGEREF _Toc458083497 \h </w:instrText>
        </w:r>
        <w:r w:rsidR="00613495">
          <w:rPr>
            <w:webHidden/>
          </w:rPr>
        </w:r>
        <w:r w:rsidR="00613495">
          <w:rPr>
            <w:webHidden/>
          </w:rPr>
          <w:fldChar w:fldCharType="separate"/>
        </w:r>
        <w:r w:rsidR="002B0D5F">
          <w:rPr>
            <w:webHidden/>
          </w:rPr>
          <w:t>4</w:t>
        </w:r>
        <w:r w:rsidR="00613495">
          <w:rPr>
            <w:webHidden/>
          </w:rPr>
          <w:fldChar w:fldCharType="end"/>
        </w:r>
      </w:hyperlink>
    </w:p>
    <w:p w:rsidR="00613495" w:rsidRDefault="00986A60">
      <w:pPr>
        <w:pStyle w:val="TOC3"/>
        <w:rPr>
          <w:rFonts w:asciiTheme="minorHAnsi" w:eastAsiaTheme="minorEastAsia" w:hAnsiTheme="minorHAnsi" w:cstheme="minorBidi"/>
          <w:sz w:val="22"/>
          <w:szCs w:val="22"/>
        </w:rPr>
      </w:pPr>
      <w:hyperlink w:anchor="_Toc458083498" w:history="1">
        <w:r w:rsidR="00613495" w:rsidRPr="00932C2F">
          <w:rPr>
            <w:rStyle w:val="Hyperlink"/>
          </w:rPr>
          <w:t>Part  VI</w:t>
        </w:r>
        <w:r w:rsidR="00613495">
          <w:rPr>
            <w:rFonts w:asciiTheme="minorHAnsi" w:eastAsiaTheme="minorEastAsia" w:hAnsiTheme="minorHAnsi" w:cstheme="minorBidi"/>
            <w:sz w:val="22"/>
            <w:szCs w:val="22"/>
          </w:rPr>
          <w:tab/>
        </w:r>
        <w:r w:rsidR="00613495" w:rsidRPr="00932C2F">
          <w:rPr>
            <w:rStyle w:val="Hyperlink"/>
          </w:rPr>
          <w:t>Reasons for the decision</w:t>
        </w:r>
        <w:r w:rsidR="00613495">
          <w:rPr>
            <w:webHidden/>
          </w:rPr>
          <w:tab/>
        </w:r>
        <w:r w:rsidR="00613495">
          <w:rPr>
            <w:webHidden/>
          </w:rPr>
          <w:fldChar w:fldCharType="begin"/>
        </w:r>
        <w:r w:rsidR="00613495">
          <w:rPr>
            <w:webHidden/>
          </w:rPr>
          <w:instrText xml:space="preserve"> PAGEREF _Toc458083498 \h </w:instrText>
        </w:r>
        <w:r w:rsidR="00613495">
          <w:rPr>
            <w:webHidden/>
          </w:rPr>
        </w:r>
        <w:r w:rsidR="00613495">
          <w:rPr>
            <w:webHidden/>
          </w:rPr>
          <w:fldChar w:fldCharType="separate"/>
        </w:r>
        <w:r w:rsidR="002B0D5F">
          <w:rPr>
            <w:webHidden/>
          </w:rPr>
          <w:t>5</w:t>
        </w:r>
        <w:r w:rsidR="00613495">
          <w:rPr>
            <w:webHidden/>
          </w:rPr>
          <w:fldChar w:fldCharType="end"/>
        </w:r>
      </w:hyperlink>
    </w:p>
    <w:p w:rsidR="00613495" w:rsidRDefault="00986A60">
      <w:pPr>
        <w:pStyle w:val="TOC3"/>
        <w:rPr>
          <w:rFonts w:asciiTheme="minorHAnsi" w:eastAsiaTheme="minorEastAsia" w:hAnsiTheme="minorHAnsi" w:cstheme="minorBidi"/>
          <w:sz w:val="22"/>
          <w:szCs w:val="22"/>
        </w:rPr>
      </w:pPr>
      <w:hyperlink w:anchor="_Toc458083499" w:history="1">
        <w:r w:rsidR="00613495" w:rsidRPr="00932C2F">
          <w:rPr>
            <w:rStyle w:val="Hyperlink"/>
          </w:rPr>
          <w:t>Part  VII</w:t>
        </w:r>
        <w:r w:rsidR="00613495">
          <w:rPr>
            <w:rFonts w:asciiTheme="minorHAnsi" w:eastAsiaTheme="minorEastAsia" w:hAnsiTheme="minorHAnsi" w:cstheme="minorBidi"/>
            <w:sz w:val="22"/>
            <w:szCs w:val="22"/>
          </w:rPr>
          <w:tab/>
        </w:r>
        <w:r w:rsidR="00613495" w:rsidRPr="00932C2F">
          <w:rPr>
            <w:rStyle w:val="Hyperlink"/>
          </w:rPr>
          <w:t>Decision</w:t>
        </w:r>
        <w:r w:rsidR="00613495">
          <w:rPr>
            <w:webHidden/>
          </w:rPr>
          <w:tab/>
        </w:r>
        <w:r w:rsidR="00613495">
          <w:rPr>
            <w:webHidden/>
          </w:rPr>
          <w:fldChar w:fldCharType="begin"/>
        </w:r>
        <w:r w:rsidR="00613495">
          <w:rPr>
            <w:webHidden/>
          </w:rPr>
          <w:instrText xml:space="preserve"> PAGEREF _Toc458083499 \h </w:instrText>
        </w:r>
        <w:r w:rsidR="00613495">
          <w:rPr>
            <w:webHidden/>
          </w:rPr>
        </w:r>
        <w:r w:rsidR="00613495">
          <w:rPr>
            <w:webHidden/>
          </w:rPr>
          <w:fldChar w:fldCharType="separate"/>
        </w:r>
        <w:r w:rsidR="002B0D5F">
          <w:rPr>
            <w:webHidden/>
          </w:rPr>
          <w:t>8</w:t>
        </w:r>
        <w:r w:rsidR="00613495">
          <w:rPr>
            <w:webHidden/>
          </w:rPr>
          <w:fldChar w:fldCharType="end"/>
        </w:r>
      </w:hyperlink>
    </w:p>
    <w:p w:rsidR="00613495" w:rsidRDefault="00986A60">
      <w:pPr>
        <w:pStyle w:val="TOC3"/>
        <w:rPr>
          <w:rFonts w:asciiTheme="minorHAnsi" w:eastAsiaTheme="minorEastAsia" w:hAnsiTheme="minorHAnsi" w:cstheme="minorBidi"/>
          <w:sz w:val="22"/>
          <w:szCs w:val="22"/>
        </w:rPr>
      </w:pPr>
      <w:hyperlink w:anchor="_Toc458083500" w:history="1">
        <w:r w:rsidR="00613495" w:rsidRPr="00932C2F">
          <w:rPr>
            <w:rStyle w:val="Hyperlink"/>
          </w:rPr>
          <w:t>Part  VIII</w:t>
        </w:r>
        <w:r w:rsidR="00613495">
          <w:rPr>
            <w:rFonts w:asciiTheme="minorHAnsi" w:eastAsiaTheme="minorEastAsia" w:hAnsiTheme="minorHAnsi" w:cstheme="minorBidi"/>
            <w:sz w:val="22"/>
            <w:szCs w:val="22"/>
          </w:rPr>
          <w:tab/>
        </w:r>
        <w:r w:rsidR="00613495" w:rsidRPr="00932C2F">
          <w:rPr>
            <w:rStyle w:val="Hyperlink"/>
          </w:rPr>
          <w:t>Bibliography</w:t>
        </w:r>
        <w:r w:rsidR="00613495">
          <w:rPr>
            <w:webHidden/>
          </w:rPr>
          <w:tab/>
        </w:r>
        <w:r w:rsidR="00613495">
          <w:rPr>
            <w:webHidden/>
          </w:rPr>
          <w:fldChar w:fldCharType="begin"/>
        </w:r>
        <w:r w:rsidR="00613495">
          <w:rPr>
            <w:webHidden/>
          </w:rPr>
          <w:instrText xml:space="preserve"> PAGEREF _Toc458083500 \h </w:instrText>
        </w:r>
        <w:r w:rsidR="00613495">
          <w:rPr>
            <w:webHidden/>
          </w:rPr>
        </w:r>
        <w:r w:rsidR="00613495">
          <w:rPr>
            <w:webHidden/>
          </w:rPr>
          <w:fldChar w:fldCharType="separate"/>
        </w:r>
        <w:r w:rsidR="002B0D5F">
          <w:rPr>
            <w:webHidden/>
          </w:rPr>
          <w:t>9</w:t>
        </w:r>
        <w:r w:rsidR="00613495">
          <w:rPr>
            <w:webHidden/>
          </w:rPr>
          <w:fldChar w:fldCharType="end"/>
        </w:r>
      </w:hyperlink>
    </w:p>
    <w:p w:rsidR="00DA7A9A" w:rsidRDefault="00DA7A9A">
      <w:r>
        <w:fldChar w:fldCharType="end"/>
      </w:r>
    </w:p>
    <w:p w:rsidR="00DA7A9A" w:rsidRDefault="00DA7A9A">
      <w:pPr>
        <w:pStyle w:val="FormTitle"/>
      </w:pPr>
    </w:p>
    <w:p w:rsidR="00DA7A9A" w:rsidRDefault="00DA7A9A">
      <w:pPr>
        <w:pStyle w:val="FormTitle"/>
      </w:pPr>
    </w:p>
    <w:p w:rsidR="00DA7A9A" w:rsidRDefault="00DA7A9A">
      <w:pPr>
        <w:pStyle w:val="FormTitle"/>
      </w:pPr>
      <w:r>
        <w:br w:type="page"/>
      </w:r>
    </w:p>
    <w:p w:rsidR="00DA7A9A" w:rsidRDefault="00DA7A9A">
      <w:pPr>
        <w:pStyle w:val="PartHeading"/>
      </w:pPr>
      <w:bookmarkStart w:id="1" w:name="InsertFileHere"/>
      <w:bookmarkStart w:id="2" w:name="TOC"/>
      <w:bookmarkStart w:id="3" w:name="_Toc458083493"/>
      <w:bookmarkEnd w:id="1"/>
      <w:bookmarkEnd w:id="2"/>
      <w:r>
        <w:lastRenderedPageBreak/>
        <w:t>INTRODUCTION</w:t>
      </w:r>
      <w:bookmarkEnd w:id="3"/>
    </w:p>
    <w:p w:rsidR="00DA7A9A" w:rsidRDefault="00DA7A9A" w:rsidP="00CF3D3C">
      <w:pPr>
        <w:pStyle w:val="NumberLevel1"/>
        <w:jc w:val="both"/>
      </w:pPr>
      <w:r>
        <w:t xml:space="preserve">The Repatriation Medical Authority (the Authority) has decided not to amend the Statements of Principles concerning </w:t>
      </w:r>
      <w:r w:rsidR="00AC144C">
        <w:t>malignant neoplasm of the bladder</w:t>
      </w:r>
      <w:r>
        <w:t xml:space="preserve"> Instrument Nos</w:t>
      </w:r>
      <w:r w:rsidR="00E674E2">
        <w:t xml:space="preserve">. </w:t>
      </w:r>
      <w:r w:rsidR="00AC144C">
        <w:t>96</w:t>
      </w:r>
      <w:r w:rsidR="00E674E2">
        <w:t xml:space="preserve"> &amp; </w:t>
      </w:r>
      <w:r w:rsidR="00AC144C">
        <w:t>97</w:t>
      </w:r>
      <w:r w:rsidR="00886FB2">
        <w:t xml:space="preserve"> </w:t>
      </w:r>
      <w:r w:rsidR="00E674E2">
        <w:t>of 20</w:t>
      </w:r>
      <w:r w:rsidR="00886FB2">
        <w:t>1</w:t>
      </w:r>
      <w:r w:rsidR="00AC144C">
        <w:t>1</w:t>
      </w:r>
      <w:r w:rsidR="000154C1">
        <w:t>,</w:t>
      </w:r>
      <w:r>
        <w:t xml:space="preserve"> under subsection 196B(9) of the </w:t>
      </w:r>
      <w:r>
        <w:rPr>
          <w:i/>
        </w:rPr>
        <w:t xml:space="preserve">Veterans’ Entitlements Act </w:t>
      </w:r>
      <w:r w:rsidRPr="004B3BD3">
        <w:t>1986</w:t>
      </w:r>
      <w:r>
        <w:t xml:space="preserve"> (the Act), following an investigation which was notified in the </w:t>
      </w:r>
      <w:r>
        <w:rPr>
          <w:i/>
        </w:rPr>
        <w:t>Commonwealth of Australia Gazette</w:t>
      </w:r>
      <w:r>
        <w:t xml:space="preserve"> on </w:t>
      </w:r>
      <w:r w:rsidR="00AC144C">
        <w:t>3 May 2016</w:t>
      </w:r>
      <w:r>
        <w:t>.</w:t>
      </w:r>
    </w:p>
    <w:p w:rsidR="00DA7A9A" w:rsidRDefault="00DA7A9A" w:rsidP="00CF3D3C">
      <w:pPr>
        <w:pStyle w:val="NumberLevel1"/>
        <w:jc w:val="both"/>
      </w:pPr>
      <w:r>
        <w:t>The Authority concluded that the</w:t>
      </w:r>
      <w:r w:rsidR="00F146BB">
        <w:t>re is insufficient</w:t>
      </w:r>
      <w:r>
        <w:t xml:space="preserve"> </w:t>
      </w:r>
      <w:r w:rsidR="000154C1">
        <w:t xml:space="preserve">new </w:t>
      </w:r>
      <w:r>
        <w:t xml:space="preserve">sound medical-scientific evidence to justify an amendment to Statements of Principles Instrument Nos. </w:t>
      </w:r>
      <w:r w:rsidR="00AC144C">
        <w:t>96</w:t>
      </w:r>
      <w:r w:rsidR="00E674E2">
        <w:t xml:space="preserve"> </w:t>
      </w:r>
      <w:r w:rsidR="00975D41">
        <w:t>and</w:t>
      </w:r>
      <w:r w:rsidR="00E674E2">
        <w:t xml:space="preserve"> </w:t>
      </w:r>
      <w:r w:rsidR="00AC144C">
        <w:t>97</w:t>
      </w:r>
      <w:r w:rsidR="00E674E2">
        <w:t xml:space="preserve"> of 20</w:t>
      </w:r>
      <w:r w:rsidR="00886FB2">
        <w:t>1</w:t>
      </w:r>
      <w:r w:rsidR="00AC144C">
        <w:t>1</w:t>
      </w:r>
      <w:r w:rsidR="000154C1">
        <w:t>,</w:t>
      </w:r>
      <w:r>
        <w:t xml:space="preserve"> already determined in respect of </w:t>
      </w:r>
      <w:r w:rsidR="00AC144C">
        <w:t>malignant neoplasm of the bladder</w:t>
      </w:r>
      <w:r>
        <w:t>.</w:t>
      </w:r>
    </w:p>
    <w:p w:rsidR="00DA7A9A" w:rsidRDefault="00DA7A9A">
      <w:pPr>
        <w:pStyle w:val="PartHeading"/>
      </w:pPr>
      <w:bookmarkStart w:id="4" w:name="_Toc458083494"/>
      <w:r>
        <w:t>Background to the Investigation</w:t>
      </w:r>
      <w:bookmarkEnd w:id="4"/>
      <w:r>
        <w:t xml:space="preserve"> </w:t>
      </w:r>
    </w:p>
    <w:p w:rsidR="00A05350" w:rsidRPr="00EC1F9F" w:rsidRDefault="00A05350" w:rsidP="00A05350">
      <w:pPr>
        <w:pStyle w:val="NumberLevel1"/>
      </w:pPr>
      <w:r w:rsidRPr="00C44AE3">
        <w:t>On 6 April 2016, the Authority decided to initiate a review</w:t>
      </w:r>
      <w:r w:rsidR="002629E3" w:rsidRPr="00C44AE3">
        <w:t>,</w:t>
      </w:r>
      <w:r w:rsidRPr="00C44AE3">
        <w:t xml:space="preserve"> </w:t>
      </w:r>
      <w:r w:rsidR="002629E3" w:rsidRPr="004819C1">
        <w:t xml:space="preserve">under subsection 196B(7A) of the Act, </w:t>
      </w:r>
      <w:r w:rsidRPr="00EC1F9F">
        <w:t>in respect of phenoxyherbicides/dioxin (Agent Orange) as a factor in malignant neoplasm of the bladder.</w:t>
      </w:r>
    </w:p>
    <w:p w:rsidR="007B429F" w:rsidRPr="007B429F" w:rsidRDefault="007B429F" w:rsidP="00CF3D3C">
      <w:pPr>
        <w:pStyle w:val="NumberLevel1"/>
        <w:jc w:val="both"/>
      </w:pPr>
      <w:r w:rsidRPr="007B429F">
        <w:t xml:space="preserve">In support of the </w:t>
      </w:r>
      <w:r w:rsidR="00A05350">
        <w:t>review</w:t>
      </w:r>
      <w:r w:rsidRPr="007B429F">
        <w:t xml:space="preserve">, </w:t>
      </w:r>
      <w:r w:rsidR="00AD1E2D">
        <w:t>the Authority</w:t>
      </w:r>
      <w:r w:rsidRPr="007B429F">
        <w:t xml:space="preserve"> </w:t>
      </w:r>
      <w:r w:rsidR="00AD1E2D">
        <w:t>consider</w:t>
      </w:r>
      <w:r w:rsidRPr="007B429F">
        <w:t>ed the following:</w:t>
      </w:r>
    </w:p>
    <w:p w:rsidR="002629E3" w:rsidRPr="002629E3" w:rsidRDefault="002629E3" w:rsidP="0002424C">
      <w:pPr>
        <w:numPr>
          <w:ilvl w:val="0"/>
          <w:numId w:val="3"/>
        </w:numPr>
        <w:spacing w:before="140" w:after="140" w:line="280" w:lineRule="atLeast"/>
        <w:jc w:val="both"/>
        <w:rPr>
          <w:rFonts w:ascii="Arial" w:hAnsi="Arial" w:cs="Arial"/>
          <w:sz w:val="22"/>
          <w:szCs w:val="22"/>
        </w:rPr>
      </w:pPr>
      <w:r w:rsidRPr="002629E3">
        <w:rPr>
          <w:rFonts w:ascii="Arial" w:hAnsi="Arial" w:cs="Arial"/>
          <w:sz w:val="22"/>
          <w:szCs w:val="22"/>
        </w:rPr>
        <w:t>Bonneterre V, Mathern G, Pelen O, Balthazard AL, Delafosse P, Mitton N, Colonna M. (2012) Cancer incidence in a chlorochemical plant in Isère, France: an occupational cohort study, 1979-2002. Am J Ind Med. Sep;55(9):756-67.</w:t>
      </w:r>
    </w:p>
    <w:p w:rsidR="002629E3" w:rsidRPr="002629E3" w:rsidRDefault="002629E3" w:rsidP="0002424C">
      <w:pPr>
        <w:numPr>
          <w:ilvl w:val="0"/>
          <w:numId w:val="3"/>
        </w:numPr>
        <w:spacing w:before="140" w:after="140" w:line="280" w:lineRule="atLeast"/>
        <w:jc w:val="both"/>
        <w:rPr>
          <w:rFonts w:ascii="Arial" w:hAnsi="Arial" w:cs="Arial"/>
          <w:sz w:val="22"/>
          <w:szCs w:val="22"/>
        </w:rPr>
      </w:pPr>
      <w:r w:rsidRPr="002629E3">
        <w:rPr>
          <w:rFonts w:ascii="Arial" w:hAnsi="Arial" w:cs="Arial"/>
          <w:sz w:val="22"/>
          <w:szCs w:val="22"/>
        </w:rPr>
        <w:t>IARC Working Group (2012). 2,3,7,8-tetrachlorodibenzo-para-dioxin, 2,3,4,7,8-pentachlorodibenzofuran, and 3,3-,4,4-,5-pentachlorobiphenyl. Vol 100F- 339-78. IARC Press, Lyon.</w:t>
      </w:r>
    </w:p>
    <w:p w:rsidR="002629E3" w:rsidRPr="002629E3" w:rsidRDefault="002629E3" w:rsidP="0002424C">
      <w:pPr>
        <w:numPr>
          <w:ilvl w:val="0"/>
          <w:numId w:val="3"/>
        </w:numPr>
        <w:spacing w:before="140" w:after="140" w:line="280" w:lineRule="atLeast"/>
        <w:jc w:val="both"/>
        <w:rPr>
          <w:rFonts w:ascii="Arial" w:hAnsi="Arial" w:cs="Arial"/>
          <w:sz w:val="22"/>
          <w:szCs w:val="22"/>
        </w:rPr>
      </w:pPr>
      <w:r w:rsidRPr="002629E3">
        <w:rPr>
          <w:rFonts w:ascii="Arial" w:hAnsi="Arial" w:cs="Arial"/>
          <w:sz w:val="22"/>
          <w:szCs w:val="22"/>
        </w:rPr>
        <w:t>Di Lorenzo G, Federico P, De Placido S, Buonerba C. (2015) Increased risk of bladder cancer in critical areas at high pressure of pollution of the Campania region in Italy: A systematic review. Crit Rev Oncol Hematol. Dec;96(3):534-41.</w:t>
      </w:r>
    </w:p>
    <w:p w:rsidR="002629E3" w:rsidRPr="002629E3" w:rsidRDefault="002629E3" w:rsidP="0002424C">
      <w:pPr>
        <w:numPr>
          <w:ilvl w:val="0"/>
          <w:numId w:val="3"/>
        </w:numPr>
        <w:spacing w:before="140" w:after="140" w:line="280" w:lineRule="atLeast"/>
        <w:jc w:val="both"/>
        <w:rPr>
          <w:rFonts w:ascii="Arial" w:hAnsi="Arial" w:cs="Arial"/>
          <w:sz w:val="22"/>
          <w:szCs w:val="22"/>
        </w:rPr>
      </w:pPr>
      <w:r w:rsidRPr="002629E3">
        <w:rPr>
          <w:rFonts w:ascii="Arial" w:hAnsi="Arial" w:cs="Arial"/>
          <w:sz w:val="22"/>
          <w:szCs w:val="22"/>
        </w:rPr>
        <w:t>National Academies of Sciences, Engineering, and Medicine (2016) Veterans and Agent Orange: Update 2014. Washington, DC: The National Academies Press, pp. 514-529.</w:t>
      </w:r>
    </w:p>
    <w:p w:rsidR="002629E3" w:rsidRPr="002629E3" w:rsidRDefault="002629E3" w:rsidP="0002424C">
      <w:pPr>
        <w:numPr>
          <w:ilvl w:val="0"/>
          <w:numId w:val="3"/>
        </w:numPr>
        <w:spacing w:before="140" w:after="140" w:line="280" w:lineRule="atLeast"/>
        <w:jc w:val="both"/>
        <w:rPr>
          <w:rFonts w:ascii="Arial" w:hAnsi="Arial" w:cs="Arial"/>
          <w:sz w:val="22"/>
          <w:szCs w:val="22"/>
        </w:rPr>
      </w:pPr>
      <w:r w:rsidRPr="002629E3">
        <w:rPr>
          <w:rFonts w:ascii="Arial" w:hAnsi="Arial" w:cs="Arial"/>
          <w:sz w:val="22"/>
          <w:szCs w:val="22"/>
        </w:rPr>
        <w:t>Yi SW, Ohrr H. (2014) Agent Orange exposure and cancer incidence in Korean Vietnam veterans: a prospective cohort study. Cancer. Dec 1;120(23):3699-706.</w:t>
      </w:r>
    </w:p>
    <w:p w:rsidR="002629E3" w:rsidRPr="002629E3" w:rsidRDefault="002629E3" w:rsidP="0002424C">
      <w:pPr>
        <w:numPr>
          <w:ilvl w:val="0"/>
          <w:numId w:val="3"/>
        </w:numPr>
        <w:spacing w:before="140" w:after="140" w:line="280" w:lineRule="atLeast"/>
        <w:jc w:val="both"/>
        <w:rPr>
          <w:rFonts w:ascii="Arial" w:hAnsi="Arial" w:cs="Arial"/>
          <w:sz w:val="22"/>
          <w:szCs w:val="22"/>
        </w:rPr>
      </w:pPr>
      <w:r w:rsidRPr="002629E3">
        <w:rPr>
          <w:rFonts w:ascii="Arial" w:hAnsi="Arial" w:cs="Arial"/>
          <w:sz w:val="22"/>
          <w:szCs w:val="22"/>
        </w:rPr>
        <w:t>Yi SW, Ryu SY, Ohrr H, Hong JS. (2014) Agent Orange exposure and risk of death in Korean Vietnam veterans: Korean Veterans Health Study. Int J Epidemiol. Dec;43(6):1825-34.</w:t>
      </w:r>
    </w:p>
    <w:p w:rsidR="00DA7A9A" w:rsidRPr="007B429F" w:rsidRDefault="00DA7A9A" w:rsidP="00CF3D3C">
      <w:pPr>
        <w:pStyle w:val="NumberLevel1"/>
        <w:jc w:val="both"/>
      </w:pPr>
      <w:r w:rsidRPr="007B429F">
        <w:t xml:space="preserve">The investigation notice was signed by the Chairperson of the Authority on </w:t>
      </w:r>
      <w:r w:rsidR="002629E3">
        <w:t>22</w:t>
      </w:r>
      <w:r w:rsidR="00886FB2">
        <w:t> </w:t>
      </w:r>
      <w:r w:rsidR="002629E3">
        <w:t>April 2016</w:t>
      </w:r>
      <w:r w:rsidRPr="007B429F">
        <w:t xml:space="preserve"> and was gazetted in accordance with section 196G of the Act in the </w:t>
      </w:r>
      <w:r w:rsidRPr="007B429F">
        <w:rPr>
          <w:i/>
        </w:rPr>
        <w:t>Commonwealth of Australia Gazette</w:t>
      </w:r>
      <w:r w:rsidRPr="007B429F">
        <w:t xml:space="preserve"> on </w:t>
      </w:r>
      <w:r w:rsidR="002629E3">
        <w:t>3</w:t>
      </w:r>
      <w:r w:rsidR="00886FB2">
        <w:t> </w:t>
      </w:r>
      <w:r w:rsidR="002629E3">
        <w:t>May 2016</w:t>
      </w:r>
      <w:r w:rsidRPr="007B429F">
        <w:t xml:space="preserve">. Submissions were invited from persons and organisations wishing to make a submission by </w:t>
      </w:r>
      <w:r w:rsidR="002629E3">
        <w:t>15</w:t>
      </w:r>
      <w:r w:rsidR="00886FB2">
        <w:t> </w:t>
      </w:r>
      <w:r w:rsidR="002629E3">
        <w:t>July</w:t>
      </w:r>
      <w:r w:rsidR="00886FB2">
        <w:t xml:space="preserve"> 2016</w:t>
      </w:r>
      <w:r w:rsidRPr="007B429F">
        <w:t>.</w:t>
      </w:r>
    </w:p>
    <w:p w:rsidR="00DA7A9A" w:rsidRPr="007B429F" w:rsidRDefault="00DA7A9A" w:rsidP="00CF3D3C">
      <w:pPr>
        <w:pStyle w:val="NumberLevel1"/>
        <w:jc w:val="both"/>
      </w:pPr>
      <w:r w:rsidRPr="007B429F">
        <w:lastRenderedPageBreak/>
        <w:t xml:space="preserve">Statements of Principles Instrument Nos. </w:t>
      </w:r>
      <w:r w:rsidR="002629E3">
        <w:t xml:space="preserve">96 </w:t>
      </w:r>
      <w:r w:rsidR="00975D41">
        <w:t>and</w:t>
      </w:r>
      <w:r w:rsidR="002629E3">
        <w:t xml:space="preserve"> 97</w:t>
      </w:r>
      <w:r w:rsidR="00886FB2">
        <w:t xml:space="preserve"> of 201</w:t>
      </w:r>
      <w:r w:rsidR="002629E3">
        <w:t>1</w:t>
      </w:r>
      <w:r w:rsidR="00886FB2">
        <w:t xml:space="preserve"> </w:t>
      </w:r>
      <w:r w:rsidRPr="007B429F">
        <w:t xml:space="preserve">concerning </w:t>
      </w:r>
      <w:r w:rsidR="00AC144C">
        <w:rPr>
          <w:szCs w:val="24"/>
        </w:rPr>
        <w:t>malignant neoplasm of the bladder</w:t>
      </w:r>
      <w:r w:rsidRPr="007B429F">
        <w:t xml:space="preserve"> </w:t>
      </w:r>
      <w:r w:rsidR="001307D1">
        <w:t>do</w:t>
      </w:r>
      <w:r w:rsidR="001307D1" w:rsidRPr="007B429F">
        <w:t xml:space="preserve"> </w:t>
      </w:r>
      <w:r w:rsidRPr="007B429F">
        <w:t xml:space="preserve">not have any factors relating to </w:t>
      </w:r>
      <w:r w:rsidR="00886FB2">
        <w:t>"</w:t>
      </w:r>
      <w:r w:rsidR="002629E3" w:rsidRPr="00A05350">
        <w:rPr>
          <w:szCs w:val="24"/>
        </w:rPr>
        <w:t>phenoxyherbicides/dioxin (Agent Orange)</w:t>
      </w:r>
      <w:r w:rsidR="00886FB2">
        <w:t>"</w:t>
      </w:r>
      <w:r w:rsidRPr="007B429F">
        <w:t>.</w:t>
      </w:r>
    </w:p>
    <w:p w:rsidR="00DA7A9A" w:rsidRPr="007B429F" w:rsidRDefault="00DA7A9A">
      <w:pPr>
        <w:pStyle w:val="PartHeading"/>
      </w:pPr>
      <w:bookmarkStart w:id="5" w:name="_Toc458083495"/>
      <w:r w:rsidRPr="007B429F">
        <w:t>Submissions received by the Authority pursuant to section 196F</w:t>
      </w:r>
      <w:bookmarkEnd w:id="5"/>
    </w:p>
    <w:p w:rsidR="00DA7A9A" w:rsidRPr="007B429F" w:rsidRDefault="00DA7A9A" w:rsidP="00CF3D3C">
      <w:pPr>
        <w:pStyle w:val="NumberLevel1"/>
        <w:jc w:val="both"/>
        <w:rPr>
          <w:rFonts w:ascii="Times New Roman" w:hAnsi="Times New Roman" w:cs="Times New Roman"/>
          <w:sz w:val="24"/>
          <w:szCs w:val="24"/>
        </w:rPr>
      </w:pPr>
      <w:r w:rsidRPr="007B429F">
        <w:t>Following notification of its investigation, the Authority did not receive any information from persons eligible to make submissions pursuant to section 196F</w:t>
      </w:r>
      <w:r w:rsidR="007B429F" w:rsidRPr="007B429F">
        <w:t xml:space="preserve"> of the Act</w:t>
      </w:r>
      <w:r w:rsidRPr="007B429F">
        <w:t>.</w:t>
      </w:r>
    </w:p>
    <w:p w:rsidR="00DA7A9A" w:rsidRPr="007B429F" w:rsidRDefault="00DA7A9A">
      <w:pPr>
        <w:pStyle w:val="PartHeading"/>
      </w:pPr>
      <w:bookmarkStart w:id="6" w:name="_Toc458083496"/>
      <w:r w:rsidRPr="007B429F">
        <w:t>Evidence/Information Available to the Repatriation Medical Authority</w:t>
      </w:r>
      <w:bookmarkEnd w:id="6"/>
      <w:r w:rsidRPr="007B429F">
        <w:t xml:space="preserve"> </w:t>
      </w:r>
    </w:p>
    <w:p w:rsidR="00DA7A9A" w:rsidRPr="007B429F" w:rsidRDefault="00DA7A9A" w:rsidP="00DC0CA4">
      <w:pPr>
        <w:pStyle w:val="NumberLevel1"/>
        <w:jc w:val="both"/>
      </w:pPr>
      <w:r w:rsidRPr="007B429F">
        <w:t>The following information was available to the Authority.</w:t>
      </w:r>
    </w:p>
    <w:p w:rsidR="00975D41" w:rsidRDefault="00975D41" w:rsidP="001A0DFB">
      <w:pPr>
        <w:pStyle w:val="NumberLevel2"/>
        <w:jc w:val="both"/>
      </w:pPr>
      <w:r>
        <w:t>T</w:t>
      </w:r>
      <w:r w:rsidRPr="00975D41">
        <w:t xml:space="preserve">he information held by the Authority and obtained during its previous considerations leading to the determination of Statements of Principles concerning </w:t>
      </w:r>
      <w:r>
        <w:t>malignant neoplasm of the bladder</w:t>
      </w:r>
      <w:r w:rsidRPr="00975D41">
        <w:t xml:space="preserve">, Instrument Nos. </w:t>
      </w:r>
      <w:r>
        <w:t>96</w:t>
      </w:r>
      <w:r w:rsidRPr="00975D41">
        <w:t xml:space="preserve"> and </w:t>
      </w:r>
      <w:r>
        <w:t>97</w:t>
      </w:r>
      <w:r w:rsidRPr="00975D41">
        <w:t xml:space="preserve"> of 201</w:t>
      </w:r>
      <w:r>
        <w:t>1.</w:t>
      </w:r>
    </w:p>
    <w:p w:rsidR="009C193C" w:rsidRDefault="005629CD" w:rsidP="001A0DFB">
      <w:pPr>
        <w:pStyle w:val="NumberLevel2"/>
        <w:jc w:val="both"/>
      </w:pPr>
      <w:r>
        <w:t xml:space="preserve">Literature searches using the Ovid search engine from 1996 to July Week 1 2016, limited to English language. The search terms were: Urinary bladder neoplasms AND </w:t>
      </w:r>
      <w:r w:rsidRPr="006E4773">
        <w:t>2,4-</w:t>
      </w:r>
      <w:r>
        <w:t>d</w:t>
      </w:r>
      <w:r w:rsidRPr="006E4773">
        <w:t xml:space="preserve">ichlorophenoxyacetic </w:t>
      </w:r>
      <w:r>
        <w:t>a</w:t>
      </w:r>
      <w:r w:rsidRPr="006E4773">
        <w:t xml:space="preserve">cid/ or </w:t>
      </w:r>
      <w:r>
        <w:t>h</w:t>
      </w:r>
      <w:r w:rsidRPr="006E4773">
        <w:t>erb</w:t>
      </w:r>
      <w:r>
        <w:t>icides/ or phenoxyherbicides.mp OR dioxins. Articles were selected based on relevance, study quality, reliability and journal authority. The above search was supplemented by a PubMed</w:t>
      </w:r>
      <w:r w:rsidR="00582F45">
        <w:t xml:space="preserve"> search</w:t>
      </w:r>
      <w:r>
        <w:t xml:space="preserve">, internet searches, manual searches of reference lists and extracts from relevant sections of textbooks, particularly the Veterans and Agent Orange </w:t>
      </w:r>
      <w:r w:rsidR="006F2D58">
        <w:t xml:space="preserve">(VAO) </w:t>
      </w:r>
      <w:r>
        <w:t>series.</w:t>
      </w:r>
      <w:r w:rsidR="002B1300">
        <w:t xml:space="preserve">  </w:t>
      </w:r>
    </w:p>
    <w:p w:rsidR="00DA7A9A" w:rsidRPr="007B429F" w:rsidRDefault="00DA7A9A" w:rsidP="00DC0CA4">
      <w:pPr>
        <w:pStyle w:val="NumberLevel2"/>
        <w:jc w:val="both"/>
      </w:pPr>
      <w:r w:rsidRPr="007B429F">
        <w:t>Medical or scientific publications as set out in the bibliography attached hereto.</w:t>
      </w:r>
    </w:p>
    <w:p w:rsidR="00DA7A9A" w:rsidRPr="007B429F" w:rsidRDefault="00DA7A9A" w:rsidP="00C44AE3">
      <w:pPr>
        <w:pStyle w:val="NumberLevel1"/>
        <w:jc w:val="both"/>
      </w:pPr>
      <w:r w:rsidRPr="007B429F">
        <w:t xml:space="preserve">A briefing paper </w:t>
      </w:r>
      <w:r w:rsidR="006D0A9D">
        <w:t xml:space="preserve">concerning </w:t>
      </w:r>
      <w:r w:rsidR="00AC144C">
        <w:t>malignant neoplasm of the bladder</w:t>
      </w:r>
      <w:r w:rsidR="006D0A9D" w:rsidRPr="006D0A9D">
        <w:t xml:space="preserve"> </w:t>
      </w:r>
      <w:r w:rsidRPr="007B429F">
        <w:t>prepared for presentation to the Authority by a Medical Researcher of the Secretariat.</w:t>
      </w:r>
    </w:p>
    <w:p w:rsidR="00DA7A9A" w:rsidRPr="007B429F" w:rsidRDefault="00DA7A9A">
      <w:pPr>
        <w:pStyle w:val="PartHeading"/>
      </w:pPr>
      <w:bookmarkStart w:id="7" w:name="_Toc458083497"/>
      <w:r w:rsidRPr="007B429F">
        <w:t>Sound medical-scientific evidence</w:t>
      </w:r>
      <w:bookmarkEnd w:id="7"/>
    </w:p>
    <w:p w:rsidR="00DA7A9A" w:rsidRPr="007B429F" w:rsidRDefault="00DA7A9A" w:rsidP="00CF3D3C">
      <w:pPr>
        <w:pStyle w:val="NumberLevel1"/>
        <w:jc w:val="both"/>
      </w:pPr>
      <w:r w:rsidRPr="007B429F">
        <w:t xml:space="preserve">The </w:t>
      </w:r>
      <w:r w:rsidR="00C85C47" w:rsidRPr="00B12626">
        <w:t>Statements of Principles</w:t>
      </w:r>
      <w:r w:rsidRPr="007B429F">
        <w:t xml:space="preserve"> are determined on the basis of the available "sound medical-scientific evidence" as defined in section 5AB(2) of the Act which states:</w:t>
      </w:r>
    </w:p>
    <w:p w:rsidR="00DA7A9A" w:rsidRPr="007B429F" w:rsidRDefault="00DA7A9A" w:rsidP="00CF3D3C">
      <w:pPr>
        <w:ind w:left="720" w:right="567"/>
        <w:jc w:val="both"/>
        <w:rPr>
          <w:i/>
        </w:rPr>
      </w:pPr>
      <w:r w:rsidRPr="007B429F">
        <w:t>"</w:t>
      </w:r>
      <w:r w:rsidRPr="007B429F">
        <w:rPr>
          <w:i/>
        </w:rPr>
        <w:t>Information about a particular kind of injury, disease or death is taken to be</w:t>
      </w:r>
      <w:r w:rsidRPr="007B429F">
        <w:rPr>
          <w:b/>
          <w:i/>
        </w:rPr>
        <w:t xml:space="preserve"> sound</w:t>
      </w:r>
      <w:r w:rsidRPr="007B429F">
        <w:rPr>
          <w:i/>
        </w:rPr>
        <w:t xml:space="preserve"> </w:t>
      </w:r>
      <w:r w:rsidRPr="007B429F">
        <w:rPr>
          <w:b/>
          <w:i/>
        </w:rPr>
        <w:t>medical-scientific evidence</w:t>
      </w:r>
      <w:r w:rsidRPr="007B429F">
        <w:rPr>
          <w:i/>
        </w:rPr>
        <w:t xml:space="preserve"> if:</w:t>
      </w:r>
    </w:p>
    <w:p w:rsidR="00DA7A9A" w:rsidRPr="007B429F" w:rsidRDefault="00DA7A9A" w:rsidP="00CF3D3C">
      <w:pPr>
        <w:spacing w:before="120"/>
        <w:ind w:left="1134" w:right="567" w:hanging="414"/>
        <w:jc w:val="both"/>
        <w:rPr>
          <w:i/>
        </w:rPr>
      </w:pPr>
      <w:r w:rsidRPr="007B429F">
        <w:rPr>
          <w:i/>
        </w:rPr>
        <w:t>(a)</w:t>
      </w:r>
      <w:r w:rsidRPr="007B429F">
        <w:rPr>
          <w:i/>
        </w:rPr>
        <w:tab/>
        <w:t>the information:</w:t>
      </w:r>
    </w:p>
    <w:p w:rsidR="00DA7A9A" w:rsidRPr="007B429F" w:rsidRDefault="00DA7A9A" w:rsidP="00CF3D3C">
      <w:pPr>
        <w:ind w:left="2160" w:right="567" w:hanging="720"/>
        <w:jc w:val="both"/>
        <w:rPr>
          <w:i/>
        </w:rPr>
      </w:pPr>
      <w:r w:rsidRPr="007B429F">
        <w:rPr>
          <w:i/>
        </w:rPr>
        <w:t>(i)</w:t>
      </w:r>
      <w:r w:rsidRPr="007B429F">
        <w:rPr>
          <w:i/>
        </w:rPr>
        <w:tab/>
        <w:t xml:space="preserve">is consistent with material relating to medical science that has been published in a medical or scientific publication and has been, in the opinion of the Repatriation Medical Authority, subjected to a peer review process; or </w:t>
      </w:r>
    </w:p>
    <w:p w:rsidR="00DA7A9A" w:rsidRPr="007B429F" w:rsidRDefault="00DA7A9A" w:rsidP="00CF3D3C">
      <w:pPr>
        <w:ind w:left="2160" w:right="567" w:hanging="720"/>
        <w:jc w:val="both"/>
        <w:rPr>
          <w:i/>
        </w:rPr>
      </w:pPr>
      <w:r w:rsidRPr="007B429F">
        <w:rPr>
          <w:i/>
        </w:rPr>
        <w:t>(ii)</w:t>
      </w:r>
      <w:r w:rsidRPr="007B429F">
        <w:rPr>
          <w:i/>
        </w:rPr>
        <w:tab/>
        <w:t>in accordance with generally accepted medical practice, would serve as the basis for the diagnosis and management of a medical condition; and</w:t>
      </w:r>
    </w:p>
    <w:p w:rsidR="00DA7A9A" w:rsidRPr="007B429F" w:rsidRDefault="00DA7A9A" w:rsidP="00CF3D3C">
      <w:pPr>
        <w:ind w:left="1134" w:right="567" w:hanging="414"/>
        <w:jc w:val="both"/>
        <w:rPr>
          <w:i/>
        </w:rPr>
      </w:pPr>
      <w:r w:rsidRPr="007B429F">
        <w:rPr>
          <w:i/>
        </w:rPr>
        <w:t>(b)</w:t>
      </w:r>
      <w:r w:rsidRPr="007B429F">
        <w:rPr>
          <w:i/>
        </w:rPr>
        <w:tab/>
        <w:t>in the case of information about how that kind of injury, disease or death may be caused - meets the applicable criteria for assessing causation currently applied in the field of epidemiology.</w:t>
      </w:r>
      <w:r w:rsidRPr="007B429F">
        <w:t>"</w:t>
      </w:r>
    </w:p>
    <w:p w:rsidR="00DA7A9A" w:rsidRPr="00B12626" w:rsidRDefault="00DA7A9A" w:rsidP="00E16686">
      <w:pPr>
        <w:pStyle w:val="PartHeading"/>
      </w:pPr>
      <w:bookmarkStart w:id="8" w:name="_Toc156722918"/>
      <w:bookmarkStart w:id="9" w:name="_Toc458083498"/>
      <w:bookmarkEnd w:id="8"/>
      <w:r w:rsidRPr="00B12626">
        <w:lastRenderedPageBreak/>
        <w:t>Reasons for the decision</w:t>
      </w:r>
      <w:bookmarkEnd w:id="9"/>
    </w:p>
    <w:p w:rsidR="002B1300" w:rsidRDefault="006F2D58" w:rsidP="004E27FA">
      <w:pPr>
        <w:pStyle w:val="NumberLevel1"/>
        <w:jc w:val="both"/>
        <w:rPr>
          <w:lang w:val="en"/>
        </w:rPr>
      </w:pPr>
      <w:bookmarkStart w:id="10" w:name="_Toc156722920"/>
      <w:bookmarkEnd w:id="10"/>
      <w:r>
        <w:rPr>
          <w:lang w:val="en"/>
        </w:rPr>
        <w:t xml:space="preserve">The </w:t>
      </w:r>
      <w:r w:rsidRPr="006F2D58">
        <w:rPr>
          <w:lang w:val="en"/>
        </w:rPr>
        <w:t xml:space="preserve">International Agency for Research on Cancer </w:t>
      </w:r>
      <w:r>
        <w:rPr>
          <w:lang w:val="en"/>
        </w:rPr>
        <w:t>(</w:t>
      </w:r>
      <w:r w:rsidR="002B1300" w:rsidRPr="002B1300">
        <w:rPr>
          <w:lang w:val="en"/>
        </w:rPr>
        <w:t>IARC</w:t>
      </w:r>
      <w:r>
        <w:rPr>
          <w:lang w:val="en"/>
        </w:rPr>
        <w:t>)</w:t>
      </w:r>
      <w:r w:rsidR="002B1300" w:rsidRPr="002B1300">
        <w:rPr>
          <w:lang w:val="en"/>
        </w:rPr>
        <w:t xml:space="preserve"> classifies TCDD </w:t>
      </w:r>
      <w:r w:rsidR="000A2427">
        <w:rPr>
          <w:lang w:val="en"/>
        </w:rPr>
        <w:t>(</w:t>
      </w:r>
      <w:r w:rsidR="000A2427" w:rsidRPr="00D97843">
        <w:t>2,3,7,8-tetra-chlorodibenzo-para-dioxin</w:t>
      </w:r>
      <w:r w:rsidR="00371AE5">
        <w:t>, or “dioxin”</w:t>
      </w:r>
      <w:r w:rsidR="00371AE5">
        <w:rPr>
          <w:lang w:val="en"/>
        </w:rPr>
        <w:t xml:space="preserve">) </w:t>
      </w:r>
      <w:r w:rsidR="002B1300" w:rsidRPr="002B1300">
        <w:rPr>
          <w:lang w:val="en"/>
        </w:rPr>
        <w:t xml:space="preserve">as a group 1 carcinogen, based on the risk of all cancers combined, but only sporadic reports of associations with bladder cancer. The most recent update of Veterans and Agent Orange has reclassified the evidence for the association between </w:t>
      </w:r>
      <w:r w:rsidR="00371AE5" w:rsidRPr="002B1300">
        <w:rPr>
          <w:lang w:val="en"/>
        </w:rPr>
        <w:t xml:space="preserve">bladder cancer </w:t>
      </w:r>
      <w:r w:rsidR="00371AE5">
        <w:rPr>
          <w:lang w:val="en"/>
        </w:rPr>
        <w:t xml:space="preserve">and </w:t>
      </w:r>
      <w:r w:rsidR="002B1300" w:rsidRPr="002B1300">
        <w:rPr>
          <w:lang w:val="en"/>
        </w:rPr>
        <w:t xml:space="preserve">the compounds of interest </w:t>
      </w:r>
      <w:r w:rsidR="00371AE5">
        <w:t xml:space="preserve">(TCDD, the phenoxyherbicides 2,4,5-T and 2.4-D, picloram and cacodylic acid) </w:t>
      </w:r>
      <w:r w:rsidR="002B1300" w:rsidRPr="002B1300">
        <w:rPr>
          <w:lang w:val="en"/>
        </w:rPr>
        <w:t>from “insufficient” to “limited or suggestive”. This assessment was made on the basis of a new Korean Vietnam Veterans study (Yi et al 2014)</w:t>
      </w:r>
      <w:r w:rsidR="004C3F24">
        <w:rPr>
          <w:lang w:val="en"/>
        </w:rPr>
        <w:t>,</w:t>
      </w:r>
      <w:r w:rsidR="002B1300" w:rsidRPr="002B1300">
        <w:rPr>
          <w:lang w:val="en"/>
        </w:rPr>
        <w:t xml:space="preserve"> which found an increase in risk of mortality from bladder cancer in veterans at higher versus lower risk of dioxin exposure, as well as </w:t>
      </w:r>
      <w:r w:rsidR="004C3F24">
        <w:rPr>
          <w:lang w:val="en"/>
        </w:rPr>
        <w:t xml:space="preserve">previous evidence of </w:t>
      </w:r>
      <w:r w:rsidR="002B1300" w:rsidRPr="002B1300">
        <w:rPr>
          <w:lang w:val="en"/>
        </w:rPr>
        <w:t xml:space="preserve">a </w:t>
      </w:r>
      <w:r w:rsidR="004C3F24" w:rsidRPr="002B1300">
        <w:rPr>
          <w:lang w:val="en"/>
        </w:rPr>
        <w:t>non-significant</w:t>
      </w:r>
      <w:r w:rsidR="004C3F24">
        <w:rPr>
          <w:lang w:val="en"/>
        </w:rPr>
        <w:t>ly</w:t>
      </w:r>
      <w:r w:rsidR="004C3F24" w:rsidRPr="002B1300">
        <w:rPr>
          <w:lang w:val="en"/>
        </w:rPr>
        <w:t xml:space="preserve"> </w:t>
      </w:r>
      <w:r w:rsidR="002B1300" w:rsidRPr="002B1300">
        <w:rPr>
          <w:lang w:val="en"/>
        </w:rPr>
        <w:t xml:space="preserve">elevated mortality risk in the IARC phenoxyherbicide industrial cohort and significant elevations in two subcohorts. </w:t>
      </w:r>
    </w:p>
    <w:p w:rsidR="004819C1" w:rsidRPr="002B1300" w:rsidRDefault="00A66EF0" w:rsidP="004E27FA">
      <w:pPr>
        <w:pStyle w:val="NumberLevel1"/>
        <w:jc w:val="both"/>
        <w:rPr>
          <w:lang w:val="en"/>
        </w:rPr>
      </w:pPr>
      <w:r>
        <w:rPr>
          <w:lang w:val="en"/>
        </w:rPr>
        <w:t>However, w</w:t>
      </w:r>
      <w:r w:rsidR="004819C1">
        <w:rPr>
          <w:lang w:val="en"/>
        </w:rPr>
        <w:t xml:space="preserve">hile some </w:t>
      </w:r>
      <w:r w:rsidR="001307D1">
        <w:rPr>
          <w:lang w:val="en"/>
        </w:rPr>
        <w:t xml:space="preserve">studies have found </w:t>
      </w:r>
      <w:r w:rsidR="004819C1">
        <w:rPr>
          <w:lang w:val="en"/>
        </w:rPr>
        <w:t>positive associations between dioxin-contaminated compounds and bladder cancer, the majority of studies report null or negative associations, and chance, bias or confounding could account for some of the positive associations.</w:t>
      </w:r>
    </w:p>
    <w:p w:rsidR="007017EC" w:rsidRDefault="007017EC" w:rsidP="004E27FA">
      <w:pPr>
        <w:pStyle w:val="NumberLevel1"/>
        <w:jc w:val="both"/>
        <w:rPr>
          <w:lang w:val="en"/>
        </w:rPr>
      </w:pPr>
      <w:r>
        <w:rPr>
          <w:lang w:val="en"/>
        </w:rPr>
        <w:t>An important limitation of t</w:t>
      </w:r>
      <w:r w:rsidR="002B1300" w:rsidRPr="002B1300">
        <w:rPr>
          <w:lang w:val="en"/>
        </w:rPr>
        <w:t xml:space="preserve">he Korean Vietnam Veterans studies </w:t>
      </w:r>
      <w:r>
        <w:rPr>
          <w:lang w:val="en"/>
        </w:rPr>
        <w:t>was the accuracy of the measurement of exposure to phenoxyherbicides. Exposure was estimated using</w:t>
      </w:r>
      <w:r>
        <w:t xml:space="preserve"> an exposure opportunity index (EOI) model, developed by Stellman and Stellman (2003).</w:t>
      </w:r>
      <w:r w:rsidR="002B1300" w:rsidRPr="002B1300">
        <w:rPr>
          <w:lang w:val="en"/>
        </w:rPr>
        <w:t xml:space="preserve"> </w:t>
      </w:r>
      <w:r w:rsidRPr="007017EC">
        <w:rPr>
          <w:lang w:val="en"/>
        </w:rPr>
        <w:t xml:space="preserve">The exposure index was based on the proximity of the veteran's unit to </w:t>
      </w:r>
      <w:r w:rsidR="001B2CD6">
        <w:rPr>
          <w:lang w:val="en"/>
        </w:rPr>
        <w:t>A</w:t>
      </w:r>
      <w:r w:rsidRPr="007017EC">
        <w:rPr>
          <w:lang w:val="en"/>
        </w:rPr>
        <w:t xml:space="preserve">gent </w:t>
      </w:r>
      <w:r w:rsidR="001B2CD6">
        <w:rPr>
          <w:lang w:val="en"/>
        </w:rPr>
        <w:t>O</w:t>
      </w:r>
      <w:r w:rsidRPr="007017EC">
        <w:rPr>
          <w:lang w:val="en"/>
        </w:rPr>
        <w:t>range-sprayed areas, using a geographical information system-based model. Given the lag time since herbicide exposures in Vietnam took place and the lack of direct exposure measurements from that era, it is not possible to fully validate the EOI model, or to ascertain the accuracy and precision of estimates from the model.</w:t>
      </w:r>
    </w:p>
    <w:p w:rsidR="007017EC" w:rsidRDefault="007017EC" w:rsidP="004E27FA">
      <w:pPr>
        <w:pStyle w:val="NumberLevel1"/>
        <w:jc w:val="both"/>
      </w:pPr>
      <w:r>
        <w:t>Biological studies do not support an adverse effect of dioxins on risk of bladder cancer. No studies have reported an increased incidence of urinary bladder cancer in TCDD- or 2,4-D-treated animals. Two studies suggest a protective effect of aryl hydrocarbon receptor signalling on bladder cancer.</w:t>
      </w:r>
    </w:p>
    <w:p w:rsidR="004C3F24" w:rsidRDefault="00DC5835" w:rsidP="004E27FA">
      <w:pPr>
        <w:pStyle w:val="NumberLevel1"/>
        <w:jc w:val="both"/>
      </w:pPr>
      <w:r>
        <w:t xml:space="preserve">Evidence of a clear dose-response effect </w:t>
      </w:r>
      <w:r w:rsidR="00A66EF0">
        <w:t>is</w:t>
      </w:r>
      <w:r>
        <w:t xml:space="preserve"> lacking. </w:t>
      </w:r>
      <w:r w:rsidR="004C3F24">
        <w:t>Dose-response analyses were only reported for six studies</w:t>
      </w:r>
      <w:r w:rsidR="00A66EF0">
        <w:t xml:space="preserve"> listed in the VAO 2014 report</w:t>
      </w:r>
      <w:r w:rsidR="004C3F24">
        <w:t xml:space="preserve">. The IARC phenoxyherbicide cohort (Kogevinas et al 1997) appeared to show a possible dose-response effect, with risks being lower in those not exposed to highly chlorinated dioxins (SMR 0.7, 95% CI 0.3-1.2) than those with such exposure (SMR 1.4, 95% CI 0.9-2.1), though </w:t>
      </w:r>
      <w:r w:rsidR="0099413E">
        <w:t>a gradient is uncertain due to</w:t>
      </w:r>
      <w:r w:rsidR="004C3F24">
        <w:t xml:space="preserve"> overlapping confidence intervals. Of the other five studies, four did not demonstrate a dose-response effect (Boers et al 2012, Ott and Zober 1996, McLean et al 2006, Samanic et al 2006) and one (Hansen et al 2007) was equivocal due to overlapping confidence intervals and crude exposure assessment (assessed by period of employment).</w:t>
      </w:r>
    </w:p>
    <w:p w:rsidR="004C3F24" w:rsidRDefault="002B1300" w:rsidP="004E27FA">
      <w:pPr>
        <w:pStyle w:val="NumberLevel1"/>
        <w:jc w:val="both"/>
        <w:rPr>
          <w:lang w:val="en"/>
        </w:rPr>
      </w:pPr>
      <w:r w:rsidRPr="002B1300">
        <w:rPr>
          <w:lang w:val="en"/>
        </w:rPr>
        <w:t xml:space="preserve">Null or non-significant associations were observed in the most informative study of Vietnam Veterans (the US Air Force “Ranch Hand” Health Study), most studies of industrially exposed production workers, all studies of herbicide sprayers, and in the Seveso industrial accident study (incidence and mortality). Many of these studies were limited by small numbers of bladder cancer cases. In the Korean Vietnam Veterans study, </w:t>
      </w:r>
      <w:r w:rsidRPr="002B1300">
        <w:rPr>
          <w:lang w:val="en"/>
        </w:rPr>
        <w:lastRenderedPageBreak/>
        <w:t xml:space="preserve">findings were also null for incidence of bladder cancer (Yi and Ohrr 2014). </w:t>
      </w:r>
      <w:r w:rsidR="004C3F24" w:rsidRPr="002B1300">
        <w:rPr>
          <w:lang w:val="en"/>
        </w:rPr>
        <w:t>Studies of bladder cancer incidence were fewer than studies of bladder cancer mortality, but tended to be closer to the null.</w:t>
      </w:r>
      <w:r w:rsidR="004C3F24">
        <w:rPr>
          <w:lang w:val="en"/>
        </w:rPr>
        <w:t xml:space="preserve"> </w:t>
      </w:r>
    </w:p>
    <w:p w:rsidR="00DC5835" w:rsidRDefault="006C1E53" w:rsidP="004E27FA">
      <w:pPr>
        <w:pStyle w:val="NumberLevel1"/>
        <w:jc w:val="both"/>
      </w:pPr>
      <w:r w:rsidRPr="004E27FA">
        <w:t>This overall lack of positive associations in most studies is demonstrated in the figures below</w:t>
      </w:r>
      <w:r w:rsidR="00EC1F9F" w:rsidRPr="004E27FA">
        <w:t xml:space="preserve">, one showing studies </w:t>
      </w:r>
      <w:r w:rsidR="00755AF6" w:rsidRPr="004E27FA">
        <w:t>that reported</w:t>
      </w:r>
      <w:r w:rsidR="00EC1F9F" w:rsidRPr="004E27FA">
        <w:t xml:space="preserve"> bladder cancer mortality and the other showing studies </w:t>
      </w:r>
      <w:r w:rsidR="00755AF6" w:rsidRPr="004E27FA">
        <w:t>that reported</w:t>
      </w:r>
      <w:r w:rsidR="00EC1F9F" w:rsidRPr="004E27FA">
        <w:t xml:space="preserve"> bladder cancer incidence</w:t>
      </w:r>
      <w:r w:rsidRPr="004E27FA">
        <w:t xml:space="preserve">. The data </w:t>
      </w:r>
      <w:r w:rsidR="00EC1F9F" w:rsidRPr="004E27FA">
        <w:t>for</w:t>
      </w:r>
      <w:r w:rsidRPr="004E27FA">
        <w:t xml:space="preserve"> these figures is taken from VAO 2014, using the estimates from the most recent updates of each cohort.</w:t>
      </w:r>
      <w:r w:rsidR="00EC1F9F" w:rsidRPr="004E27FA">
        <w:t xml:space="preserve"> </w:t>
      </w:r>
      <w:r w:rsidR="00DC5835">
        <w:t>In these figures the squares represent the calculated relative risk and the lines represent the 95% confidence intervals, that is, the range of values that is 95% likely to include the true value. A shorter line indicates that the calculated relative risk is more precise. A relative risk of one indicates th</w:t>
      </w:r>
      <w:r w:rsidR="000A2427">
        <w:t>at</w:t>
      </w:r>
      <w:r w:rsidR="00DC5835">
        <w:t xml:space="preserve"> there is no difference in risk of disease between the exposed group and the unexposed group. If the confidence interval crosses the value of one, the relative risk is not statistically significant.</w:t>
      </w:r>
    </w:p>
    <w:p w:rsidR="00EC1F9F" w:rsidRDefault="00EC1F9F" w:rsidP="00C44AE3">
      <w:pPr>
        <w:pStyle w:val="Caption"/>
        <w:keepNext/>
      </w:pPr>
      <w:bookmarkStart w:id="11" w:name="_Toc456946839"/>
      <w:r>
        <w:t xml:space="preserve">Figure </w:t>
      </w:r>
      <w:fldSimple w:instr=" SEQ Figure \* ARABIC ">
        <w:r w:rsidR="002B0D5F">
          <w:rPr>
            <w:noProof/>
          </w:rPr>
          <w:t>1</w:t>
        </w:r>
      </w:fldSimple>
      <w:r>
        <w:t xml:space="preserve">  Dioxin and phenoxyherbicide exposure and bladder cancer mortality</w:t>
      </w:r>
      <w:bookmarkEnd w:id="11"/>
    </w:p>
    <w:p w:rsidR="00EC1F9F" w:rsidRDefault="00EC1F9F" w:rsidP="00C44AE3">
      <w:pPr>
        <w:pStyle w:val="NumberLevel1"/>
        <w:numPr>
          <w:ilvl w:val="0"/>
          <w:numId w:val="0"/>
        </w:numPr>
        <w:ind w:left="312"/>
      </w:pPr>
      <w:r>
        <w:rPr>
          <w:noProof/>
        </w:rPr>
        <w:drawing>
          <wp:inline distT="0" distB="0" distL="0" distR="0" wp14:anchorId="6BF8E4ED" wp14:editId="46734CB0">
            <wp:extent cx="5834380" cy="3863340"/>
            <wp:effectExtent l="0" t="0" r="13970" b="381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1F9F" w:rsidRDefault="00EC1F9F" w:rsidP="00C44AE3">
      <w:pPr>
        <w:pStyle w:val="Caption"/>
        <w:keepNext/>
        <w:ind w:left="720"/>
      </w:pPr>
      <w:bookmarkStart w:id="12" w:name="_Toc456946840"/>
      <w:r>
        <w:lastRenderedPageBreak/>
        <w:t xml:space="preserve">Figure </w:t>
      </w:r>
      <w:fldSimple w:instr=" SEQ Figure \* ARABIC ">
        <w:r w:rsidR="002B0D5F">
          <w:rPr>
            <w:noProof/>
          </w:rPr>
          <w:t>2</w:t>
        </w:r>
      </w:fldSimple>
      <w:r>
        <w:t xml:space="preserve">  Dioxin and phenoxyherbicide exposure and bladder cancer incidence</w:t>
      </w:r>
      <w:bookmarkEnd w:id="12"/>
    </w:p>
    <w:p w:rsidR="00EC1F9F" w:rsidRDefault="00EC1F9F" w:rsidP="00C44AE3">
      <w:pPr>
        <w:ind w:left="720"/>
      </w:pPr>
      <w:r>
        <w:rPr>
          <w:noProof/>
        </w:rPr>
        <w:drawing>
          <wp:inline distT="0" distB="0" distL="0" distR="0" wp14:anchorId="5051C7B0" wp14:editId="6C669D47">
            <wp:extent cx="5834380" cy="4073525"/>
            <wp:effectExtent l="0" t="0" r="13970" b="317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1300" w:rsidRPr="004E27FA" w:rsidRDefault="002B1300" w:rsidP="004E27FA">
      <w:pPr>
        <w:pStyle w:val="NumberLevel1"/>
        <w:jc w:val="both"/>
      </w:pPr>
      <w:r w:rsidRPr="004E27FA">
        <w:t xml:space="preserve">Two additional studies that were not part of the VAO </w:t>
      </w:r>
      <w:r w:rsidR="0099413E" w:rsidRPr="004E27FA">
        <w:t xml:space="preserve">2014 </w:t>
      </w:r>
      <w:r w:rsidRPr="004E27FA">
        <w:t xml:space="preserve">review did not change the weight of evidence. A systematic review (Di Lorenzo et al 2015) of ecological studies in a polluted area of Italy found that the average values of </w:t>
      </w:r>
      <w:r w:rsidR="006F2D58" w:rsidRPr="004E27FA">
        <w:t xml:space="preserve">polychlorinated dibenzo(p)dioxins and furans </w:t>
      </w:r>
      <w:r w:rsidR="00451BB0" w:rsidRPr="004E27FA">
        <w:t xml:space="preserve">(PCDD/F) </w:t>
      </w:r>
      <w:r w:rsidRPr="004E27FA">
        <w:t xml:space="preserve">and </w:t>
      </w:r>
      <w:r w:rsidR="006F2D58" w:rsidRPr="004E27FA">
        <w:t>polychlorinated biphenyl</w:t>
      </w:r>
      <w:r w:rsidRPr="004E27FA">
        <w:t xml:space="preserve">s </w:t>
      </w:r>
      <w:r w:rsidR="00451BB0" w:rsidRPr="004E27FA">
        <w:t xml:space="preserve">(PCBs) </w:t>
      </w:r>
      <w:r w:rsidRPr="004E27FA">
        <w:t xml:space="preserve">reported in blood serum and human milk of the area population were not elevated compared to national levels. A cohort study of workers in a major French chlorine chemical plant (Bonneterre et al 2012) found a non-significant elevated risk for bladder cancer. The association was significant for workers employed before 1964. However, all of the 20 cases with bladder cancer were smokers, there was no significant elevation in those exposed to polychlorophenols and there was also confounding by multiple chemical exposures. </w:t>
      </w:r>
    </w:p>
    <w:p w:rsidR="002B1300" w:rsidRPr="004E27FA" w:rsidRDefault="002B1300" w:rsidP="004E27FA">
      <w:pPr>
        <w:pStyle w:val="NumberLevel1"/>
        <w:jc w:val="both"/>
      </w:pPr>
      <w:r w:rsidRPr="004E27FA">
        <w:t xml:space="preserve">Overall, the evidence </w:t>
      </w:r>
      <w:r w:rsidR="00EC1F9F" w:rsidRPr="004E27FA">
        <w:t>in support of phenoxyherbicides or dioxins as a cause of malignant neoplasm of the bladder is very limited</w:t>
      </w:r>
      <w:r w:rsidRPr="004E27FA">
        <w:t>, with n</w:t>
      </w:r>
      <w:r w:rsidR="000A2427" w:rsidRPr="004E27FA">
        <w:t>ull</w:t>
      </w:r>
      <w:r w:rsidRPr="004E27FA">
        <w:t xml:space="preserve"> associations in </w:t>
      </w:r>
      <w:r w:rsidR="00EC1F9F" w:rsidRPr="004E27FA">
        <w:t>most</w:t>
      </w:r>
      <w:r w:rsidRPr="004E27FA">
        <w:t xml:space="preserve"> studies</w:t>
      </w:r>
      <w:r w:rsidR="00DC5835" w:rsidRPr="004E27FA">
        <w:t>, no clear dose-response effects</w:t>
      </w:r>
      <w:r w:rsidRPr="004E27FA">
        <w:t xml:space="preserve"> and </w:t>
      </w:r>
      <w:r w:rsidR="000A2427" w:rsidRPr="004E27FA">
        <w:t xml:space="preserve">lack of </w:t>
      </w:r>
      <w:r w:rsidRPr="004E27FA">
        <w:t xml:space="preserve">supporting biological plausibility. </w:t>
      </w:r>
      <w:r w:rsidR="000A2427" w:rsidRPr="004E27FA">
        <w:t xml:space="preserve">The new Korean studies are not of sufficient quality to tip the balance of the overall assessment </w:t>
      </w:r>
      <w:r w:rsidR="00371AE5" w:rsidRPr="004E27FA">
        <w:t>to the extent of suggesting a</w:t>
      </w:r>
      <w:r w:rsidR="000A2427" w:rsidRPr="004E27FA">
        <w:t xml:space="preserve"> </w:t>
      </w:r>
      <w:r w:rsidR="0099413E" w:rsidRPr="004E27FA">
        <w:t xml:space="preserve">reasonable hypothesis of a </w:t>
      </w:r>
      <w:r w:rsidR="000A2427" w:rsidRPr="004E27FA">
        <w:t>causal associat</w:t>
      </w:r>
      <w:r w:rsidR="00371AE5" w:rsidRPr="004E27FA">
        <w:t>ion</w:t>
      </w:r>
      <w:r w:rsidR="000A2427" w:rsidRPr="004E27FA">
        <w:t xml:space="preserve"> between dioxin/phenoxyherbici</w:t>
      </w:r>
      <w:r w:rsidR="00C44AE3" w:rsidRPr="004E27FA">
        <w:t>d</w:t>
      </w:r>
      <w:r w:rsidR="000A2427" w:rsidRPr="004E27FA">
        <w:t xml:space="preserve">es and risk of bladder cancer. </w:t>
      </w:r>
    </w:p>
    <w:p w:rsidR="002B1300" w:rsidRDefault="002B1300">
      <w:pPr>
        <w:rPr>
          <w:rFonts w:ascii="Arial" w:hAnsi="Arial" w:cs="Arial"/>
          <w:sz w:val="22"/>
          <w:szCs w:val="22"/>
          <w:lang w:val="en"/>
        </w:rPr>
      </w:pPr>
      <w:r>
        <w:rPr>
          <w:lang w:val="en"/>
        </w:rPr>
        <w:br w:type="page"/>
      </w:r>
    </w:p>
    <w:p w:rsidR="00DA7A9A" w:rsidRPr="00B12626" w:rsidRDefault="00DA7A9A" w:rsidP="00FF535C">
      <w:pPr>
        <w:pStyle w:val="PartHeading"/>
      </w:pPr>
      <w:bookmarkStart w:id="13" w:name="_Toc458083499"/>
      <w:r w:rsidRPr="00B12626">
        <w:lastRenderedPageBreak/>
        <w:t>Decision</w:t>
      </w:r>
      <w:bookmarkEnd w:id="13"/>
    </w:p>
    <w:p w:rsidR="00DA7A9A" w:rsidRPr="004E27FA" w:rsidRDefault="00DA7A9A" w:rsidP="004E27FA">
      <w:pPr>
        <w:pStyle w:val="NumberLevel1"/>
        <w:jc w:val="both"/>
      </w:pPr>
      <w:r w:rsidRPr="00B12626">
        <w:t xml:space="preserve">At its meeting on </w:t>
      </w:r>
      <w:r w:rsidR="002B1300">
        <w:t>2 August</w:t>
      </w:r>
      <w:r w:rsidR="00B12626" w:rsidRPr="00B12626">
        <w:t xml:space="preserve"> 201</w:t>
      </w:r>
      <w:r w:rsidR="006D0A9D">
        <w:t>6</w:t>
      </w:r>
      <w:r w:rsidRPr="00B12626">
        <w:t xml:space="preserve"> the Authority decided not to amend the Statements of Principles in respect of </w:t>
      </w:r>
      <w:r w:rsidR="00AC144C">
        <w:t>malignant neoplasm of the bladder</w:t>
      </w:r>
      <w:r w:rsidRPr="00B12626">
        <w:t xml:space="preserve"> for the purposes of </w:t>
      </w:r>
      <w:r w:rsidR="00C85C47" w:rsidRPr="005C501F">
        <w:t>subsection</w:t>
      </w:r>
      <w:r w:rsidR="00C85C47">
        <w:t>s</w:t>
      </w:r>
      <w:r w:rsidR="00C85C47" w:rsidRPr="005C501F">
        <w:t xml:space="preserve"> 196B(2)</w:t>
      </w:r>
      <w:r w:rsidR="00C85C47">
        <w:t>,</w:t>
      </w:r>
      <w:r w:rsidR="00C85C47" w:rsidRPr="005C501F">
        <w:t xml:space="preserve"> (3)</w:t>
      </w:r>
      <w:r w:rsidR="00C85C47">
        <w:t xml:space="preserve"> and (8)</w:t>
      </w:r>
      <w:r w:rsidR="00C85C47" w:rsidRPr="005C501F">
        <w:t xml:space="preserve"> of the </w:t>
      </w:r>
      <w:r w:rsidR="00C85C47">
        <w:t>Act</w:t>
      </w:r>
      <w:r w:rsidRPr="00B12626">
        <w:t xml:space="preserve"> as the Authority concluded, for the reasons set out above, that the</w:t>
      </w:r>
      <w:r w:rsidR="00F146BB">
        <w:t>re is insufficient</w:t>
      </w:r>
      <w:r w:rsidRPr="00B12626">
        <w:t xml:space="preserve"> </w:t>
      </w:r>
      <w:r w:rsidR="00C1378E">
        <w:t xml:space="preserve">new </w:t>
      </w:r>
      <w:r w:rsidR="00C85C47">
        <w:t>sound medical-scientific evidence</w:t>
      </w:r>
      <w:r w:rsidRPr="00B12626">
        <w:t xml:space="preserve"> to justify an amendment to the Statements of Principles already determined in respect of </w:t>
      </w:r>
      <w:r w:rsidR="00AC144C">
        <w:t>malignant neoplasm of the bladder</w:t>
      </w:r>
      <w:r w:rsidRPr="00B12626">
        <w:t>.</w:t>
      </w:r>
    </w:p>
    <w:p w:rsidR="005C2F0F" w:rsidRPr="005C2F0F" w:rsidRDefault="00972E23" w:rsidP="005C2F0F">
      <w:pPr>
        <w:spacing w:before="140" w:after="140" w:line="280" w:lineRule="atLeast"/>
        <w:ind w:left="879" w:hanging="567"/>
        <w:outlineLvl w:val="0"/>
        <w:rPr>
          <w:rFonts w:ascii="Arial" w:hAnsi="Arial" w:cs="Arial"/>
          <w:sz w:val="22"/>
          <w:szCs w:val="22"/>
        </w:rPr>
      </w:pPr>
      <w:r w:rsidRPr="005C2F0F">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-52070</wp:posOffset>
            </wp:positionH>
            <wp:positionV relativeFrom="paragraph">
              <wp:posOffset>275590</wp:posOffset>
            </wp:positionV>
            <wp:extent cx="2393950" cy="624840"/>
            <wp:effectExtent l="0" t="0" r="6350" b="3810"/>
            <wp:wrapTight wrapText="bothSides">
              <wp:wrapPolygon edited="0">
                <wp:start x="0" y="0"/>
                <wp:lineTo x="0" y="21073"/>
                <wp:lineTo x="21485" y="21073"/>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F0F" w:rsidRPr="005C2F0F" w:rsidRDefault="005C2F0F" w:rsidP="005C2F0F">
      <w:pPr>
        <w:spacing w:before="140" w:after="140" w:line="280" w:lineRule="atLeast"/>
        <w:ind w:left="879" w:hanging="567"/>
        <w:outlineLvl w:val="0"/>
        <w:rPr>
          <w:rFonts w:ascii="Arial" w:hAnsi="Arial" w:cs="Arial"/>
          <w:sz w:val="22"/>
          <w:szCs w:val="22"/>
        </w:rPr>
      </w:pPr>
    </w:p>
    <w:p w:rsidR="005C2F0F" w:rsidRPr="005C2F0F" w:rsidRDefault="005C2F0F" w:rsidP="005C2F0F">
      <w:pPr>
        <w:spacing w:before="140" w:after="140" w:line="280" w:lineRule="atLeast"/>
        <w:ind w:left="879" w:hanging="567"/>
        <w:outlineLvl w:val="0"/>
        <w:rPr>
          <w:rFonts w:ascii="Arial" w:hAnsi="Arial" w:cs="Arial"/>
          <w:sz w:val="22"/>
          <w:szCs w:val="22"/>
        </w:rPr>
      </w:pPr>
    </w:p>
    <w:p w:rsidR="005C2F0F" w:rsidRPr="005C2F0F" w:rsidRDefault="005C2F0F" w:rsidP="005C2F0F">
      <w:pPr>
        <w:keepNext/>
        <w:outlineLvl w:val="0"/>
        <w:rPr>
          <w:rFonts w:ascii="Arial" w:hAnsi="Arial" w:cs="Arial"/>
          <w:sz w:val="22"/>
          <w:szCs w:val="22"/>
        </w:rPr>
      </w:pPr>
      <w:r w:rsidRPr="005C2F0F">
        <w:rPr>
          <w:rFonts w:ascii="Arial" w:hAnsi="Arial" w:cs="Arial"/>
          <w:sz w:val="22"/>
          <w:szCs w:val="22"/>
        </w:rPr>
        <w:t>Professor Nicholas Saunders AO</w:t>
      </w:r>
    </w:p>
    <w:p w:rsidR="005C2F0F" w:rsidRPr="005C2F0F" w:rsidRDefault="005C2F0F" w:rsidP="005C2F0F">
      <w:pPr>
        <w:outlineLvl w:val="0"/>
        <w:rPr>
          <w:rFonts w:ascii="Arial" w:hAnsi="Arial" w:cs="Arial"/>
          <w:sz w:val="22"/>
          <w:szCs w:val="22"/>
        </w:rPr>
      </w:pPr>
      <w:r w:rsidRPr="005C2F0F">
        <w:rPr>
          <w:rFonts w:ascii="Arial" w:hAnsi="Arial" w:cs="Arial"/>
          <w:sz w:val="22"/>
          <w:szCs w:val="22"/>
        </w:rPr>
        <w:t>Chairperson</w:t>
      </w:r>
    </w:p>
    <w:p w:rsidR="005C2F0F" w:rsidRPr="005C2F0F" w:rsidRDefault="005C2F0F" w:rsidP="005C2F0F">
      <w:pPr>
        <w:rPr>
          <w:rFonts w:ascii="Arial" w:hAnsi="Arial" w:cs="Arial"/>
          <w:sz w:val="22"/>
          <w:szCs w:val="22"/>
        </w:rPr>
      </w:pPr>
      <w:r w:rsidRPr="005C2F0F">
        <w:rPr>
          <w:rFonts w:ascii="Arial" w:hAnsi="Arial" w:cs="Arial"/>
          <w:sz w:val="22"/>
          <w:szCs w:val="22"/>
        </w:rPr>
        <w:t>Repatriation Medical Authority</w:t>
      </w:r>
    </w:p>
    <w:p w:rsidR="005C2F0F" w:rsidRPr="005C2F0F" w:rsidRDefault="005C2F0F" w:rsidP="005C2F0F">
      <w:pPr>
        <w:jc w:val="both"/>
        <w:rPr>
          <w:rFonts w:ascii="Arial" w:hAnsi="Arial" w:cs="Arial"/>
          <w:sz w:val="22"/>
          <w:szCs w:val="22"/>
        </w:rPr>
      </w:pPr>
    </w:p>
    <w:p w:rsidR="005C2F0F" w:rsidRPr="005C2F0F" w:rsidRDefault="005C2F0F" w:rsidP="005C2F0F">
      <w:pPr>
        <w:keepNext/>
        <w:jc w:val="both"/>
        <w:outlineLvl w:val="8"/>
        <w:rPr>
          <w:rFonts w:ascii="Arial" w:hAnsi="Arial" w:cs="Arial"/>
          <w:sz w:val="22"/>
          <w:szCs w:val="22"/>
        </w:rPr>
      </w:pPr>
      <w:r w:rsidRPr="005C2F0F">
        <w:rPr>
          <w:rFonts w:ascii="Arial" w:hAnsi="Arial" w:cs="Arial"/>
          <w:sz w:val="22"/>
          <w:szCs w:val="22"/>
        </w:rPr>
        <w:t>2</w:t>
      </w:r>
      <w:r w:rsidR="002B1300">
        <w:rPr>
          <w:rFonts w:ascii="Arial" w:hAnsi="Arial" w:cs="Arial"/>
          <w:sz w:val="22"/>
          <w:szCs w:val="22"/>
        </w:rPr>
        <w:t>6</w:t>
      </w:r>
      <w:r w:rsidRPr="005C2F0F">
        <w:rPr>
          <w:rFonts w:ascii="Arial" w:hAnsi="Arial" w:cs="Arial"/>
          <w:sz w:val="22"/>
          <w:szCs w:val="22"/>
        </w:rPr>
        <w:t xml:space="preserve"> </w:t>
      </w:r>
      <w:r w:rsidR="002B1300">
        <w:rPr>
          <w:rFonts w:ascii="Arial" w:hAnsi="Arial" w:cs="Arial"/>
          <w:sz w:val="22"/>
          <w:szCs w:val="22"/>
        </w:rPr>
        <w:t>August</w:t>
      </w:r>
      <w:r w:rsidRPr="005C2F0F">
        <w:rPr>
          <w:rFonts w:ascii="Arial" w:hAnsi="Arial" w:cs="Arial"/>
          <w:sz w:val="22"/>
          <w:szCs w:val="22"/>
        </w:rPr>
        <w:t xml:space="preserve"> 201</w:t>
      </w:r>
      <w:r>
        <w:rPr>
          <w:rFonts w:ascii="Arial" w:hAnsi="Arial" w:cs="Arial"/>
          <w:sz w:val="22"/>
          <w:szCs w:val="22"/>
        </w:rPr>
        <w:t>6</w:t>
      </w:r>
    </w:p>
    <w:p w:rsidR="005C2F0F" w:rsidRDefault="005C2F0F" w:rsidP="00C37AE3">
      <w:pPr>
        <w:pStyle w:val="NumberLevel1"/>
        <w:numPr>
          <w:ilvl w:val="0"/>
          <w:numId w:val="0"/>
        </w:numPr>
        <w:spacing w:after="0"/>
        <w:ind w:left="879" w:hanging="567"/>
      </w:pPr>
    </w:p>
    <w:p w:rsidR="005C2F0F" w:rsidRDefault="005C2F0F" w:rsidP="00C37AE3">
      <w:pPr>
        <w:pStyle w:val="NumberLevel1"/>
        <w:numPr>
          <w:ilvl w:val="0"/>
          <w:numId w:val="0"/>
        </w:numPr>
        <w:spacing w:after="0"/>
        <w:ind w:left="879" w:hanging="567"/>
      </w:pPr>
    </w:p>
    <w:p w:rsidR="00DA7A9A" w:rsidRDefault="00DA7A9A">
      <w:pPr>
        <w:pStyle w:val="PartHeading"/>
        <w:tabs>
          <w:tab w:val="clear" w:pos="1134"/>
          <w:tab w:val="num" w:pos="1238"/>
        </w:tabs>
        <w:spacing w:line="480" w:lineRule="auto"/>
        <w:ind w:left="1238"/>
        <w:rPr>
          <w:szCs w:val="20"/>
        </w:rPr>
      </w:pPr>
      <w:r>
        <w:rPr>
          <w:rFonts w:ascii="Palatino Linotype" w:hAnsi="Palatino Linotype"/>
        </w:rPr>
        <w:br w:type="page"/>
      </w:r>
      <w:bookmarkStart w:id="14" w:name="_Toc135439896"/>
      <w:r>
        <w:rPr>
          <w:szCs w:val="20"/>
        </w:rPr>
        <w:lastRenderedPageBreak/>
        <w:t xml:space="preserve"> </w:t>
      </w:r>
      <w:r>
        <w:rPr>
          <w:szCs w:val="20"/>
        </w:rPr>
        <w:tab/>
      </w:r>
      <w:bookmarkStart w:id="15" w:name="_Toc458083500"/>
      <w:r>
        <w:rPr>
          <w:szCs w:val="20"/>
        </w:rPr>
        <w:t>Bibliography</w:t>
      </w:r>
      <w:bookmarkEnd w:id="14"/>
      <w:bookmarkEnd w:id="15"/>
    </w:p>
    <w:p w:rsidR="00DA7A9A" w:rsidRPr="00B12626" w:rsidRDefault="00DA7A9A" w:rsidP="00DC0CA4">
      <w:pPr>
        <w:jc w:val="both"/>
        <w:rPr>
          <w:rFonts w:ascii="Arial" w:hAnsi="Arial" w:cs="Arial"/>
          <w:sz w:val="22"/>
          <w:szCs w:val="22"/>
        </w:rPr>
      </w:pPr>
    </w:p>
    <w:p w:rsidR="002B1300" w:rsidRPr="002B1300" w:rsidRDefault="002B1300" w:rsidP="002B1300">
      <w:pPr>
        <w:spacing w:after="120"/>
        <w:jc w:val="both"/>
        <w:rPr>
          <w:rFonts w:ascii="Arial" w:hAnsi="Arial" w:cs="Arial"/>
          <w:sz w:val="22"/>
          <w:szCs w:val="22"/>
        </w:rPr>
      </w:pPr>
      <w:r w:rsidRPr="002B1300">
        <w:rPr>
          <w:rFonts w:ascii="Arial" w:hAnsi="Arial" w:cs="Arial"/>
          <w:sz w:val="22"/>
          <w:szCs w:val="22"/>
        </w:rPr>
        <w:t xml:space="preserve">  Bonneterre V, Mathern G, Pelen O, Balthazard AL, Delafosse P, Mitton N, Colonna M. (2012) Cancer incidence in a chlorochemical plant in Isère, France: an occupational cohort study, 1979-2002. Am J Ind Med. Sep;55(9):756-67.</w:t>
      </w:r>
    </w:p>
    <w:p w:rsidR="002B1300" w:rsidRPr="002B1300" w:rsidRDefault="002B1300" w:rsidP="002B1300">
      <w:pPr>
        <w:spacing w:after="120"/>
        <w:jc w:val="both"/>
        <w:rPr>
          <w:rFonts w:ascii="Arial" w:hAnsi="Arial" w:cs="Arial"/>
          <w:sz w:val="22"/>
          <w:szCs w:val="22"/>
        </w:rPr>
      </w:pPr>
      <w:r w:rsidRPr="002B1300">
        <w:rPr>
          <w:rFonts w:ascii="Arial" w:hAnsi="Arial" w:cs="Arial"/>
          <w:sz w:val="22"/>
          <w:szCs w:val="22"/>
        </w:rPr>
        <w:t xml:space="preserve">  IARC Working Group (2012). 2,3,7,8-tetrachlorodibenzo-para-dioxin, 2,3,4,7,8-pentachlorodibenzofuran, and 3,3-,4,4-,5-pentachlorobiphenyl. Vol 100F- 339-78. IARC Press, Lyon.</w:t>
      </w:r>
    </w:p>
    <w:p w:rsidR="002B1300" w:rsidRPr="002B1300" w:rsidRDefault="002B1300" w:rsidP="002B1300">
      <w:pPr>
        <w:spacing w:after="120"/>
        <w:jc w:val="both"/>
        <w:rPr>
          <w:rFonts w:ascii="Arial" w:hAnsi="Arial" w:cs="Arial"/>
          <w:sz w:val="22"/>
          <w:szCs w:val="22"/>
        </w:rPr>
      </w:pPr>
      <w:r w:rsidRPr="002B1300">
        <w:rPr>
          <w:rFonts w:ascii="Arial" w:hAnsi="Arial" w:cs="Arial"/>
          <w:sz w:val="22"/>
          <w:szCs w:val="22"/>
        </w:rPr>
        <w:t xml:space="preserve">  Di Lorenzo G, Federico P, De Placido S, Buonerba C. (2015) Increased risk of bladder cancer in critical areas at high pressure of pollution of the Campania region in Italy: A systematic review. Crit Rev Oncol Hematol. Dec;96(3):534-41.</w:t>
      </w:r>
    </w:p>
    <w:p w:rsidR="002B1300" w:rsidRPr="002B1300" w:rsidRDefault="002B1300" w:rsidP="002B1300">
      <w:pPr>
        <w:spacing w:after="120"/>
        <w:jc w:val="both"/>
        <w:rPr>
          <w:rFonts w:ascii="Arial" w:hAnsi="Arial" w:cs="Arial"/>
          <w:sz w:val="22"/>
          <w:szCs w:val="22"/>
        </w:rPr>
      </w:pPr>
      <w:r w:rsidRPr="002B1300">
        <w:rPr>
          <w:rFonts w:ascii="Arial" w:hAnsi="Arial" w:cs="Arial"/>
          <w:sz w:val="22"/>
          <w:szCs w:val="22"/>
        </w:rPr>
        <w:t xml:space="preserve">  National Academies of Sciences, Engineering, and Medicine (2016) Veterans and Agent Orange: Update 2014. Washington, DC: The National Academies Press, pp. 514-529.</w:t>
      </w:r>
    </w:p>
    <w:p w:rsidR="002B1300" w:rsidRPr="002B1300" w:rsidRDefault="002B1300" w:rsidP="002B1300">
      <w:pPr>
        <w:spacing w:after="120"/>
        <w:jc w:val="both"/>
        <w:rPr>
          <w:rFonts w:ascii="Arial" w:hAnsi="Arial" w:cs="Arial"/>
          <w:sz w:val="22"/>
          <w:szCs w:val="22"/>
        </w:rPr>
      </w:pPr>
      <w:r w:rsidRPr="002B1300">
        <w:rPr>
          <w:rFonts w:ascii="Arial" w:hAnsi="Arial" w:cs="Arial"/>
          <w:sz w:val="22"/>
          <w:szCs w:val="22"/>
        </w:rPr>
        <w:t xml:space="preserve">  Yi SW, Ohrr H. (2014) Agent Orange exposure and cancer incidence in Korean Vietnam veterans: a prospective cohort study. Cancer. Dec 1;120(23):3699-706.</w:t>
      </w:r>
    </w:p>
    <w:p w:rsidR="00B12626" w:rsidRPr="00B12626" w:rsidRDefault="002B1300" w:rsidP="002B1300">
      <w:pPr>
        <w:spacing w:after="120"/>
        <w:jc w:val="both"/>
        <w:rPr>
          <w:rFonts w:ascii="Arial" w:hAnsi="Arial" w:cs="Arial"/>
          <w:sz w:val="22"/>
          <w:szCs w:val="22"/>
        </w:rPr>
      </w:pPr>
      <w:r w:rsidRPr="002B1300">
        <w:rPr>
          <w:rFonts w:ascii="Arial" w:hAnsi="Arial" w:cs="Arial"/>
          <w:sz w:val="22"/>
          <w:szCs w:val="22"/>
        </w:rPr>
        <w:t xml:space="preserve">  Yi SW, Ryu SY, Ohrr H, Hong JS. (2014) Agent Orange exposure and risk of death in Korean Vietnam veterans: Korean Veterans Health Study. Int J Epidemiol. Dec;43(6):1825-34.</w:t>
      </w:r>
    </w:p>
    <w:sectPr w:rsidR="00B12626" w:rsidRPr="00B12626">
      <w:footerReference w:type="even" r:id="rId11"/>
      <w:footerReference w:type="default" r:id="rId12"/>
      <w:pgSz w:w="11907" w:h="16840" w:code="9"/>
      <w:pgMar w:top="1361" w:right="1247" w:bottom="1559" w:left="1247" w:header="720" w:footer="720" w:gutter="0"/>
      <w:paperSrc w:first="281" w:other="27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86" w:rsidRDefault="00460A86">
      <w:r>
        <w:separator/>
      </w:r>
    </w:p>
  </w:endnote>
  <w:endnote w:type="continuationSeparator" w:id="0">
    <w:p w:rsidR="00460A86" w:rsidRDefault="0046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9A" w:rsidRDefault="00DA7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rsidR="00DA7A9A" w:rsidRDefault="00DA7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9A" w:rsidRDefault="00DA7A9A">
    <w:pPr>
      <w:pStyle w:val="Footer"/>
      <w:jc w:val="center"/>
    </w:pPr>
    <w:r>
      <w:t xml:space="preserve">- </w:t>
    </w:r>
    <w:r>
      <w:fldChar w:fldCharType="begin"/>
    </w:r>
    <w:r>
      <w:instrText xml:space="preserve"> PAGE </w:instrText>
    </w:r>
    <w:r>
      <w:fldChar w:fldCharType="separate"/>
    </w:r>
    <w:r w:rsidR="00986A60">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86" w:rsidRDefault="00460A86">
      <w:r>
        <w:separator/>
      </w:r>
    </w:p>
  </w:footnote>
  <w:footnote w:type="continuationSeparator" w:id="0">
    <w:p w:rsidR="00460A86" w:rsidRDefault="00460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248D0"/>
    <w:multiLevelType w:val="multilevel"/>
    <w:tmpl w:val="44B43A50"/>
    <w:lvl w:ilvl="0">
      <w:start w:val="1"/>
      <w:numFmt w:val="decimal"/>
      <w:pStyle w:val="NumberLevel1"/>
      <w:lvlText w:val="%1."/>
      <w:lvlJc w:val="left"/>
      <w:pPr>
        <w:tabs>
          <w:tab w:val="num" w:pos="879"/>
        </w:tabs>
        <w:ind w:left="879" w:hanging="567"/>
      </w:pPr>
      <w:rPr>
        <w:rFonts w:ascii="Arial" w:hAnsi="Arial" w:cs="Arial" w:hint="default"/>
      </w:rPr>
    </w:lvl>
    <w:lvl w:ilvl="1">
      <w:start w:val="1"/>
      <w:numFmt w:val="decimal"/>
      <w:pStyle w:val="NumberLevel2"/>
      <w:lvlText w:val="%1.%2."/>
      <w:lvlJc w:val="left"/>
      <w:pPr>
        <w:tabs>
          <w:tab w:val="num" w:pos="1451"/>
        </w:tabs>
        <w:ind w:left="1451"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1" w15:restartNumberingAfterBreak="0">
    <w:nsid w:val="53FD4BC6"/>
    <w:multiLevelType w:val="multilevel"/>
    <w:tmpl w:val="920E9568"/>
    <w:lvl w:ilvl="0">
      <w:start w:val="1"/>
      <w:numFmt w:val="upperRoman"/>
      <w:pStyle w:val="PartHeading"/>
      <w:lvlText w:val="Part  %1"/>
      <w:lvlJc w:val="left"/>
      <w:pPr>
        <w:tabs>
          <w:tab w:val="num" w:pos="1134"/>
        </w:tabs>
        <w:ind w:left="1134" w:hanging="113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EFB1015"/>
    <w:multiLevelType w:val="hybridMultilevel"/>
    <w:tmpl w:val="33164588"/>
    <w:lvl w:ilvl="0" w:tplc="0C090001">
      <w:start w:val="1"/>
      <w:numFmt w:val="bullet"/>
      <w:lvlText w:val=""/>
      <w:lvlJc w:val="left"/>
      <w:pPr>
        <w:ind w:left="1276" w:hanging="397"/>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85"/>
    <w:rsid w:val="000154C1"/>
    <w:rsid w:val="0002424C"/>
    <w:rsid w:val="0004342A"/>
    <w:rsid w:val="00092018"/>
    <w:rsid w:val="000A2427"/>
    <w:rsid w:val="000B4388"/>
    <w:rsid w:val="000C051C"/>
    <w:rsid w:val="000C0848"/>
    <w:rsid w:val="0012176A"/>
    <w:rsid w:val="00126678"/>
    <w:rsid w:val="001307D1"/>
    <w:rsid w:val="001373F2"/>
    <w:rsid w:val="00167DF3"/>
    <w:rsid w:val="001776D7"/>
    <w:rsid w:val="001B2CD6"/>
    <w:rsid w:val="001B6800"/>
    <w:rsid w:val="00223033"/>
    <w:rsid w:val="00256440"/>
    <w:rsid w:val="00261618"/>
    <w:rsid w:val="002629E3"/>
    <w:rsid w:val="00273FC9"/>
    <w:rsid w:val="002B0D5F"/>
    <w:rsid w:val="002B1300"/>
    <w:rsid w:val="00336303"/>
    <w:rsid w:val="00371AE5"/>
    <w:rsid w:val="003F451F"/>
    <w:rsid w:val="00401E82"/>
    <w:rsid w:val="004140F9"/>
    <w:rsid w:val="0041784B"/>
    <w:rsid w:val="004235E2"/>
    <w:rsid w:val="00451BB0"/>
    <w:rsid w:val="00455C66"/>
    <w:rsid w:val="00460A86"/>
    <w:rsid w:val="004819C1"/>
    <w:rsid w:val="0049121F"/>
    <w:rsid w:val="004971D9"/>
    <w:rsid w:val="004B3BD3"/>
    <w:rsid w:val="004C1D6B"/>
    <w:rsid w:val="004C3F24"/>
    <w:rsid w:val="004E27FA"/>
    <w:rsid w:val="004E7396"/>
    <w:rsid w:val="005629CD"/>
    <w:rsid w:val="00581DEE"/>
    <w:rsid w:val="00582F45"/>
    <w:rsid w:val="005951A1"/>
    <w:rsid w:val="005A2E76"/>
    <w:rsid w:val="005C2F0F"/>
    <w:rsid w:val="0060468B"/>
    <w:rsid w:val="00613495"/>
    <w:rsid w:val="006C1E53"/>
    <w:rsid w:val="006D0A9D"/>
    <w:rsid w:val="006D7E3A"/>
    <w:rsid w:val="006F2D58"/>
    <w:rsid w:val="007017EC"/>
    <w:rsid w:val="0070463E"/>
    <w:rsid w:val="00751682"/>
    <w:rsid w:val="00755AF6"/>
    <w:rsid w:val="00761B87"/>
    <w:rsid w:val="00782E36"/>
    <w:rsid w:val="007B429F"/>
    <w:rsid w:val="00862F6A"/>
    <w:rsid w:val="00870889"/>
    <w:rsid w:val="00886FB2"/>
    <w:rsid w:val="008901B9"/>
    <w:rsid w:val="00924F85"/>
    <w:rsid w:val="0093724B"/>
    <w:rsid w:val="00945C45"/>
    <w:rsid w:val="0094647F"/>
    <w:rsid w:val="00972E23"/>
    <w:rsid w:val="00975D41"/>
    <w:rsid w:val="00986A60"/>
    <w:rsid w:val="0099413E"/>
    <w:rsid w:val="009C193C"/>
    <w:rsid w:val="00A05350"/>
    <w:rsid w:val="00A30A6A"/>
    <w:rsid w:val="00A42EFB"/>
    <w:rsid w:val="00A66EF0"/>
    <w:rsid w:val="00AA3A94"/>
    <w:rsid w:val="00AC144C"/>
    <w:rsid w:val="00AD1E2D"/>
    <w:rsid w:val="00B03EA2"/>
    <w:rsid w:val="00B12626"/>
    <w:rsid w:val="00B27BE7"/>
    <w:rsid w:val="00B51401"/>
    <w:rsid w:val="00C1378E"/>
    <w:rsid w:val="00C2458E"/>
    <w:rsid w:val="00C37AE3"/>
    <w:rsid w:val="00C44AE3"/>
    <w:rsid w:val="00C85C47"/>
    <w:rsid w:val="00CA266B"/>
    <w:rsid w:val="00CC4954"/>
    <w:rsid w:val="00CD77A1"/>
    <w:rsid w:val="00CF3D3C"/>
    <w:rsid w:val="00D06E97"/>
    <w:rsid w:val="00D50472"/>
    <w:rsid w:val="00D604B4"/>
    <w:rsid w:val="00D91262"/>
    <w:rsid w:val="00DA7A9A"/>
    <w:rsid w:val="00DC0CA4"/>
    <w:rsid w:val="00DC5835"/>
    <w:rsid w:val="00E16686"/>
    <w:rsid w:val="00E40DC7"/>
    <w:rsid w:val="00E674E2"/>
    <w:rsid w:val="00EC1F9F"/>
    <w:rsid w:val="00EE3CDD"/>
    <w:rsid w:val="00F146BB"/>
    <w:rsid w:val="00FB471E"/>
    <w:rsid w:val="00FC10A4"/>
    <w:rsid w:val="00FD2857"/>
    <w:rsid w:val="00FF535C"/>
    <w:rsid w:val="00FF7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keepNext/>
      <w:ind w:left="851"/>
      <w:jc w:val="both"/>
      <w:outlineLvl w:val="6"/>
    </w:pPr>
    <w:rPr>
      <w:b/>
      <w:i/>
      <w:sz w:val="24"/>
    </w:rPr>
  </w:style>
  <w:style w:type="paragraph" w:styleId="Heading8">
    <w:name w:val="heading 8"/>
    <w:basedOn w:val="Normal"/>
    <w:next w:val="Normal"/>
    <w:qFormat/>
    <w:pPr>
      <w:keepNext/>
      <w:ind w:firstLine="720"/>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jc w:val="both"/>
    </w:pPr>
    <w:rPr>
      <w:sz w:val="24"/>
    </w:rPr>
  </w:style>
  <w:style w:type="paragraph" w:styleId="BodyText2">
    <w:name w:val="Body Text 2"/>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sz w:val="24"/>
    </w:rPr>
  </w:style>
  <w:style w:type="paragraph" w:styleId="BodyText3">
    <w:name w:val="Body Text 3"/>
    <w:basedOn w:val="Normal"/>
    <w:rPr>
      <w:strike/>
      <w:sz w:val="24"/>
    </w:rPr>
  </w:style>
  <w:style w:type="paragraph" w:styleId="BodyTextIndent2">
    <w:name w:val="Body Text Indent 2"/>
    <w:basedOn w:val="Normal"/>
    <w:pPr>
      <w:ind w:left="1440" w:hanging="1440"/>
      <w:jc w:val="both"/>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lang w:val="en-GB"/>
    </w:rPr>
  </w:style>
  <w:style w:type="paragraph" w:styleId="BodyTextIndent3">
    <w:name w:val="Body Text Indent 3"/>
    <w:basedOn w:val="Normal"/>
    <w:pPr>
      <w:ind w:left="1418"/>
    </w:pPr>
    <w:rPr>
      <w:snapToGrid w:val="0"/>
      <w:sz w:val="24"/>
      <w:lang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spacing w:before="100" w:after="100"/>
      <w:ind w:left="360" w:right="360"/>
    </w:pPr>
    <w:rPr>
      <w:snapToGrid w:val="0"/>
      <w:sz w:val="24"/>
      <w:lang w:eastAsia="en-US"/>
    </w:rPr>
  </w:style>
  <w:style w:type="paragraph" w:styleId="BlockText">
    <w:name w:val="Block Text"/>
    <w:basedOn w:val="Normal"/>
    <w:pPr>
      <w:ind w:left="567" w:right="766"/>
      <w:jc w:val="both"/>
    </w:pPr>
    <w:rPr>
      <w:i/>
      <w:sz w:val="23"/>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Indent">
    <w:name w:val="Normal Indent"/>
    <w:basedOn w:val="Normal"/>
    <w:pPr>
      <w:spacing w:line="240" w:lineRule="atLeast"/>
      <w:ind w:left="720"/>
      <w:jc w:val="both"/>
    </w:pPr>
    <w:rPr>
      <w:sz w:val="26"/>
      <w:lang w:val="en-GB" w:eastAsia="en-US"/>
    </w:rPr>
  </w:style>
  <w:style w:type="paragraph" w:customStyle="1" w:styleId="paragraph">
    <w:name w:val="paragraph"/>
    <w:basedOn w:val="Normal"/>
    <w:pPr>
      <w:spacing w:before="100" w:beforeAutospacing="1" w:after="100" w:afterAutospacing="1"/>
    </w:pPr>
    <w:rPr>
      <w:sz w:val="24"/>
      <w:szCs w:val="24"/>
    </w:rPr>
  </w:style>
  <w:style w:type="paragraph" w:customStyle="1" w:styleId="paragraphsub">
    <w:name w:val="paragraphsub"/>
    <w:basedOn w:val="Normal"/>
    <w:pPr>
      <w:spacing w:before="100" w:beforeAutospacing="1" w:after="100" w:afterAutospacing="1"/>
    </w:pPr>
    <w:rPr>
      <w:sz w:val="24"/>
      <w:szCs w:val="24"/>
    </w:rPr>
  </w:style>
  <w:style w:type="paragraph" w:customStyle="1" w:styleId="PlainParagraphChar">
    <w:name w:val="Plain Paragraph Char"/>
    <w:basedOn w:val="Normal"/>
    <w:link w:val="PlainParagraphCharChar"/>
    <w:pPr>
      <w:spacing w:before="140" w:after="140" w:line="280" w:lineRule="atLeast"/>
    </w:pPr>
    <w:rPr>
      <w:rFonts w:ascii="Arial" w:hAnsi="Arial" w:cs="Arial"/>
      <w:sz w:val="22"/>
      <w:szCs w:val="22"/>
    </w:rPr>
  </w:style>
  <w:style w:type="paragraph" w:styleId="TOC3">
    <w:name w:val="toc 3"/>
    <w:basedOn w:val="TOC2"/>
    <w:next w:val="Normal"/>
    <w:autoRedefine/>
    <w:uiPriority w:val="39"/>
    <w:pPr>
      <w:keepNext/>
      <w:widowControl w:val="0"/>
      <w:tabs>
        <w:tab w:val="left" w:pos="1430"/>
        <w:tab w:val="right" w:leader="dot" w:pos="9072"/>
      </w:tabs>
      <w:spacing w:before="60" w:line="240" w:lineRule="atLeast"/>
      <w:ind w:left="425"/>
    </w:pPr>
    <w:rPr>
      <w:rFonts w:ascii="Helvetica" w:hAnsi="Helvetica" w:cs="Arial"/>
      <w:noProof/>
    </w:rPr>
  </w:style>
  <w:style w:type="paragraph" w:customStyle="1" w:styleId="FormTitle">
    <w:name w:val="Form Title"/>
    <w:pPr>
      <w:spacing w:before="420" w:after="140" w:line="280" w:lineRule="atLeast"/>
      <w:jc w:val="center"/>
    </w:pPr>
    <w:rPr>
      <w:rFonts w:ascii="Arial" w:hAnsi="Arial" w:cs="Arial"/>
      <w:b/>
      <w:caps/>
      <w:szCs w:val="22"/>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NumberLevel1">
    <w:name w:val="Number Level 1"/>
    <w:basedOn w:val="PlainParagraphChar"/>
    <w:pPr>
      <w:numPr>
        <w:numId w:val="2"/>
      </w:numPr>
      <w:outlineLvl w:val="0"/>
    </w:pPr>
  </w:style>
  <w:style w:type="paragraph" w:customStyle="1" w:styleId="NumberLevel2">
    <w:name w:val="Number Level 2"/>
    <w:basedOn w:val="PlainParagraphChar"/>
    <w:pPr>
      <w:numPr>
        <w:ilvl w:val="1"/>
        <w:numId w:val="2"/>
      </w:numPr>
      <w:outlineLvl w:val="1"/>
    </w:pPr>
  </w:style>
  <w:style w:type="paragraph" w:customStyle="1" w:styleId="NumberLevel3">
    <w:name w:val="Number Level 3"/>
    <w:basedOn w:val="PlainParagraphChar"/>
    <w:pPr>
      <w:numPr>
        <w:ilvl w:val="2"/>
        <w:numId w:val="2"/>
      </w:numPr>
      <w:outlineLvl w:val="2"/>
    </w:pPr>
  </w:style>
  <w:style w:type="paragraph" w:customStyle="1" w:styleId="NumberLevel4">
    <w:name w:val="Number Level 4"/>
    <w:basedOn w:val="PlainParagraphChar"/>
    <w:pPr>
      <w:numPr>
        <w:ilvl w:val="3"/>
        <w:numId w:val="2"/>
      </w:numPr>
      <w:outlineLvl w:val="3"/>
    </w:pPr>
  </w:style>
  <w:style w:type="paragraph" w:customStyle="1" w:styleId="NumberLevel5">
    <w:name w:val="Number Level 5"/>
    <w:basedOn w:val="PlainParagraphChar"/>
    <w:semiHidden/>
    <w:pPr>
      <w:numPr>
        <w:ilvl w:val="4"/>
        <w:numId w:val="2"/>
      </w:numPr>
      <w:outlineLvl w:val="4"/>
    </w:pPr>
  </w:style>
  <w:style w:type="paragraph" w:customStyle="1" w:styleId="NumberLevel6">
    <w:name w:val="Number Level 6"/>
    <w:basedOn w:val="PlainParagraphChar"/>
    <w:semiHidden/>
    <w:pPr>
      <w:numPr>
        <w:ilvl w:val="5"/>
        <w:numId w:val="2"/>
      </w:numPr>
      <w:outlineLvl w:val="5"/>
    </w:pPr>
  </w:style>
  <w:style w:type="paragraph" w:customStyle="1" w:styleId="NumberLevel7">
    <w:name w:val="Number Level 7"/>
    <w:basedOn w:val="PlainParagraphChar"/>
    <w:semiHidden/>
    <w:pPr>
      <w:numPr>
        <w:ilvl w:val="6"/>
        <w:numId w:val="2"/>
      </w:numPr>
      <w:outlineLvl w:val="6"/>
    </w:pPr>
  </w:style>
  <w:style w:type="paragraph" w:customStyle="1" w:styleId="NumberLevel8">
    <w:name w:val="Number Level 8"/>
    <w:basedOn w:val="PlainParagraphChar"/>
    <w:semiHidden/>
    <w:pPr>
      <w:numPr>
        <w:ilvl w:val="7"/>
        <w:numId w:val="2"/>
      </w:numPr>
      <w:outlineLvl w:val="7"/>
    </w:pPr>
  </w:style>
  <w:style w:type="paragraph" w:customStyle="1" w:styleId="NumberLevel9">
    <w:name w:val="Number Level 9"/>
    <w:basedOn w:val="PlainParagraphChar"/>
    <w:semiHidden/>
    <w:pPr>
      <w:numPr>
        <w:ilvl w:val="8"/>
        <w:numId w:val="2"/>
      </w:numPr>
      <w:outlineLvl w:val="8"/>
    </w:pPr>
  </w:style>
  <w:style w:type="character" w:customStyle="1" w:styleId="PlainParagraphCharChar">
    <w:name w:val="Plain Paragraph Char Char"/>
    <w:link w:val="PlainParagraphChar"/>
    <w:rPr>
      <w:rFonts w:ascii="Arial" w:hAnsi="Arial" w:cs="Arial"/>
      <w:sz w:val="22"/>
      <w:szCs w:val="22"/>
      <w:lang w:val="en-AU" w:eastAsia="en-AU" w:bidi="ar-SA"/>
    </w:rPr>
  </w:style>
  <w:style w:type="paragraph" w:styleId="TOC2">
    <w:name w:val="toc 2"/>
    <w:basedOn w:val="Normal"/>
    <w:next w:val="Normal"/>
    <w:autoRedefine/>
    <w:semiHidden/>
    <w:pPr>
      <w:ind w:left="200"/>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rFonts w:ascii="Arial" w:hAnsi="Arial"/>
      <w:lang w:val="en-GB"/>
    </w:rPr>
  </w:style>
  <w:style w:type="paragraph" w:styleId="Caption">
    <w:name w:val="caption"/>
    <w:basedOn w:val="Normal"/>
    <w:next w:val="Normal"/>
    <w:qFormat/>
    <w:rsid w:val="00EC1F9F"/>
    <w:pPr>
      <w:spacing w:before="120" w:after="120" w:line="288" w:lineRule="auto"/>
    </w:pPr>
    <w:rPr>
      <w:rFonts w:ascii="Arial" w:hAnsi="Arial"/>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DVASTAFF.dva.gov.au\data\Users\Q\QWARDJD\RMA%20working%20documents\Forest%20plots%20MN%20bladder.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DVASTAFF.dva.gov.au\data\Users\Q\QWARDJD\RMA%20working%20documents\Forest%20plots%20MN%20bladd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Bladder cancer mortality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527525980944548E-2"/>
          <c:y val="0.11179282868525896"/>
          <c:w val="0.8887740112593937"/>
          <c:h val="0.48488042580334828"/>
        </c:manualLayout>
      </c:layout>
      <c:stockChart>
        <c:ser>
          <c:idx val="0"/>
          <c:order val="0"/>
          <c:spPr>
            <a:ln w="25400" cap="rnd">
              <a:noFill/>
              <a:round/>
            </a:ln>
            <a:effectLst/>
          </c:spPr>
          <c:marker>
            <c:symbol val="none"/>
          </c:marker>
          <c:cat>
            <c:strRef>
              <c:f>Sheet1!$C$14:$C$46</c:f>
              <c:strCache>
                <c:ptCount val="33"/>
                <c:pt idx="0">
                  <c:v>Akthar et al 2000 (Ranch Hands)</c:v>
                </c:pt>
                <c:pt idx="1">
                  <c:v>Breslin et al 1998 (USVA)</c:v>
                </c:pt>
                <c:pt idx="2">
                  <c:v>Clapp 1997 (Massuchesetts veterans)</c:v>
                </c:pt>
                <c:pt idx="3">
                  <c:v>ADVA 2005</c:v>
                </c:pt>
                <c:pt idx="4">
                  <c:v>ADVA 2005 conscripted</c:v>
                </c:pt>
                <c:pt idx="5">
                  <c:v>Yi et al 2014 (Korean)</c:v>
                </c:pt>
                <c:pt idx="7">
                  <c:v>Kogevinas et al 1997 (IARC phenoxyherbicide cohort)</c:v>
                </c:pt>
                <c:pt idx="8">
                  <c:v>Coggon et al 1986 (British subcohort)</c:v>
                </c:pt>
                <c:pt idx="9">
                  <c:v>Boers et al 2012 (Danish subcohort)</c:v>
                </c:pt>
                <c:pt idx="10">
                  <c:v>Boers et al 2012 (Dutch subcohort Plant A)</c:v>
                </c:pt>
                <c:pt idx="11">
                  <c:v>Boers et al 2010 (Dutch subcohort Plant B)</c:v>
                </c:pt>
                <c:pt idx="12">
                  <c:v>Manuwald et al 2012 (German subcohort)</c:v>
                </c:pt>
                <c:pt idx="13">
                  <c:v>Steenland et al 1999 (NIOSH)</c:v>
                </c:pt>
                <c:pt idx="14">
                  <c:v>Collins et al 2009</c:v>
                </c:pt>
                <c:pt idx="15">
                  <c:v>Ruder and Yiin 2011</c:v>
                </c:pt>
                <c:pt idx="16">
                  <c:v>Collins et al 2009</c:v>
                </c:pt>
                <c:pt idx="17">
                  <c:v>McLean et al 2006 (IARC paper and pulp workers)</c:v>
                </c:pt>
                <c:pt idx="18">
                  <c:v>Robinson et al 1986 </c:v>
                </c:pt>
                <c:pt idx="20">
                  <c:v>Hertzman et al 1997</c:v>
                </c:pt>
                <c:pt idx="21">
                  <c:v>Asp et al 1994</c:v>
                </c:pt>
                <c:pt idx="22">
                  <c:v>Torchio et al 1994</c:v>
                </c:pt>
                <c:pt idx="23">
                  <c:v>Gambini et al 1997</c:v>
                </c:pt>
                <c:pt idx="24">
                  <c:v>Reif et al 1989</c:v>
                </c:pt>
                <c:pt idx="25">
                  <c:v>Waggoner et al 2011</c:v>
                </c:pt>
                <c:pt idx="27">
                  <c:v>Consonni et al 2008 (Seveso Zone A)</c:v>
                </c:pt>
                <c:pt idx="28">
                  <c:v>Consonni et al 2008 (Seveso Zone B)</c:v>
                </c:pt>
                <c:pt idx="30">
                  <c:v>Revich et al 2001 (men)</c:v>
                </c:pt>
                <c:pt idx="31">
                  <c:v>Revich et al 2001 (women)</c:v>
                </c:pt>
                <c:pt idx="32">
                  <c:v>Svensson et al 1995</c:v>
                </c:pt>
              </c:strCache>
            </c:strRef>
          </c:cat>
          <c:val>
            <c:numRef>
              <c:f>Sheet1!$D$14:$D$46</c:f>
              <c:numCache>
                <c:formatCode>General</c:formatCode>
                <c:ptCount val="33"/>
                <c:pt idx="1">
                  <c:v>0.3</c:v>
                </c:pt>
                <c:pt idx="2">
                  <c:v>0.2</c:v>
                </c:pt>
                <c:pt idx="3">
                  <c:v>0.4</c:v>
                </c:pt>
                <c:pt idx="4">
                  <c:v>0</c:v>
                </c:pt>
                <c:pt idx="5">
                  <c:v>1.2</c:v>
                </c:pt>
                <c:pt idx="7">
                  <c:v>0.9</c:v>
                </c:pt>
                <c:pt idx="8">
                  <c:v>0.4</c:v>
                </c:pt>
                <c:pt idx="9">
                  <c:v>0.8</c:v>
                </c:pt>
                <c:pt idx="10">
                  <c:v>0.7</c:v>
                </c:pt>
                <c:pt idx="11">
                  <c:v>0.2</c:v>
                </c:pt>
                <c:pt idx="12">
                  <c:v>1</c:v>
                </c:pt>
                <c:pt idx="13">
                  <c:v>1.1000000000000001</c:v>
                </c:pt>
                <c:pt idx="14">
                  <c:v>0.5</c:v>
                </c:pt>
                <c:pt idx="15">
                  <c:v>0.5</c:v>
                </c:pt>
                <c:pt idx="16">
                  <c:v>0.1</c:v>
                </c:pt>
                <c:pt idx="17">
                  <c:v>0.8</c:v>
                </c:pt>
                <c:pt idx="18">
                  <c:v>0.6</c:v>
                </c:pt>
                <c:pt idx="20">
                  <c:v>0.8</c:v>
                </c:pt>
                <c:pt idx="21">
                  <c:v>0</c:v>
                </c:pt>
                <c:pt idx="22">
                  <c:v>0.4</c:v>
                </c:pt>
                <c:pt idx="23">
                  <c:v>0.5</c:v>
                </c:pt>
                <c:pt idx="24">
                  <c:v>0.3</c:v>
                </c:pt>
                <c:pt idx="25">
                  <c:v>0.4</c:v>
                </c:pt>
                <c:pt idx="27">
                  <c:v>0.2</c:v>
                </c:pt>
                <c:pt idx="28">
                  <c:v>0.4</c:v>
                </c:pt>
                <c:pt idx="30">
                  <c:v>1.7</c:v>
                </c:pt>
                <c:pt idx="31">
                  <c:v>0.5</c:v>
                </c:pt>
                <c:pt idx="32">
                  <c:v>0.6</c:v>
                </c:pt>
              </c:numCache>
            </c:numRef>
          </c:val>
          <c:smooth val="0"/>
        </c:ser>
        <c:ser>
          <c:idx val="1"/>
          <c:order val="1"/>
          <c:spPr>
            <a:ln w="25400" cap="rnd">
              <a:noFill/>
              <a:round/>
            </a:ln>
            <a:effectLst/>
          </c:spPr>
          <c:marker>
            <c:symbol val="none"/>
          </c:marker>
          <c:cat>
            <c:strRef>
              <c:f>Sheet1!$C$14:$C$46</c:f>
              <c:strCache>
                <c:ptCount val="33"/>
                <c:pt idx="0">
                  <c:v>Akthar et al 2000 (Ranch Hands)</c:v>
                </c:pt>
                <c:pt idx="1">
                  <c:v>Breslin et al 1998 (USVA)</c:v>
                </c:pt>
                <c:pt idx="2">
                  <c:v>Clapp 1997 (Massuchesetts veterans)</c:v>
                </c:pt>
                <c:pt idx="3">
                  <c:v>ADVA 2005</c:v>
                </c:pt>
                <c:pt idx="4">
                  <c:v>ADVA 2005 conscripted</c:v>
                </c:pt>
                <c:pt idx="5">
                  <c:v>Yi et al 2014 (Korean)</c:v>
                </c:pt>
                <c:pt idx="7">
                  <c:v>Kogevinas et al 1997 (IARC phenoxyherbicide cohort)</c:v>
                </c:pt>
                <c:pt idx="8">
                  <c:v>Coggon et al 1986 (British subcohort)</c:v>
                </c:pt>
                <c:pt idx="9">
                  <c:v>Boers et al 2012 (Danish subcohort)</c:v>
                </c:pt>
                <c:pt idx="10">
                  <c:v>Boers et al 2012 (Dutch subcohort Plant A)</c:v>
                </c:pt>
                <c:pt idx="11">
                  <c:v>Boers et al 2010 (Dutch subcohort Plant B)</c:v>
                </c:pt>
                <c:pt idx="12">
                  <c:v>Manuwald et al 2012 (German subcohort)</c:v>
                </c:pt>
                <c:pt idx="13">
                  <c:v>Steenland et al 1999 (NIOSH)</c:v>
                </c:pt>
                <c:pt idx="14">
                  <c:v>Collins et al 2009</c:v>
                </c:pt>
                <c:pt idx="15">
                  <c:v>Ruder and Yiin 2011</c:v>
                </c:pt>
                <c:pt idx="16">
                  <c:v>Collins et al 2009</c:v>
                </c:pt>
                <c:pt idx="17">
                  <c:v>McLean et al 2006 (IARC paper and pulp workers)</c:v>
                </c:pt>
                <c:pt idx="18">
                  <c:v>Robinson et al 1986 </c:v>
                </c:pt>
                <c:pt idx="20">
                  <c:v>Hertzman et al 1997</c:v>
                </c:pt>
                <c:pt idx="21">
                  <c:v>Asp et al 1994</c:v>
                </c:pt>
                <c:pt idx="22">
                  <c:v>Torchio et al 1994</c:v>
                </c:pt>
                <c:pt idx="23">
                  <c:v>Gambini et al 1997</c:v>
                </c:pt>
                <c:pt idx="24">
                  <c:v>Reif et al 1989</c:v>
                </c:pt>
                <c:pt idx="25">
                  <c:v>Waggoner et al 2011</c:v>
                </c:pt>
                <c:pt idx="27">
                  <c:v>Consonni et al 2008 (Seveso Zone A)</c:v>
                </c:pt>
                <c:pt idx="28">
                  <c:v>Consonni et al 2008 (Seveso Zone B)</c:v>
                </c:pt>
                <c:pt idx="30">
                  <c:v>Revich et al 2001 (men)</c:v>
                </c:pt>
                <c:pt idx="31">
                  <c:v>Revich et al 2001 (women)</c:v>
                </c:pt>
                <c:pt idx="32">
                  <c:v>Svensson et al 1995</c:v>
                </c:pt>
              </c:strCache>
            </c:strRef>
          </c:cat>
          <c:val>
            <c:numRef>
              <c:f>Sheet1!$E$14:$E$46</c:f>
              <c:numCache>
                <c:formatCode>General</c:formatCode>
                <c:ptCount val="33"/>
                <c:pt idx="1">
                  <c:v>1.2</c:v>
                </c:pt>
                <c:pt idx="2">
                  <c:v>1.3</c:v>
                </c:pt>
                <c:pt idx="3">
                  <c:v>1</c:v>
                </c:pt>
                <c:pt idx="4">
                  <c:v>1.7</c:v>
                </c:pt>
                <c:pt idx="5">
                  <c:v>3.6</c:v>
                </c:pt>
                <c:pt idx="7">
                  <c:v>2.1</c:v>
                </c:pt>
                <c:pt idx="8">
                  <c:v>1.7</c:v>
                </c:pt>
                <c:pt idx="9">
                  <c:v>1.4</c:v>
                </c:pt>
                <c:pt idx="10">
                  <c:v>1.5</c:v>
                </c:pt>
                <c:pt idx="11">
                  <c:v>7.2</c:v>
                </c:pt>
                <c:pt idx="12">
                  <c:v>3.1</c:v>
                </c:pt>
                <c:pt idx="13">
                  <c:v>3.2</c:v>
                </c:pt>
                <c:pt idx="14">
                  <c:v>2.7</c:v>
                </c:pt>
                <c:pt idx="15">
                  <c:v>2.1</c:v>
                </c:pt>
                <c:pt idx="16">
                  <c:v>2.7</c:v>
                </c:pt>
                <c:pt idx="17">
                  <c:v>1.5</c:v>
                </c:pt>
                <c:pt idx="18">
                  <c:v>2.6</c:v>
                </c:pt>
                <c:pt idx="20">
                  <c:v>1.2</c:v>
                </c:pt>
                <c:pt idx="21">
                  <c:v>2.6</c:v>
                </c:pt>
                <c:pt idx="22">
                  <c:v>0.8</c:v>
                </c:pt>
                <c:pt idx="23">
                  <c:v>1.8</c:v>
                </c:pt>
                <c:pt idx="24">
                  <c:v>1.8</c:v>
                </c:pt>
                <c:pt idx="25">
                  <c:v>0.8</c:v>
                </c:pt>
                <c:pt idx="27">
                  <c:v>7.4</c:v>
                </c:pt>
                <c:pt idx="28">
                  <c:v>2</c:v>
                </c:pt>
                <c:pt idx="30">
                  <c:v>3.6</c:v>
                </c:pt>
                <c:pt idx="31">
                  <c:v>1.3</c:v>
                </c:pt>
                <c:pt idx="32">
                  <c:v>1.6</c:v>
                </c:pt>
              </c:numCache>
            </c:numRef>
          </c:val>
          <c:smooth val="0"/>
        </c:ser>
        <c:ser>
          <c:idx val="2"/>
          <c:order val="2"/>
          <c:spPr>
            <a:ln w="25400" cap="rnd">
              <a:noFill/>
              <a:round/>
            </a:ln>
            <a:effectLst/>
          </c:spPr>
          <c:marker>
            <c:symbol val="circle"/>
            <c:size val="5"/>
            <c:spPr>
              <a:solidFill>
                <a:schemeClr val="accent3"/>
              </a:solidFill>
              <a:ln w="9525">
                <a:solidFill>
                  <a:schemeClr val="accent3"/>
                </a:solidFill>
              </a:ln>
              <a:effectLst/>
            </c:spPr>
          </c:marker>
          <c:cat>
            <c:strRef>
              <c:f>Sheet1!$C$14:$C$46</c:f>
              <c:strCache>
                <c:ptCount val="33"/>
                <c:pt idx="0">
                  <c:v>Akthar et al 2000 (Ranch Hands)</c:v>
                </c:pt>
                <c:pt idx="1">
                  <c:v>Breslin et al 1998 (USVA)</c:v>
                </c:pt>
                <c:pt idx="2">
                  <c:v>Clapp 1997 (Massuchesetts veterans)</c:v>
                </c:pt>
                <c:pt idx="3">
                  <c:v>ADVA 2005</c:v>
                </c:pt>
                <c:pt idx="4">
                  <c:v>ADVA 2005 conscripted</c:v>
                </c:pt>
                <c:pt idx="5">
                  <c:v>Yi et al 2014 (Korean)</c:v>
                </c:pt>
                <c:pt idx="7">
                  <c:v>Kogevinas et al 1997 (IARC phenoxyherbicide cohort)</c:v>
                </c:pt>
                <c:pt idx="8">
                  <c:v>Coggon et al 1986 (British subcohort)</c:v>
                </c:pt>
                <c:pt idx="9">
                  <c:v>Boers et al 2012 (Danish subcohort)</c:v>
                </c:pt>
                <c:pt idx="10">
                  <c:v>Boers et al 2012 (Dutch subcohort Plant A)</c:v>
                </c:pt>
                <c:pt idx="11">
                  <c:v>Boers et al 2010 (Dutch subcohort Plant B)</c:v>
                </c:pt>
                <c:pt idx="12">
                  <c:v>Manuwald et al 2012 (German subcohort)</c:v>
                </c:pt>
                <c:pt idx="13">
                  <c:v>Steenland et al 1999 (NIOSH)</c:v>
                </c:pt>
                <c:pt idx="14">
                  <c:v>Collins et al 2009</c:v>
                </c:pt>
                <c:pt idx="15">
                  <c:v>Ruder and Yiin 2011</c:v>
                </c:pt>
                <c:pt idx="16">
                  <c:v>Collins et al 2009</c:v>
                </c:pt>
                <c:pt idx="17">
                  <c:v>McLean et al 2006 (IARC paper and pulp workers)</c:v>
                </c:pt>
                <c:pt idx="18">
                  <c:v>Robinson et al 1986 </c:v>
                </c:pt>
                <c:pt idx="20">
                  <c:v>Hertzman et al 1997</c:v>
                </c:pt>
                <c:pt idx="21">
                  <c:v>Asp et al 1994</c:v>
                </c:pt>
                <c:pt idx="22">
                  <c:v>Torchio et al 1994</c:v>
                </c:pt>
                <c:pt idx="23">
                  <c:v>Gambini et al 1997</c:v>
                </c:pt>
                <c:pt idx="24">
                  <c:v>Reif et al 1989</c:v>
                </c:pt>
                <c:pt idx="25">
                  <c:v>Waggoner et al 2011</c:v>
                </c:pt>
                <c:pt idx="27">
                  <c:v>Consonni et al 2008 (Seveso Zone A)</c:v>
                </c:pt>
                <c:pt idx="28">
                  <c:v>Consonni et al 2008 (Seveso Zone B)</c:v>
                </c:pt>
                <c:pt idx="30">
                  <c:v>Revich et al 2001 (men)</c:v>
                </c:pt>
                <c:pt idx="31">
                  <c:v>Revich et al 2001 (women)</c:v>
                </c:pt>
                <c:pt idx="32">
                  <c:v>Svensson et al 1995</c:v>
                </c:pt>
              </c:strCache>
            </c:strRef>
          </c:cat>
          <c:val>
            <c:numRef>
              <c:f>Sheet1!$F$14:$F$46</c:f>
              <c:numCache>
                <c:formatCode>General</c:formatCode>
                <c:ptCount val="33"/>
                <c:pt idx="0">
                  <c:v>0.9</c:v>
                </c:pt>
                <c:pt idx="1">
                  <c:v>0.6</c:v>
                </c:pt>
                <c:pt idx="2">
                  <c:v>0.6</c:v>
                </c:pt>
                <c:pt idx="3">
                  <c:v>0.7</c:v>
                </c:pt>
                <c:pt idx="4">
                  <c:v>0.3</c:v>
                </c:pt>
                <c:pt idx="5">
                  <c:v>2</c:v>
                </c:pt>
                <c:pt idx="7">
                  <c:v>1.4</c:v>
                </c:pt>
                <c:pt idx="8">
                  <c:v>0.9</c:v>
                </c:pt>
                <c:pt idx="9">
                  <c:v>1.1000000000000001</c:v>
                </c:pt>
                <c:pt idx="10">
                  <c:v>1</c:v>
                </c:pt>
                <c:pt idx="11">
                  <c:v>1.1000000000000001</c:v>
                </c:pt>
                <c:pt idx="12">
                  <c:v>1.8</c:v>
                </c:pt>
                <c:pt idx="13">
                  <c:v>2</c:v>
                </c:pt>
                <c:pt idx="14">
                  <c:v>1.2</c:v>
                </c:pt>
                <c:pt idx="15">
                  <c:v>1.1000000000000001</c:v>
                </c:pt>
                <c:pt idx="16">
                  <c:v>0.7</c:v>
                </c:pt>
                <c:pt idx="17">
                  <c:v>1.1000000000000001</c:v>
                </c:pt>
                <c:pt idx="18">
                  <c:v>1.2</c:v>
                </c:pt>
                <c:pt idx="20">
                  <c:v>1</c:v>
                </c:pt>
                <c:pt idx="21">
                  <c:v>0.5</c:v>
                </c:pt>
                <c:pt idx="22">
                  <c:v>0.5</c:v>
                </c:pt>
                <c:pt idx="23">
                  <c:v>1</c:v>
                </c:pt>
                <c:pt idx="24">
                  <c:v>0.7</c:v>
                </c:pt>
                <c:pt idx="25">
                  <c:v>0.6</c:v>
                </c:pt>
                <c:pt idx="27">
                  <c:v>1</c:v>
                </c:pt>
                <c:pt idx="28">
                  <c:v>0.9</c:v>
                </c:pt>
                <c:pt idx="30">
                  <c:v>2.6</c:v>
                </c:pt>
                <c:pt idx="31">
                  <c:v>0.8</c:v>
                </c:pt>
                <c:pt idx="32">
                  <c:v>1</c:v>
                </c:pt>
              </c:numCache>
            </c:numRef>
          </c:val>
          <c:smooth val="0"/>
        </c:ser>
        <c:dLbls>
          <c:showLegendKey val="0"/>
          <c:showVal val="0"/>
          <c:showCatName val="0"/>
          <c:showSerName val="0"/>
          <c:showPercent val="0"/>
          <c:showBubbleSize val="0"/>
        </c:dLbls>
        <c:hiLowLines>
          <c:spPr>
            <a:ln w="15875" cap="flat" cmpd="sng" algn="ctr">
              <a:solidFill>
                <a:schemeClr val="tx1">
                  <a:lumMod val="75000"/>
                  <a:lumOff val="25000"/>
                </a:schemeClr>
              </a:solidFill>
              <a:round/>
            </a:ln>
            <a:effectLst/>
          </c:spPr>
        </c:hiLowLines>
        <c:axId val="152996352"/>
        <c:axId val="112809264"/>
      </c:stockChart>
      <c:catAx>
        <c:axId val="15299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09264"/>
        <c:crosses val="autoZero"/>
        <c:auto val="1"/>
        <c:lblAlgn val="ctr"/>
        <c:lblOffset val="100"/>
        <c:noMultiLvlLbl val="0"/>
      </c:catAx>
      <c:valAx>
        <c:axId val="112809264"/>
        <c:scaling>
          <c:orientation val="minMax"/>
        </c:scaling>
        <c:delete val="0"/>
        <c:axPos val="l"/>
        <c:majorGridlines>
          <c:spPr>
            <a:ln w="9525" cap="flat" cmpd="sng" algn="ctr">
              <a:solidFill>
                <a:schemeClr val="tx2"/>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Relative risk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9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Bladder cancer incidence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tockChart>
        <c:ser>
          <c:idx val="0"/>
          <c:order val="0"/>
          <c:spPr>
            <a:ln w="25400" cap="rnd">
              <a:noFill/>
              <a:round/>
            </a:ln>
            <a:effectLst/>
          </c:spPr>
          <c:marker>
            <c:symbol val="none"/>
          </c:marker>
          <c:cat>
            <c:strRef>
              <c:f>Sheet1!$C$49:$C$70</c:f>
              <c:strCache>
                <c:ptCount val="22"/>
                <c:pt idx="0">
                  <c:v>Akthar et al 2000 (Ranch Hands)</c:v>
                </c:pt>
                <c:pt idx="1">
                  <c:v>ADVA 2005</c:v>
                </c:pt>
                <c:pt idx="2">
                  <c:v>ADVA 2005 conscripted</c:v>
                </c:pt>
                <c:pt idx="3">
                  <c:v>Yi and Ohrr 2014 (Korean)</c:v>
                </c:pt>
                <c:pt idx="5">
                  <c:v>Boers et al 2012 (Danish subcohort)</c:v>
                </c:pt>
                <c:pt idx="6">
                  <c:v>Burns et al 2011</c:v>
                </c:pt>
                <c:pt idx="8">
                  <c:v>Hertzman et al 1997</c:v>
                </c:pt>
                <c:pt idx="9">
                  <c:v>Kenborg et al 2012</c:v>
                </c:pt>
                <c:pt idx="10">
                  <c:v>Ronco et al 1002</c:v>
                </c:pt>
                <c:pt idx="11">
                  <c:v>Hansen et al 2007</c:v>
                </c:pt>
                <c:pt idx="12">
                  <c:v>Swaen et al 2004</c:v>
                </c:pt>
                <c:pt idx="13">
                  <c:v>Asp et al 1994</c:v>
                </c:pt>
                <c:pt idx="14">
                  <c:v>Koutros et al 2010 (US Agricultural health study)</c:v>
                </c:pt>
                <c:pt idx="16">
                  <c:v>Ott and Zober (1996)</c:v>
                </c:pt>
                <c:pt idx="17">
                  <c:v>Pesatori et al 2009 (Seveso zone A)</c:v>
                </c:pt>
                <c:pt idx="18">
                  <c:v>Pesatori et al 2009 (Seveso zone B)</c:v>
                </c:pt>
                <c:pt idx="20">
                  <c:v>Lampi et al 1992</c:v>
                </c:pt>
                <c:pt idx="21">
                  <c:v>Svensson et al 1995</c:v>
                </c:pt>
              </c:strCache>
            </c:strRef>
          </c:cat>
          <c:val>
            <c:numRef>
              <c:f>Sheet1!$D$49:$D$70</c:f>
              <c:numCache>
                <c:formatCode>General</c:formatCode>
                <c:ptCount val="22"/>
                <c:pt idx="0">
                  <c:v>0.6</c:v>
                </c:pt>
                <c:pt idx="1">
                  <c:v>0.9</c:v>
                </c:pt>
                <c:pt idx="2">
                  <c:v>0.4</c:v>
                </c:pt>
                <c:pt idx="3">
                  <c:v>0.8</c:v>
                </c:pt>
                <c:pt idx="6">
                  <c:v>0.7</c:v>
                </c:pt>
                <c:pt idx="8">
                  <c:v>0.7</c:v>
                </c:pt>
                <c:pt idx="9">
                  <c:v>0.6</c:v>
                </c:pt>
                <c:pt idx="11">
                  <c:v>0.7</c:v>
                </c:pt>
                <c:pt idx="12">
                  <c:v>0.1</c:v>
                </c:pt>
                <c:pt idx="13">
                  <c:v>0.8</c:v>
                </c:pt>
                <c:pt idx="14">
                  <c:v>0.5</c:v>
                </c:pt>
                <c:pt idx="16">
                  <c:v>0</c:v>
                </c:pt>
                <c:pt idx="17">
                  <c:v>0.5</c:v>
                </c:pt>
                <c:pt idx="18">
                  <c:v>0.8</c:v>
                </c:pt>
                <c:pt idx="20">
                  <c:v>0.6</c:v>
                </c:pt>
                <c:pt idx="21">
                  <c:v>0.7</c:v>
                </c:pt>
              </c:numCache>
            </c:numRef>
          </c:val>
          <c:smooth val="0"/>
        </c:ser>
        <c:ser>
          <c:idx val="1"/>
          <c:order val="1"/>
          <c:spPr>
            <a:ln w="25400" cap="rnd">
              <a:noFill/>
              <a:round/>
            </a:ln>
            <a:effectLst/>
          </c:spPr>
          <c:marker>
            <c:symbol val="none"/>
          </c:marker>
          <c:cat>
            <c:strRef>
              <c:f>Sheet1!$C$49:$C$70</c:f>
              <c:strCache>
                <c:ptCount val="22"/>
                <c:pt idx="0">
                  <c:v>Akthar et al 2000 (Ranch Hands)</c:v>
                </c:pt>
                <c:pt idx="1">
                  <c:v>ADVA 2005</c:v>
                </c:pt>
                <c:pt idx="2">
                  <c:v>ADVA 2005 conscripted</c:v>
                </c:pt>
                <c:pt idx="3">
                  <c:v>Yi and Ohrr 2014 (Korean)</c:v>
                </c:pt>
                <c:pt idx="5">
                  <c:v>Boers et al 2012 (Danish subcohort)</c:v>
                </c:pt>
                <c:pt idx="6">
                  <c:v>Burns et al 2011</c:v>
                </c:pt>
                <c:pt idx="8">
                  <c:v>Hertzman et al 1997</c:v>
                </c:pt>
                <c:pt idx="9">
                  <c:v>Kenborg et al 2012</c:v>
                </c:pt>
                <c:pt idx="10">
                  <c:v>Ronco et al 1002</c:v>
                </c:pt>
                <c:pt idx="11">
                  <c:v>Hansen et al 2007</c:v>
                </c:pt>
                <c:pt idx="12">
                  <c:v>Swaen et al 2004</c:v>
                </c:pt>
                <c:pt idx="13">
                  <c:v>Asp et al 1994</c:v>
                </c:pt>
                <c:pt idx="14">
                  <c:v>Koutros et al 2010 (US Agricultural health study)</c:v>
                </c:pt>
                <c:pt idx="16">
                  <c:v>Ott and Zober (1996)</c:v>
                </c:pt>
                <c:pt idx="17">
                  <c:v>Pesatori et al 2009 (Seveso zone A)</c:v>
                </c:pt>
                <c:pt idx="18">
                  <c:v>Pesatori et al 2009 (Seveso zone B)</c:v>
                </c:pt>
                <c:pt idx="20">
                  <c:v>Lampi et al 1992</c:v>
                </c:pt>
                <c:pt idx="21">
                  <c:v>Svensson et al 1995</c:v>
                </c:pt>
              </c:strCache>
            </c:strRef>
          </c:cat>
          <c:val>
            <c:numRef>
              <c:f>Sheet1!$E$49:$E$70</c:f>
              <c:numCache>
                <c:formatCode>General</c:formatCode>
                <c:ptCount val="22"/>
                <c:pt idx="0">
                  <c:v>1.7</c:v>
                </c:pt>
                <c:pt idx="1">
                  <c:v>1.2</c:v>
                </c:pt>
                <c:pt idx="2">
                  <c:v>1.1000000000000001</c:v>
                </c:pt>
                <c:pt idx="3">
                  <c:v>1.3</c:v>
                </c:pt>
                <c:pt idx="6">
                  <c:v>1.9</c:v>
                </c:pt>
                <c:pt idx="8">
                  <c:v>1.2</c:v>
                </c:pt>
                <c:pt idx="9">
                  <c:v>1.1000000000000001</c:v>
                </c:pt>
                <c:pt idx="11">
                  <c:v>1.6</c:v>
                </c:pt>
                <c:pt idx="12">
                  <c:v>2.4</c:v>
                </c:pt>
                <c:pt idx="13">
                  <c:v>2.8</c:v>
                </c:pt>
                <c:pt idx="14">
                  <c:v>0.7</c:v>
                </c:pt>
                <c:pt idx="16">
                  <c:v>4.4000000000000004</c:v>
                </c:pt>
                <c:pt idx="17">
                  <c:v>4.5</c:v>
                </c:pt>
                <c:pt idx="18">
                  <c:v>2.2000000000000002</c:v>
                </c:pt>
                <c:pt idx="20">
                  <c:v>1.9</c:v>
                </c:pt>
                <c:pt idx="21">
                  <c:v>1.1000000000000001</c:v>
                </c:pt>
              </c:numCache>
            </c:numRef>
          </c:val>
          <c:smooth val="0"/>
        </c:ser>
        <c:ser>
          <c:idx val="2"/>
          <c:order val="2"/>
          <c:spPr>
            <a:ln w="25400" cap="rnd">
              <a:noFill/>
              <a:round/>
            </a:ln>
            <a:effectLst/>
          </c:spPr>
          <c:marker>
            <c:symbol val="circle"/>
            <c:size val="5"/>
            <c:spPr>
              <a:solidFill>
                <a:schemeClr val="accent3"/>
              </a:solidFill>
              <a:ln w="9525">
                <a:solidFill>
                  <a:schemeClr val="accent3"/>
                </a:solidFill>
              </a:ln>
              <a:effectLst/>
            </c:spPr>
          </c:marker>
          <c:cat>
            <c:strRef>
              <c:f>Sheet1!$C$49:$C$70</c:f>
              <c:strCache>
                <c:ptCount val="22"/>
                <c:pt idx="0">
                  <c:v>Akthar et al 2000 (Ranch Hands)</c:v>
                </c:pt>
                <c:pt idx="1">
                  <c:v>ADVA 2005</c:v>
                </c:pt>
                <c:pt idx="2">
                  <c:v>ADVA 2005 conscripted</c:v>
                </c:pt>
                <c:pt idx="3">
                  <c:v>Yi and Ohrr 2014 (Korean)</c:v>
                </c:pt>
                <c:pt idx="5">
                  <c:v>Boers et al 2012 (Danish subcohort)</c:v>
                </c:pt>
                <c:pt idx="6">
                  <c:v>Burns et al 2011</c:v>
                </c:pt>
                <c:pt idx="8">
                  <c:v>Hertzman et al 1997</c:v>
                </c:pt>
                <c:pt idx="9">
                  <c:v>Kenborg et al 2012</c:v>
                </c:pt>
                <c:pt idx="10">
                  <c:v>Ronco et al 1002</c:v>
                </c:pt>
                <c:pt idx="11">
                  <c:v>Hansen et al 2007</c:v>
                </c:pt>
                <c:pt idx="12">
                  <c:v>Swaen et al 2004</c:v>
                </c:pt>
                <c:pt idx="13">
                  <c:v>Asp et al 1994</c:v>
                </c:pt>
                <c:pt idx="14">
                  <c:v>Koutros et al 2010 (US Agricultural health study)</c:v>
                </c:pt>
                <c:pt idx="16">
                  <c:v>Ott and Zober (1996)</c:v>
                </c:pt>
                <c:pt idx="17">
                  <c:v>Pesatori et al 2009 (Seveso zone A)</c:v>
                </c:pt>
                <c:pt idx="18">
                  <c:v>Pesatori et al 2009 (Seveso zone B)</c:v>
                </c:pt>
                <c:pt idx="20">
                  <c:v>Lampi et al 1992</c:v>
                </c:pt>
                <c:pt idx="21">
                  <c:v>Svensson et al 1995</c:v>
                </c:pt>
              </c:strCache>
            </c:strRef>
          </c:cat>
          <c:val>
            <c:numRef>
              <c:f>Sheet1!$F$49:$F$70</c:f>
              <c:numCache>
                <c:formatCode>General</c:formatCode>
                <c:ptCount val="22"/>
                <c:pt idx="0">
                  <c:v>1.1000000000000001</c:v>
                </c:pt>
                <c:pt idx="1">
                  <c:v>1</c:v>
                </c:pt>
                <c:pt idx="2">
                  <c:v>0.7</c:v>
                </c:pt>
                <c:pt idx="3">
                  <c:v>1</c:v>
                </c:pt>
                <c:pt idx="5">
                  <c:v>0.8</c:v>
                </c:pt>
                <c:pt idx="6">
                  <c:v>1.2</c:v>
                </c:pt>
                <c:pt idx="8">
                  <c:v>0.9</c:v>
                </c:pt>
                <c:pt idx="9">
                  <c:v>0.8</c:v>
                </c:pt>
                <c:pt idx="10">
                  <c:v>0.6</c:v>
                </c:pt>
                <c:pt idx="11">
                  <c:v>1.1000000000000001</c:v>
                </c:pt>
                <c:pt idx="12">
                  <c:v>0.7</c:v>
                </c:pt>
                <c:pt idx="13">
                  <c:v>1.6</c:v>
                </c:pt>
                <c:pt idx="14">
                  <c:v>0.6</c:v>
                </c:pt>
                <c:pt idx="16">
                  <c:v>0.8</c:v>
                </c:pt>
                <c:pt idx="17">
                  <c:v>1.4</c:v>
                </c:pt>
                <c:pt idx="18">
                  <c:v>1.3</c:v>
                </c:pt>
                <c:pt idx="20">
                  <c:v>1</c:v>
                </c:pt>
                <c:pt idx="21">
                  <c:v>0.9</c:v>
                </c:pt>
              </c:numCache>
            </c:numRef>
          </c:val>
          <c:smooth val="0"/>
        </c:ser>
        <c:dLbls>
          <c:showLegendKey val="0"/>
          <c:showVal val="0"/>
          <c:showCatName val="0"/>
          <c:showSerName val="0"/>
          <c:showPercent val="0"/>
          <c:showBubbleSize val="0"/>
        </c:dLbls>
        <c:hiLowLines>
          <c:spPr>
            <a:ln w="15875" cap="flat" cmpd="sng" algn="ctr">
              <a:solidFill>
                <a:schemeClr val="tx1">
                  <a:lumMod val="75000"/>
                  <a:lumOff val="25000"/>
                </a:schemeClr>
              </a:solidFill>
              <a:round/>
            </a:ln>
            <a:effectLst/>
          </c:spPr>
        </c:hiLowLines>
        <c:axId val="153636128"/>
        <c:axId val="153636512"/>
      </c:stockChart>
      <c:catAx>
        <c:axId val="15363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36512"/>
        <c:crosses val="autoZero"/>
        <c:auto val="1"/>
        <c:lblAlgn val="ctr"/>
        <c:lblOffset val="100"/>
        <c:noMultiLvlLbl val="0"/>
      </c:catAx>
      <c:valAx>
        <c:axId val="153636512"/>
        <c:scaling>
          <c:orientation val="minMax"/>
        </c:scaling>
        <c:delete val="0"/>
        <c:axPos val="l"/>
        <c:majorGridlines>
          <c:spPr>
            <a:ln w="9525" cap="flat" cmpd="sng" algn="ctr">
              <a:solidFill>
                <a:schemeClr val="tx2"/>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Relative risk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3612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0.42536</cdr:x>
      <cdr:y>0.17331</cdr:y>
    </cdr:from>
    <cdr:to>
      <cdr:x>0.55726</cdr:x>
      <cdr:y>0.23506</cdr:y>
    </cdr:to>
    <cdr:sp macro="" textlink="">
      <cdr:nvSpPr>
        <cdr:cNvPr id="2" name="TextBox 1"/>
        <cdr:cNvSpPr txBox="1"/>
      </cdr:nvSpPr>
      <cdr:spPr>
        <a:xfrm xmlns:a="http://schemas.openxmlformats.org/drawingml/2006/main">
          <a:off x="3962400" y="828675"/>
          <a:ext cx="1228725"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000"/>
            <a:t>Industrial cohorts</a:t>
          </a:r>
        </a:p>
      </cdr:txBody>
    </cdr:sp>
  </cdr:relSizeAnchor>
  <cdr:relSizeAnchor xmlns:cdr="http://schemas.openxmlformats.org/drawingml/2006/chartDrawing">
    <cdr:from>
      <cdr:x>0.67488</cdr:x>
      <cdr:y>0.34462</cdr:y>
    </cdr:from>
    <cdr:to>
      <cdr:x>0.77304</cdr:x>
      <cdr:y>0.42032</cdr:y>
    </cdr:to>
    <cdr:sp macro="" textlink="">
      <cdr:nvSpPr>
        <cdr:cNvPr id="3" name="TextBox 2"/>
        <cdr:cNvSpPr txBox="1"/>
      </cdr:nvSpPr>
      <cdr:spPr>
        <a:xfrm xmlns:a="http://schemas.openxmlformats.org/drawingml/2006/main">
          <a:off x="7141766" y="1647817"/>
          <a:ext cx="1038756" cy="3619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000"/>
            <a:t>Herbicide users</a:t>
          </a:r>
        </a:p>
      </cdr:txBody>
    </cdr:sp>
  </cdr:relSizeAnchor>
  <cdr:relSizeAnchor xmlns:cdr="http://schemas.openxmlformats.org/drawingml/2006/chartDrawing">
    <cdr:from>
      <cdr:x>0.77096</cdr:x>
      <cdr:y>0.04582</cdr:y>
    </cdr:from>
    <cdr:to>
      <cdr:x>0.91309</cdr:x>
      <cdr:y>0.13147</cdr:y>
    </cdr:to>
    <cdr:sp macro="" textlink="">
      <cdr:nvSpPr>
        <cdr:cNvPr id="4" name="TextBox 3"/>
        <cdr:cNvSpPr txBox="1"/>
      </cdr:nvSpPr>
      <cdr:spPr>
        <a:xfrm xmlns:a="http://schemas.openxmlformats.org/drawingml/2006/main">
          <a:off x="7181849" y="219075"/>
          <a:ext cx="1323975"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000"/>
            <a:t>Industrial</a:t>
          </a:r>
          <a:r>
            <a:rPr lang="en-AU" sz="1000" baseline="0"/>
            <a:t> accidents</a:t>
          </a:r>
          <a:endParaRPr lang="en-AU" sz="1000"/>
        </a:p>
      </cdr:txBody>
    </cdr:sp>
  </cdr:relSizeAnchor>
  <cdr:relSizeAnchor xmlns:cdr="http://schemas.openxmlformats.org/drawingml/2006/chartDrawing">
    <cdr:from>
      <cdr:x>0.88571</cdr:x>
      <cdr:y>0.28083</cdr:y>
    </cdr:from>
    <cdr:to>
      <cdr:x>0.96137</cdr:x>
      <cdr:y>0.38242</cdr:y>
    </cdr:to>
    <cdr:sp macro="" textlink="">
      <cdr:nvSpPr>
        <cdr:cNvPr id="5" name="TextBox 4"/>
        <cdr:cNvSpPr txBox="1"/>
      </cdr:nvSpPr>
      <cdr:spPr>
        <a:xfrm xmlns:a="http://schemas.openxmlformats.org/drawingml/2006/main">
          <a:off x="7322794" y="1358836"/>
          <a:ext cx="625516" cy="4915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000"/>
            <a:t>Ecological</a:t>
          </a:r>
          <a:r>
            <a:rPr lang="en-AU" sz="1000" baseline="0"/>
            <a:t> </a:t>
          </a:r>
        </a:p>
        <a:p xmlns:a="http://schemas.openxmlformats.org/drawingml/2006/main">
          <a:r>
            <a:rPr lang="en-AU" sz="1000" baseline="0"/>
            <a:t>studies</a:t>
          </a:r>
          <a:endParaRPr lang="en-AU" sz="1000"/>
        </a:p>
      </cdr:txBody>
    </cdr:sp>
  </cdr:relSizeAnchor>
  <cdr:relSizeAnchor xmlns:cdr="http://schemas.openxmlformats.org/drawingml/2006/chartDrawing">
    <cdr:from>
      <cdr:x>0.09901</cdr:x>
      <cdr:y>0.32271</cdr:y>
    </cdr:from>
    <cdr:to>
      <cdr:x>0.18542</cdr:x>
      <cdr:y>0.38645</cdr:y>
    </cdr:to>
    <cdr:sp macro="" textlink="">
      <cdr:nvSpPr>
        <cdr:cNvPr id="6" name="TextBox 5"/>
        <cdr:cNvSpPr txBox="1"/>
      </cdr:nvSpPr>
      <cdr:spPr>
        <a:xfrm xmlns:a="http://schemas.openxmlformats.org/drawingml/2006/main">
          <a:off x="1047751" y="1543050"/>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1000">
              <a:effectLst/>
              <a:latin typeface="+mn-lt"/>
              <a:ea typeface="+mn-ea"/>
              <a:cs typeface="+mn-cs"/>
            </a:rPr>
            <a:t>Vietnam</a:t>
          </a:r>
          <a:r>
            <a:rPr lang="en-AU" sz="1000" baseline="0">
              <a:effectLst/>
              <a:latin typeface="+mn-lt"/>
              <a:ea typeface="+mn-ea"/>
              <a:cs typeface="+mn-cs"/>
            </a:rPr>
            <a:t> veterans studies</a:t>
          </a:r>
          <a:endParaRPr lang="en-AU" sz="1000">
            <a:effectLst/>
          </a:endParaRPr>
        </a:p>
        <a:p xmlns:a="http://schemas.openxmlformats.org/drawingml/2006/main">
          <a:endParaRPr lang="en-AU" sz="1100"/>
        </a:p>
      </cdr:txBody>
    </cdr:sp>
  </cdr:relSizeAnchor>
</c:userShapes>
</file>

<file path=word/drawings/drawing2.xml><?xml version="1.0" encoding="utf-8"?>
<c:userShapes xmlns:c="http://schemas.openxmlformats.org/drawingml/2006/chart">
  <cdr:relSizeAnchor xmlns:cdr="http://schemas.openxmlformats.org/drawingml/2006/chartDrawing">
    <cdr:from>
      <cdr:x>0.30613</cdr:x>
      <cdr:y>0.28675</cdr:y>
    </cdr:from>
    <cdr:to>
      <cdr:x>0.49595</cdr:x>
      <cdr:y>0.35444</cdr:y>
    </cdr:to>
    <cdr:sp macro="" textlink="">
      <cdr:nvSpPr>
        <cdr:cNvPr id="4" name="TextBox 1"/>
        <cdr:cNvSpPr txBox="1"/>
      </cdr:nvSpPr>
      <cdr:spPr>
        <a:xfrm xmlns:a="http://schemas.openxmlformats.org/drawingml/2006/main">
          <a:off x="2251075" y="1250950"/>
          <a:ext cx="1395822" cy="2952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t>Industrial cohorts</a:t>
          </a:r>
        </a:p>
      </cdr:txBody>
    </cdr:sp>
  </cdr:relSizeAnchor>
  <cdr:relSizeAnchor xmlns:cdr="http://schemas.openxmlformats.org/drawingml/2006/chartDrawing">
    <cdr:from>
      <cdr:x>0.55354</cdr:x>
      <cdr:y>0.2016</cdr:y>
    </cdr:from>
    <cdr:to>
      <cdr:x>0.6948</cdr:x>
      <cdr:y>0.26492</cdr:y>
    </cdr:to>
    <cdr:sp macro="" textlink="">
      <cdr:nvSpPr>
        <cdr:cNvPr id="7" name="TextBox 1"/>
        <cdr:cNvSpPr txBox="1"/>
      </cdr:nvSpPr>
      <cdr:spPr>
        <a:xfrm xmlns:a="http://schemas.openxmlformats.org/drawingml/2006/main">
          <a:off x="4070350" y="879475"/>
          <a:ext cx="1038751" cy="2762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000"/>
            <a:t>Herbicide users</a:t>
          </a:r>
        </a:p>
      </cdr:txBody>
    </cdr:sp>
  </cdr:relSizeAnchor>
  <cdr:relSizeAnchor xmlns:cdr="http://schemas.openxmlformats.org/drawingml/2006/chartDrawing">
    <cdr:from>
      <cdr:x>0.12349</cdr:x>
      <cdr:y>0.35226</cdr:y>
    </cdr:from>
    <cdr:to>
      <cdr:x>0.31477</cdr:x>
      <cdr:y>0.42213</cdr:y>
    </cdr:to>
    <cdr:sp macro="" textlink="">
      <cdr:nvSpPr>
        <cdr:cNvPr id="10" name="TextBox 1"/>
        <cdr:cNvSpPr txBox="1"/>
      </cdr:nvSpPr>
      <cdr:spPr>
        <a:xfrm xmlns:a="http://schemas.openxmlformats.org/drawingml/2006/main">
          <a:off x="908050" y="1536700"/>
          <a:ext cx="1406526"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1000">
              <a:effectLst/>
              <a:latin typeface="+mn-lt"/>
              <a:ea typeface="+mn-ea"/>
              <a:cs typeface="+mn-cs"/>
            </a:rPr>
            <a:t>Vietnam</a:t>
          </a:r>
          <a:r>
            <a:rPr lang="en-AU" sz="1000" baseline="0">
              <a:effectLst/>
              <a:latin typeface="+mn-lt"/>
              <a:ea typeface="+mn-ea"/>
              <a:cs typeface="+mn-cs"/>
            </a:rPr>
            <a:t> veterans studies</a:t>
          </a:r>
          <a:endParaRPr lang="en-AU" sz="1000">
            <a:effectLst/>
          </a:endParaRPr>
        </a:p>
        <a:p xmlns:a="http://schemas.openxmlformats.org/drawingml/2006/main">
          <a:endParaRPr lang="en-AU" sz="1100"/>
        </a:p>
      </cdr:txBody>
    </cdr:sp>
  </cdr:relSizeAnchor>
  <cdr:relSizeAnchor xmlns:cdr="http://schemas.openxmlformats.org/drawingml/2006/chartDrawing">
    <cdr:from>
      <cdr:x>0.85366</cdr:x>
      <cdr:y>0.29476</cdr:y>
    </cdr:from>
    <cdr:to>
      <cdr:x>1</cdr:x>
      <cdr:y>0.41048</cdr:y>
    </cdr:to>
    <cdr:sp macro="" textlink="">
      <cdr:nvSpPr>
        <cdr:cNvPr id="17" name="TextBox 16"/>
        <cdr:cNvSpPr txBox="1"/>
      </cdr:nvSpPr>
      <cdr:spPr>
        <a:xfrm xmlns:a="http://schemas.openxmlformats.org/drawingml/2006/main">
          <a:off x="5334000" y="1285875"/>
          <a:ext cx="914400" cy="504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000"/>
            <a:t>Ecological</a:t>
          </a:r>
        </a:p>
        <a:p xmlns:a="http://schemas.openxmlformats.org/drawingml/2006/main">
          <a:r>
            <a:rPr lang="en-AU" sz="1000"/>
            <a:t>studies</a:t>
          </a:r>
        </a:p>
      </cdr:txBody>
    </cdr:sp>
  </cdr:relSizeAnchor>
  <cdr:relSizeAnchor xmlns:cdr="http://schemas.openxmlformats.org/drawingml/2006/chartDrawing">
    <cdr:from>
      <cdr:x>0.74238</cdr:x>
      <cdr:y>0.04148</cdr:y>
    </cdr:from>
    <cdr:to>
      <cdr:x>0.88872</cdr:x>
      <cdr:y>0.15721</cdr:y>
    </cdr:to>
    <cdr:sp macro="" textlink="">
      <cdr:nvSpPr>
        <cdr:cNvPr id="18" name="TextBox 17"/>
        <cdr:cNvSpPr txBox="1"/>
      </cdr:nvSpPr>
      <cdr:spPr>
        <a:xfrm xmlns:a="http://schemas.openxmlformats.org/drawingml/2006/main">
          <a:off x="4638675" y="180975"/>
          <a:ext cx="914400" cy="504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000"/>
            <a:t>Industrial</a:t>
          </a:r>
        </a:p>
        <a:p xmlns:a="http://schemas.openxmlformats.org/drawingml/2006/main">
          <a:r>
            <a:rPr lang="en-AU" sz="1000"/>
            <a:t>accidents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13702</CharactersWithSpaces>
  <SharedDoc>false</SharedDoc>
  <HLinks>
    <vt:vector size="48" baseType="variant">
      <vt:variant>
        <vt:i4>1966130</vt:i4>
      </vt:variant>
      <vt:variant>
        <vt:i4>44</vt:i4>
      </vt:variant>
      <vt:variant>
        <vt:i4>0</vt:i4>
      </vt:variant>
      <vt:variant>
        <vt:i4>5</vt:i4>
      </vt:variant>
      <vt:variant>
        <vt:lpwstr/>
      </vt:variant>
      <vt:variant>
        <vt:lpwstr>_Toc370997802</vt:lpwstr>
      </vt:variant>
      <vt:variant>
        <vt:i4>1966130</vt:i4>
      </vt:variant>
      <vt:variant>
        <vt:i4>38</vt:i4>
      </vt:variant>
      <vt:variant>
        <vt:i4>0</vt:i4>
      </vt:variant>
      <vt:variant>
        <vt:i4>5</vt:i4>
      </vt:variant>
      <vt:variant>
        <vt:lpwstr/>
      </vt:variant>
      <vt:variant>
        <vt:lpwstr>_Toc370997801</vt:lpwstr>
      </vt:variant>
      <vt:variant>
        <vt:i4>1966130</vt:i4>
      </vt:variant>
      <vt:variant>
        <vt:i4>32</vt:i4>
      </vt:variant>
      <vt:variant>
        <vt:i4>0</vt:i4>
      </vt:variant>
      <vt:variant>
        <vt:i4>5</vt:i4>
      </vt:variant>
      <vt:variant>
        <vt:lpwstr/>
      </vt:variant>
      <vt:variant>
        <vt:lpwstr>_Toc370997800</vt:lpwstr>
      </vt:variant>
      <vt:variant>
        <vt:i4>1507389</vt:i4>
      </vt:variant>
      <vt:variant>
        <vt:i4>26</vt:i4>
      </vt:variant>
      <vt:variant>
        <vt:i4>0</vt:i4>
      </vt:variant>
      <vt:variant>
        <vt:i4>5</vt:i4>
      </vt:variant>
      <vt:variant>
        <vt:lpwstr/>
      </vt:variant>
      <vt:variant>
        <vt:lpwstr>_Toc370997799</vt:lpwstr>
      </vt:variant>
      <vt:variant>
        <vt:i4>1507389</vt:i4>
      </vt:variant>
      <vt:variant>
        <vt:i4>20</vt:i4>
      </vt:variant>
      <vt:variant>
        <vt:i4>0</vt:i4>
      </vt:variant>
      <vt:variant>
        <vt:i4>5</vt:i4>
      </vt:variant>
      <vt:variant>
        <vt:lpwstr/>
      </vt:variant>
      <vt:variant>
        <vt:lpwstr>_Toc370997798</vt:lpwstr>
      </vt:variant>
      <vt:variant>
        <vt:i4>1507389</vt:i4>
      </vt:variant>
      <vt:variant>
        <vt:i4>14</vt:i4>
      </vt:variant>
      <vt:variant>
        <vt:i4>0</vt:i4>
      </vt:variant>
      <vt:variant>
        <vt:i4>5</vt:i4>
      </vt:variant>
      <vt:variant>
        <vt:lpwstr/>
      </vt:variant>
      <vt:variant>
        <vt:lpwstr>_Toc370997797</vt:lpwstr>
      </vt:variant>
      <vt:variant>
        <vt:i4>1507389</vt:i4>
      </vt:variant>
      <vt:variant>
        <vt:i4>8</vt:i4>
      </vt:variant>
      <vt:variant>
        <vt:i4>0</vt:i4>
      </vt:variant>
      <vt:variant>
        <vt:i4>5</vt:i4>
      </vt:variant>
      <vt:variant>
        <vt:lpwstr/>
      </vt:variant>
      <vt:variant>
        <vt:lpwstr>_Toc370997796</vt:lpwstr>
      </vt:variant>
      <vt:variant>
        <vt:i4>1507389</vt:i4>
      </vt:variant>
      <vt:variant>
        <vt:i4>2</vt:i4>
      </vt:variant>
      <vt:variant>
        <vt:i4>0</vt:i4>
      </vt:variant>
      <vt:variant>
        <vt:i4>5</vt:i4>
      </vt:variant>
      <vt:variant>
        <vt:lpwstr/>
      </vt:variant>
      <vt:variant>
        <vt:lpwstr>_Toc370997795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2016-08-04T22:01:00Z</dcterms:created>
  <dcterms:modified xsi:type="dcterms:W3CDTF">2016-08-29T05:24:00Z</dcterms:modified>
</cp:coreProperties>
</file>