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57368" w14:textId="77777777" w:rsidR="005B3B4A" w:rsidRDefault="005B3B4A" w:rsidP="005B3B4A">
      <w:pPr>
        <w:pStyle w:val="FormTitle"/>
      </w:pPr>
      <w:bookmarkStart w:id="0" w:name="_GoBack"/>
      <w:bookmarkEnd w:id="0"/>
      <w:r>
        <w:rPr>
          <w:noProof/>
        </w:rPr>
        <w:drawing>
          <wp:inline distT="0" distB="0" distL="0" distR="0" wp14:anchorId="33271B34" wp14:editId="7B5A39CE">
            <wp:extent cx="1752600" cy="933450"/>
            <wp:effectExtent l="0" t="0" r="0" b="0"/>
            <wp:docPr id="1" name="Picture 1" descr="RMA -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14:paraId="35E9453B" w14:textId="77777777" w:rsidR="005B3B4A" w:rsidRDefault="005B3B4A" w:rsidP="005B3B4A">
      <w:pPr>
        <w:pStyle w:val="FormTitle"/>
        <w:rPr>
          <w:sz w:val="24"/>
          <w:szCs w:val="24"/>
        </w:rPr>
      </w:pPr>
    </w:p>
    <w:p w14:paraId="5111CA37" w14:textId="77777777" w:rsidR="005B3B4A" w:rsidRDefault="005B3B4A" w:rsidP="005B3B4A">
      <w:pPr>
        <w:pStyle w:val="FormTitle"/>
        <w:rPr>
          <w:sz w:val="24"/>
          <w:szCs w:val="24"/>
        </w:rPr>
      </w:pPr>
      <w:r>
        <w:rPr>
          <w:sz w:val="24"/>
          <w:szCs w:val="24"/>
        </w:rPr>
        <w:t xml:space="preserve">REPATRIATION MEDICAL AUTHORITY </w:t>
      </w:r>
    </w:p>
    <w:p w14:paraId="32877B65" w14:textId="77777777" w:rsidR="005B3B4A" w:rsidRDefault="005B3B4A" w:rsidP="005B3B4A">
      <w:pPr>
        <w:pStyle w:val="FormTitle"/>
        <w:rPr>
          <w:sz w:val="24"/>
          <w:szCs w:val="24"/>
        </w:rPr>
      </w:pPr>
      <w:r>
        <w:rPr>
          <w:sz w:val="24"/>
          <w:szCs w:val="24"/>
        </w:rPr>
        <w:t xml:space="preserve">Statement of Reasons </w:t>
      </w:r>
    </w:p>
    <w:p w14:paraId="12959C40" w14:textId="77777777" w:rsidR="005B3B4A" w:rsidRDefault="005B3B4A" w:rsidP="005B3B4A">
      <w:pPr>
        <w:pStyle w:val="FormTitle"/>
        <w:rPr>
          <w:i/>
          <w:sz w:val="24"/>
          <w:szCs w:val="24"/>
        </w:rPr>
      </w:pPr>
      <w:r>
        <w:rPr>
          <w:sz w:val="24"/>
          <w:szCs w:val="24"/>
        </w:rPr>
        <w:t xml:space="preserve">S 196B(9) </w:t>
      </w:r>
      <w:r>
        <w:rPr>
          <w:i/>
          <w:sz w:val="24"/>
          <w:szCs w:val="24"/>
        </w:rPr>
        <w:t>Veterans' Entitlements Act 1986</w:t>
      </w:r>
    </w:p>
    <w:p w14:paraId="2F5740F6" w14:textId="631915D9" w:rsidR="005B3B4A" w:rsidRDefault="005B3B4A" w:rsidP="00597E44">
      <w:pPr>
        <w:pStyle w:val="FormTitle"/>
        <w:spacing w:after="0"/>
        <w:rPr>
          <w:rFonts w:ascii="Times New Roman" w:hAnsi="Times New Roman" w:cs="Times New Roman"/>
        </w:rPr>
      </w:pPr>
      <w:r>
        <w:rPr>
          <w:sz w:val="24"/>
          <w:szCs w:val="24"/>
        </w:rPr>
        <w:t xml:space="preserve">Decision not to amend the current Statement of Principles concerning </w:t>
      </w:r>
      <w:r w:rsidR="008A5ED8">
        <w:rPr>
          <w:sz w:val="24"/>
          <w:szCs w:val="24"/>
        </w:rPr>
        <w:t>MALIGNANT NEOPLASM OF THE LUNG</w:t>
      </w:r>
      <w:r>
        <w:rPr>
          <w:sz w:val="24"/>
          <w:szCs w:val="24"/>
        </w:rPr>
        <w:t xml:space="preserve"> following a review </w:t>
      </w:r>
    </w:p>
    <w:p w14:paraId="10038B7E" w14:textId="77777777" w:rsidR="00510607" w:rsidRDefault="005B3B4A" w:rsidP="005B3B4A">
      <w:pPr>
        <w:pStyle w:val="TOC3"/>
        <w:jc w:val="center"/>
      </w:pPr>
      <w:r>
        <w:rPr>
          <w:sz w:val="22"/>
        </w:rPr>
        <w:t xml:space="preserve">Instrument No. </w:t>
      </w:r>
      <w:r w:rsidR="008A5ED8">
        <w:rPr>
          <w:sz w:val="22"/>
        </w:rPr>
        <w:t>93</w:t>
      </w:r>
      <w:r>
        <w:rPr>
          <w:sz w:val="22"/>
        </w:rPr>
        <w:t xml:space="preserve"> of 201</w:t>
      </w:r>
      <w:r w:rsidR="008A5ED8">
        <w:rPr>
          <w:sz w:val="22"/>
        </w:rPr>
        <w:t>4</w:t>
      </w:r>
      <w:r>
        <w:br w:type="page"/>
      </w:r>
      <w:r>
        <w:rPr>
          <w:rFonts w:ascii="Arial" w:hAnsi="Arial"/>
          <w:b/>
          <w:caps/>
          <w:szCs w:val="22"/>
        </w:rPr>
        <w:fldChar w:fldCharType="begin"/>
      </w:r>
      <w:r>
        <w:instrText xml:space="preserve"> TOC \h \z \t "Heading 2,4,Heading 3,5,Part Heading,3,Contents Heading,2,Alpha Heading,1" </w:instrText>
      </w:r>
      <w:r>
        <w:rPr>
          <w:rFonts w:ascii="Arial" w:hAnsi="Arial"/>
          <w:b/>
          <w:caps/>
          <w:szCs w:val="22"/>
        </w:rPr>
        <w:fldChar w:fldCharType="separate"/>
      </w:r>
    </w:p>
    <w:p w14:paraId="730B0BDB" w14:textId="468D7AD0" w:rsidR="00510607" w:rsidRDefault="00D232F2">
      <w:pPr>
        <w:pStyle w:val="TOC3"/>
        <w:rPr>
          <w:rFonts w:asciiTheme="minorHAnsi" w:eastAsiaTheme="minorEastAsia" w:hAnsiTheme="minorHAnsi" w:cstheme="minorBidi"/>
          <w:sz w:val="22"/>
          <w:szCs w:val="22"/>
        </w:rPr>
      </w:pPr>
      <w:hyperlink w:anchor="_Toc32913852" w:history="1">
        <w:r w:rsidR="00510607" w:rsidRPr="00EA1D9E">
          <w:rPr>
            <w:rStyle w:val="Hyperlink"/>
          </w:rPr>
          <w:t>Part  I</w:t>
        </w:r>
        <w:r w:rsidR="00510607">
          <w:rPr>
            <w:rFonts w:asciiTheme="minorHAnsi" w:eastAsiaTheme="minorEastAsia" w:hAnsiTheme="minorHAnsi" w:cstheme="minorBidi"/>
            <w:sz w:val="22"/>
            <w:szCs w:val="22"/>
          </w:rPr>
          <w:tab/>
        </w:r>
        <w:r w:rsidR="00510607" w:rsidRPr="00EA1D9E">
          <w:rPr>
            <w:rStyle w:val="Hyperlink"/>
          </w:rPr>
          <w:t>INTRODUCTION</w:t>
        </w:r>
        <w:r w:rsidR="00510607">
          <w:rPr>
            <w:webHidden/>
          </w:rPr>
          <w:tab/>
        </w:r>
        <w:r w:rsidR="00510607">
          <w:rPr>
            <w:webHidden/>
          </w:rPr>
          <w:fldChar w:fldCharType="begin"/>
        </w:r>
        <w:r w:rsidR="00510607">
          <w:rPr>
            <w:webHidden/>
          </w:rPr>
          <w:instrText xml:space="preserve"> PAGEREF _Toc32913852 \h </w:instrText>
        </w:r>
        <w:r w:rsidR="00510607">
          <w:rPr>
            <w:webHidden/>
          </w:rPr>
        </w:r>
        <w:r w:rsidR="00510607">
          <w:rPr>
            <w:webHidden/>
          </w:rPr>
          <w:fldChar w:fldCharType="separate"/>
        </w:r>
        <w:r>
          <w:rPr>
            <w:webHidden/>
          </w:rPr>
          <w:t>3</w:t>
        </w:r>
        <w:r w:rsidR="00510607">
          <w:rPr>
            <w:webHidden/>
          </w:rPr>
          <w:fldChar w:fldCharType="end"/>
        </w:r>
      </w:hyperlink>
    </w:p>
    <w:p w14:paraId="09D2BB69" w14:textId="1CA14075" w:rsidR="00510607" w:rsidRDefault="00D232F2">
      <w:pPr>
        <w:pStyle w:val="TOC3"/>
        <w:rPr>
          <w:rFonts w:asciiTheme="minorHAnsi" w:eastAsiaTheme="minorEastAsia" w:hAnsiTheme="minorHAnsi" w:cstheme="minorBidi"/>
          <w:sz w:val="22"/>
          <w:szCs w:val="22"/>
        </w:rPr>
      </w:pPr>
      <w:hyperlink w:anchor="_Toc32913853" w:history="1">
        <w:r w:rsidR="00510607" w:rsidRPr="00EA1D9E">
          <w:rPr>
            <w:rStyle w:val="Hyperlink"/>
          </w:rPr>
          <w:t>Part  II</w:t>
        </w:r>
        <w:r w:rsidR="00510607">
          <w:rPr>
            <w:rFonts w:asciiTheme="minorHAnsi" w:eastAsiaTheme="minorEastAsia" w:hAnsiTheme="minorHAnsi" w:cstheme="minorBidi"/>
            <w:sz w:val="22"/>
            <w:szCs w:val="22"/>
          </w:rPr>
          <w:tab/>
        </w:r>
        <w:r w:rsidR="00510607" w:rsidRPr="00EA1D9E">
          <w:rPr>
            <w:rStyle w:val="Hyperlink"/>
          </w:rPr>
          <w:t>Background to the Investigation</w:t>
        </w:r>
        <w:r w:rsidR="00510607">
          <w:rPr>
            <w:webHidden/>
          </w:rPr>
          <w:tab/>
        </w:r>
        <w:r w:rsidR="00510607">
          <w:rPr>
            <w:webHidden/>
          </w:rPr>
          <w:fldChar w:fldCharType="begin"/>
        </w:r>
        <w:r w:rsidR="00510607">
          <w:rPr>
            <w:webHidden/>
          </w:rPr>
          <w:instrText xml:space="preserve"> PAGEREF _Toc32913853 \h </w:instrText>
        </w:r>
        <w:r w:rsidR="00510607">
          <w:rPr>
            <w:webHidden/>
          </w:rPr>
        </w:r>
        <w:r w:rsidR="00510607">
          <w:rPr>
            <w:webHidden/>
          </w:rPr>
          <w:fldChar w:fldCharType="separate"/>
        </w:r>
        <w:r>
          <w:rPr>
            <w:webHidden/>
          </w:rPr>
          <w:t>3</w:t>
        </w:r>
        <w:r w:rsidR="00510607">
          <w:rPr>
            <w:webHidden/>
          </w:rPr>
          <w:fldChar w:fldCharType="end"/>
        </w:r>
      </w:hyperlink>
    </w:p>
    <w:p w14:paraId="746C5F84" w14:textId="399174EF" w:rsidR="00510607" w:rsidRDefault="00D232F2">
      <w:pPr>
        <w:pStyle w:val="TOC3"/>
        <w:rPr>
          <w:rFonts w:asciiTheme="minorHAnsi" w:eastAsiaTheme="minorEastAsia" w:hAnsiTheme="minorHAnsi" w:cstheme="minorBidi"/>
          <w:sz w:val="22"/>
          <w:szCs w:val="22"/>
        </w:rPr>
      </w:pPr>
      <w:hyperlink w:anchor="_Toc32913854" w:history="1">
        <w:r w:rsidR="00510607" w:rsidRPr="00EA1D9E">
          <w:rPr>
            <w:rStyle w:val="Hyperlink"/>
          </w:rPr>
          <w:t>Part  III</w:t>
        </w:r>
        <w:r w:rsidR="00510607">
          <w:rPr>
            <w:rFonts w:asciiTheme="minorHAnsi" w:eastAsiaTheme="minorEastAsia" w:hAnsiTheme="minorHAnsi" w:cstheme="minorBidi"/>
            <w:sz w:val="22"/>
            <w:szCs w:val="22"/>
          </w:rPr>
          <w:tab/>
        </w:r>
        <w:r w:rsidR="00510607" w:rsidRPr="00EA1D9E">
          <w:rPr>
            <w:rStyle w:val="Hyperlink"/>
          </w:rPr>
          <w:t>Submissions received by the Authority pursuant to section 196F</w:t>
        </w:r>
        <w:r w:rsidR="00510607">
          <w:rPr>
            <w:webHidden/>
          </w:rPr>
          <w:tab/>
        </w:r>
        <w:r w:rsidR="00510607">
          <w:rPr>
            <w:webHidden/>
          </w:rPr>
          <w:fldChar w:fldCharType="begin"/>
        </w:r>
        <w:r w:rsidR="00510607">
          <w:rPr>
            <w:webHidden/>
          </w:rPr>
          <w:instrText xml:space="preserve"> PAGEREF _Toc32913854 \h </w:instrText>
        </w:r>
        <w:r w:rsidR="00510607">
          <w:rPr>
            <w:webHidden/>
          </w:rPr>
        </w:r>
        <w:r w:rsidR="00510607">
          <w:rPr>
            <w:webHidden/>
          </w:rPr>
          <w:fldChar w:fldCharType="separate"/>
        </w:r>
        <w:r>
          <w:rPr>
            <w:webHidden/>
          </w:rPr>
          <w:t>3</w:t>
        </w:r>
        <w:r w:rsidR="00510607">
          <w:rPr>
            <w:webHidden/>
          </w:rPr>
          <w:fldChar w:fldCharType="end"/>
        </w:r>
      </w:hyperlink>
    </w:p>
    <w:p w14:paraId="7C9949E1" w14:textId="547B3D5D" w:rsidR="00510607" w:rsidRDefault="00D232F2">
      <w:pPr>
        <w:pStyle w:val="TOC3"/>
        <w:rPr>
          <w:rFonts w:asciiTheme="minorHAnsi" w:eastAsiaTheme="minorEastAsia" w:hAnsiTheme="minorHAnsi" w:cstheme="minorBidi"/>
          <w:sz w:val="22"/>
          <w:szCs w:val="22"/>
        </w:rPr>
      </w:pPr>
      <w:hyperlink w:anchor="_Toc32913855" w:history="1">
        <w:r w:rsidR="00510607" w:rsidRPr="00EA1D9E">
          <w:rPr>
            <w:rStyle w:val="Hyperlink"/>
          </w:rPr>
          <w:t>Part  IV</w:t>
        </w:r>
        <w:r w:rsidR="00510607">
          <w:rPr>
            <w:rFonts w:asciiTheme="minorHAnsi" w:eastAsiaTheme="minorEastAsia" w:hAnsiTheme="minorHAnsi" w:cstheme="minorBidi"/>
            <w:sz w:val="22"/>
            <w:szCs w:val="22"/>
          </w:rPr>
          <w:tab/>
        </w:r>
        <w:r w:rsidR="00510607" w:rsidRPr="00EA1D9E">
          <w:rPr>
            <w:rStyle w:val="Hyperlink"/>
          </w:rPr>
          <w:t>Evidence/Information Available to the Repatriation Medical Authority</w:t>
        </w:r>
        <w:r w:rsidR="00510607">
          <w:rPr>
            <w:webHidden/>
          </w:rPr>
          <w:tab/>
        </w:r>
        <w:r w:rsidR="00510607">
          <w:rPr>
            <w:webHidden/>
          </w:rPr>
          <w:fldChar w:fldCharType="begin"/>
        </w:r>
        <w:r w:rsidR="00510607">
          <w:rPr>
            <w:webHidden/>
          </w:rPr>
          <w:instrText xml:space="preserve"> PAGEREF _Toc32913855 \h </w:instrText>
        </w:r>
        <w:r w:rsidR="00510607">
          <w:rPr>
            <w:webHidden/>
          </w:rPr>
        </w:r>
        <w:r w:rsidR="00510607">
          <w:rPr>
            <w:webHidden/>
          </w:rPr>
          <w:fldChar w:fldCharType="separate"/>
        </w:r>
        <w:r>
          <w:rPr>
            <w:webHidden/>
          </w:rPr>
          <w:t>4</w:t>
        </w:r>
        <w:r w:rsidR="00510607">
          <w:rPr>
            <w:webHidden/>
          </w:rPr>
          <w:fldChar w:fldCharType="end"/>
        </w:r>
      </w:hyperlink>
    </w:p>
    <w:p w14:paraId="1FB4318E" w14:textId="429B6920" w:rsidR="00510607" w:rsidRDefault="00D232F2">
      <w:pPr>
        <w:pStyle w:val="TOC3"/>
        <w:rPr>
          <w:rFonts w:asciiTheme="minorHAnsi" w:eastAsiaTheme="minorEastAsia" w:hAnsiTheme="minorHAnsi" w:cstheme="minorBidi"/>
          <w:sz w:val="22"/>
          <w:szCs w:val="22"/>
        </w:rPr>
      </w:pPr>
      <w:hyperlink w:anchor="_Toc32913856" w:history="1">
        <w:r w:rsidR="00510607" w:rsidRPr="00EA1D9E">
          <w:rPr>
            <w:rStyle w:val="Hyperlink"/>
          </w:rPr>
          <w:t>Part  V</w:t>
        </w:r>
        <w:r w:rsidR="00510607">
          <w:rPr>
            <w:rFonts w:asciiTheme="minorHAnsi" w:eastAsiaTheme="minorEastAsia" w:hAnsiTheme="minorHAnsi" w:cstheme="minorBidi"/>
            <w:sz w:val="22"/>
            <w:szCs w:val="22"/>
          </w:rPr>
          <w:tab/>
        </w:r>
        <w:r w:rsidR="00510607" w:rsidRPr="00EA1D9E">
          <w:rPr>
            <w:rStyle w:val="Hyperlink"/>
          </w:rPr>
          <w:t>Sound medical-scientific evidence</w:t>
        </w:r>
        <w:r w:rsidR="00510607">
          <w:rPr>
            <w:webHidden/>
          </w:rPr>
          <w:tab/>
        </w:r>
        <w:r w:rsidR="00510607">
          <w:rPr>
            <w:webHidden/>
          </w:rPr>
          <w:fldChar w:fldCharType="begin"/>
        </w:r>
        <w:r w:rsidR="00510607">
          <w:rPr>
            <w:webHidden/>
          </w:rPr>
          <w:instrText xml:space="preserve"> PAGEREF _Toc32913856 \h </w:instrText>
        </w:r>
        <w:r w:rsidR="00510607">
          <w:rPr>
            <w:webHidden/>
          </w:rPr>
        </w:r>
        <w:r w:rsidR="00510607">
          <w:rPr>
            <w:webHidden/>
          </w:rPr>
          <w:fldChar w:fldCharType="separate"/>
        </w:r>
        <w:r>
          <w:rPr>
            <w:webHidden/>
          </w:rPr>
          <w:t>4</w:t>
        </w:r>
        <w:r w:rsidR="00510607">
          <w:rPr>
            <w:webHidden/>
          </w:rPr>
          <w:fldChar w:fldCharType="end"/>
        </w:r>
      </w:hyperlink>
    </w:p>
    <w:p w14:paraId="5EDDCEF4" w14:textId="6B76AC98" w:rsidR="00510607" w:rsidRDefault="00D232F2">
      <w:pPr>
        <w:pStyle w:val="TOC3"/>
        <w:rPr>
          <w:rFonts w:asciiTheme="minorHAnsi" w:eastAsiaTheme="minorEastAsia" w:hAnsiTheme="minorHAnsi" w:cstheme="minorBidi"/>
          <w:sz w:val="22"/>
          <w:szCs w:val="22"/>
        </w:rPr>
      </w:pPr>
      <w:hyperlink w:anchor="_Toc32913857" w:history="1">
        <w:r w:rsidR="00510607" w:rsidRPr="00EA1D9E">
          <w:rPr>
            <w:rStyle w:val="Hyperlink"/>
          </w:rPr>
          <w:t>Part  VI</w:t>
        </w:r>
        <w:r w:rsidR="00510607">
          <w:rPr>
            <w:rFonts w:asciiTheme="minorHAnsi" w:eastAsiaTheme="minorEastAsia" w:hAnsiTheme="minorHAnsi" w:cstheme="minorBidi"/>
            <w:sz w:val="22"/>
            <w:szCs w:val="22"/>
          </w:rPr>
          <w:tab/>
        </w:r>
        <w:r w:rsidR="00510607" w:rsidRPr="00EA1D9E">
          <w:rPr>
            <w:rStyle w:val="Hyperlink"/>
          </w:rPr>
          <w:t>Reasons for the decision</w:t>
        </w:r>
        <w:r w:rsidR="00510607">
          <w:rPr>
            <w:webHidden/>
          </w:rPr>
          <w:tab/>
        </w:r>
        <w:r w:rsidR="00510607">
          <w:rPr>
            <w:webHidden/>
          </w:rPr>
          <w:fldChar w:fldCharType="begin"/>
        </w:r>
        <w:r w:rsidR="00510607">
          <w:rPr>
            <w:webHidden/>
          </w:rPr>
          <w:instrText xml:space="preserve"> PAGEREF _Toc32913857 \h </w:instrText>
        </w:r>
        <w:r w:rsidR="00510607">
          <w:rPr>
            <w:webHidden/>
          </w:rPr>
        </w:r>
        <w:r w:rsidR="00510607">
          <w:rPr>
            <w:webHidden/>
          </w:rPr>
          <w:fldChar w:fldCharType="separate"/>
        </w:r>
        <w:r>
          <w:rPr>
            <w:webHidden/>
          </w:rPr>
          <w:t>4</w:t>
        </w:r>
        <w:r w:rsidR="00510607">
          <w:rPr>
            <w:webHidden/>
          </w:rPr>
          <w:fldChar w:fldCharType="end"/>
        </w:r>
      </w:hyperlink>
    </w:p>
    <w:p w14:paraId="7E595395" w14:textId="15B8B00A" w:rsidR="00510607" w:rsidRDefault="00D232F2">
      <w:pPr>
        <w:pStyle w:val="TOC3"/>
        <w:rPr>
          <w:rFonts w:asciiTheme="minorHAnsi" w:eastAsiaTheme="minorEastAsia" w:hAnsiTheme="minorHAnsi" w:cstheme="minorBidi"/>
          <w:sz w:val="22"/>
          <w:szCs w:val="22"/>
        </w:rPr>
      </w:pPr>
      <w:hyperlink w:anchor="_Toc32913858" w:history="1">
        <w:r w:rsidR="00510607" w:rsidRPr="00EA1D9E">
          <w:rPr>
            <w:rStyle w:val="Hyperlink"/>
          </w:rPr>
          <w:t>Part  VII</w:t>
        </w:r>
        <w:r w:rsidR="00510607">
          <w:rPr>
            <w:rFonts w:asciiTheme="minorHAnsi" w:eastAsiaTheme="minorEastAsia" w:hAnsiTheme="minorHAnsi" w:cstheme="minorBidi"/>
            <w:sz w:val="22"/>
            <w:szCs w:val="22"/>
          </w:rPr>
          <w:tab/>
        </w:r>
        <w:r w:rsidR="00510607" w:rsidRPr="00EA1D9E">
          <w:rPr>
            <w:rStyle w:val="Hyperlink"/>
          </w:rPr>
          <w:t>Summary and conclusions</w:t>
        </w:r>
        <w:r w:rsidR="00510607">
          <w:rPr>
            <w:webHidden/>
          </w:rPr>
          <w:tab/>
        </w:r>
        <w:r w:rsidR="00510607">
          <w:rPr>
            <w:webHidden/>
          </w:rPr>
          <w:fldChar w:fldCharType="begin"/>
        </w:r>
        <w:r w:rsidR="00510607">
          <w:rPr>
            <w:webHidden/>
          </w:rPr>
          <w:instrText xml:space="preserve"> PAGEREF _Toc32913858 \h </w:instrText>
        </w:r>
        <w:r w:rsidR="00510607">
          <w:rPr>
            <w:webHidden/>
          </w:rPr>
        </w:r>
        <w:r w:rsidR="00510607">
          <w:rPr>
            <w:webHidden/>
          </w:rPr>
          <w:fldChar w:fldCharType="separate"/>
        </w:r>
        <w:r>
          <w:rPr>
            <w:webHidden/>
          </w:rPr>
          <w:t>5</w:t>
        </w:r>
        <w:r w:rsidR="00510607">
          <w:rPr>
            <w:webHidden/>
          </w:rPr>
          <w:fldChar w:fldCharType="end"/>
        </w:r>
      </w:hyperlink>
    </w:p>
    <w:p w14:paraId="43E87F61" w14:textId="439B10E3" w:rsidR="00510607" w:rsidRDefault="00D232F2">
      <w:pPr>
        <w:pStyle w:val="TOC3"/>
        <w:rPr>
          <w:rFonts w:asciiTheme="minorHAnsi" w:eastAsiaTheme="minorEastAsia" w:hAnsiTheme="minorHAnsi" w:cstheme="minorBidi"/>
          <w:sz w:val="22"/>
          <w:szCs w:val="22"/>
        </w:rPr>
      </w:pPr>
      <w:hyperlink w:anchor="_Toc32913859" w:history="1">
        <w:r w:rsidR="00510607" w:rsidRPr="00EA1D9E">
          <w:rPr>
            <w:rStyle w:val="Hyperlink"/>
          </w:rPr>
          <w:t>Part  VIII</w:t>
        </w:r>
        <w:r w:rsidR="00510607">
          <w:rPr>
            <w:rFonts w:asciiTheme="minorHAnsi" w:eastAsiaTheme="minorEastAsia" w:hAnsiTheme="minorHAnsi" w:cstheme="minorBidi"/>
            <w:sz w:val="22"/>
            <w:szCs w:val="22"/>
          </w:rPr>
          <w:tab/>
        </w:r>
        <w:r w:rsidR="00510607" w:rsidRPr="00EA1D9E">
          <w:rPr>
            <w:rStyle w:val="Hyperlink"/>
          </w:rPr>
          <w:t>Decision not to amend Instrument No. 93 of 2014</w:t>
        </w:r>
        <w:r w:rsidR="00510607">
          <w:rPr>
            <w:webHidden/>
          </w:rPr>
          <w:tab/>
        </w:r>
        <w:r w:rsidR="00510607">
          <w:rPr>
            <w:webHidden/>
          </w:rPr>
          <w:fldChar w:fldCharType="begin"/>
        </w:r>
        <w:r w:rsidR="00510607">
          <w:rPr>
            <w:webHidden/>
          </w:rPr>
          <w:instrText xml:space="preserve"> PAGEREF _Toc32913859 \h </w:instrText>
        </w:r>
        <w:r w:rsidR="00510607">
          <w:rPr>
            <w:webHidden/>
          </w:rPr>
        </w:r>
        <w:r w:rsidR="00510607">
          <w:rPr>
            <w:webHidden/>
          </w:rPr>
          <w:fldChar w:fldCharType="separate"/>
        </w:r>
        <w:r>
          <w:rPr>
            <w:webHidden/>
          </w:rPr>
          <w:t>6</w:t>
        </w:r>
        <w:r w:rsidR="00510607">
          <w:rPr>
            <w:webHidden/>
          </w:rPr>
          <w:fldChar w:fldCharType="end"/>
        </w:r>
      </w:hyperlink>
    </w:p>
    <w:p w14:paraId="496B76A4" w14:textId="6E01EAC2" w:rsidR="00510607" w:rsidRDefault="00D232F2">
      <w:pPr>
        <w:pStyle w:val="TOC3"/>
        <w:rPr>
          <w:rFonts w:asciiTheme="minorHAnsi" w:eastAsiaTheme="minorEastAsia" w:hAnsiTheme="minorHAnsi" w:cstheme="minorBidi"/>
          <w:sz w:val="22"/>
          <w:szCs w:val="22"/>
        </w:rPr>
      </w:pPr>
      <w:hyperlink w:anchor="_Toc32913860" w:history="1">
        <w:r w:rsidR="00510607" w:rsidRPr="00EA1D9E">
          <w:rPr>
            <w:rStyle w:val="Hyperlink"/>
          </w:rPr>
          <w:t>Part  IX</w:t>
        </w:r>
        <w:r w:rsidR="00510607">
          <w:rPr>
            <w:rFonts w:asciiTheme="minorHAnsi" w:eastAsiaTheme="minorEastAsia" w:hAnsiTheme="minorHAnsi" w:cstheme="minorBidi"/>
            <w:sz w:val="22"/>
            <w:szCs w:val="22"/>
          </w:rPr>
          <w:tab/>
        </w:r>
        <w:r w:rsidR="00510607" w:rsidRPr="00EA1D9E">
          <w:rPr>
            <w:rStyle w:val="Hyperlink"/>
          </w:rPr>
          <w:t>Bibliography</w:t>
        </w:r>
        <w:r w:rsidR="00510607">
          <w:rPr>
            <w:webHidden/>
          </w:rPr>
          <w:tab/>
        </w:r>
        <w:r w:rsidR="00510607">
          <w:rPr>
            <w:webHidden/>
          </w:rPr>
          <w:fldChar w:fldCharType="begin"/>
        </w:r>
        <w:r w:rsidR="00510607">
          <w:rPr>
            <w:webHidden/>
          </w:rPr>
          <w:instrText xml:space="preserve"> PAGEREF _Toc32913860 \h </w:instrText>
        </w:r>
        <w:r w:rsidR="00510607">
          <w:rPr>
            <w:webHidden/>
          </w:rPr>
        </w:r>
        <w:r w:rsidR="00510607">
          <w:rPr>
            <w:webHidden/>
          </w:rPr>
          <w:fldChar w:fldCharType="separate"/>
        </w:r>
        <w:r>
          <w:rPr>
            <w:webHidden/>
          </w:rPr>
          <w:t>7</w:t>
        </w:r>
        <w:r w:rsidR="00510607">
          <w:rPr>
            <w:webHidden/>
          </w:rPr>
          <w:fldChar w:fldCharType="end"/>
        </w:r>
      </w:hyperlink>
    </w:p>
    <w:p w14:paraId="139A361B" w14:textId="77777777" w:rsidR="005B3B4A" w:rsidRDefault="005B3B4A" w:rsidP="005B3B4A">
      <w:r>
        <w:fldChar w:fldCharType="end"/>
      </w:r>
    </w:p>
    <w:p w14:paraId="1E1A72CB" w14:textId="77777777" w:rsidR="005B3B4A" w:rsidRDefault="005B3B4A" w:rsidP="005B3B4A">
      <w:pPr>
        <w:pStyle w:val="FormTitle"/>
      </w:pPr>
    </w:p>
    <w:p w14:paraId="77B28612" w14:textId="77777777" w:rsidR="005B3B4A" w:rsidRDefault="005B3B4A" w:rsidP="005B3B4A">
      <w:pPr>
        <w:pStyle w:val="FormTitle"/>
      </w:pPr>
    </w:p>
    <w:p w14:paraId="16CE66D0" w14:textId="77777777" w:rsidR="005B3B4A" w:rsidRDefault="005B3B4A" w:rsidP="005B3B4A">
      <w:pPr>
        <w:pStyle w:val="FormTitle"/>
      </w:pPr>
      <w:r>
        <w:rPr>
          <w:b w:val="0"/>
          <w:caps w:val="0"/>
        </w:rPr>
        <w:br w:type="page"/>
      </w:r>
    </w:p>
    <w:p w14:paraId="29B673B9" w14:textId="77777777" w:rsidR="00510607" w:rsidRDefault="00510607" w:rsidP="00510607">
      <w:pPr>
        <w:pStyle w:val="PartHeading"/>
        <w:numPr>
          <w:ilvl w:val="0"/>
          <w:numId w:val="16"/>
        </w:numPr>
      </w:pPr>
      <w:bookmarkStart w:id="1" w:name="InsertFileHere"/>
      <w:bookmarkStart w:id="2" w:name="TOC"/>
      <w:bookmarkStart w:id="3" w:name="_Toc31889334"/>
      <w:bookmarkStart w:id="4" w:name="_Toc32913852"/>
      <w:bookmarkEnd w:id="1"/>
      <w:bookmarkEnd w:id="2"/>
      <w:r>
        <w:lastRenderedPageBreak/>
        <w:t>INTRODUCTION</w:t>
      </w:r>
      <w:bookmarkEnd w:id="3"/>
      <w:bookmarkEnd w:id="4"/>
    </w:p>
    <w:p w14:paraId="57823BB3" w14:textId="77777777" w:rsidR="00510607" w:rsidRDefault="00510607" w:rsidP="00510607">
      <w:pPr>
        <w:pStyle w:val="NumberLevel1"/>
        <w:numPr>
          <w:ilvl w:val="0"/>
          <w:numId w:val="17"/>
        </w:numPr>
        <w:jc w:val="both"/>
      </w:pPr>
      <w:r>
        <w:t xml:space="preserve">The Repatriation Medical Authority (the Authority) pursuant to subsection 196B(9) of the </w:t>
      </w:r>
      <w:r w:rsidRPr="008A5ED8">
        <w:rPr>
          <w:i/>
        </w:rPr>
        <w:t>Veterans' Entitlements Act 1986</w:t>
      </w:r>
      <w:r>
        <w:t xml:space="preserve"> (the VEA), has decided not to amend Statement of Principles concerning malignant neoplasm of the lung, Instrument No. 93 of 2014, following an investigation which was notified in the </w:t>
      </w:r>
      <w:r w:rsidRPr="008A5ED8">
        <w:rPr>
          <w:i/>
        </w:rPr>
        <w:t>Commonwealth of Australia Gazette</w:t>
      </w:r>
      <w:r>
        <w:t xml:space="preserve"> on 29 October 2019. </w:t>
      </w:r>
      <w:r w:rsidRPr="008A5ED8">
        <w:t>The investigation related to "insecticides".</w:t>
      </w:r>
    </w:p>
    <w:p w14:paraId="3A392469" w14:textId="75C06969" w:rsidR="00510607" w:rsidRDefault="00510607" w:rsidP="00510607">
      <w:pPr>
        <w:pStyle w:val="NumberLevel1"/>
        <w:numPr>
          <w:ilvl w:val="0"/>
          <w:numId w:val="17"/>
        </w:numPr>
        <w:jc w:val="both"/>
      </w:pPr>
      <w:r>
        <w:t xml:space="preserve">Having carried out the investigation as notified, the Authority concluded that the sound medical-scientific evidence available to it, </w:t>
      </w:r>
      <w:r w:rsidRPr="00B95069">
        <w:t>including the new sound medical-scientific evidence</w:t>
      </w:r>
      <w:r>
        <w:t xml:space="preserve">, is sufficient to justify the inclusion of a factor relating to </w:t>
      </w:r>
      <w:r w:rsidRPr="00132586">
        <w:t>exposure to</w:t>
      </w:r>
      <w:r>
        <w:t xml:space="preserve"> the insecticide diazinon in Statement of Principles Instrument No. 92 of 2014. However the sound medical-scientific evidence available to it, </w:t>
      </w:r>
      <w:r w:rsidRPr="00B95069">
        <w:t>including the new sound medical-scientific evidence,</w:t>
      </w:r>
      <w:r>
        <w:t xml:space="preserve"> is </w:t>
      </w:r>
      <w:r w:rsidR="00D9057B">
        <w:t xml:space="preserve">not </w:t>
      </w:r>
      <w:r>
        <w:t>sufficient to justify inclusion of a factor concerning exposure to diazinon in Statement of Principles Instrument No. 93 of 2014.</w:t>
      </w:r>
    </w:p>
    <w:p w14:paraId="3D369694" w14:textId="77777777" w:rsidR="00510607" w:rsidRDefault="00510607" w:rsidP="00510607">
      <w:pPr>
        <w:pStyle w:val="PartHeading"/>
        <w:numPr>
          <w:ilvl w:val="0"/>
          <w:numId w:val="16"/>
        </w:numPr>
        <w:spacing w:before="360"/>
      </w:pPr>
      <w:bookmarkStart w:id="5" w:name="_Toc14446403"/>
      <w:bookmarkStart w:id="6" w:name="_Toc31889335"/>
      <w:bookmarkStart w:id="7" w:name="_Toc32913853"/>
      <w:r>
        <w:t>Background to the Investigation</w:t>
      </w:r>
      <w:bookmarkEnd w:id="5"/>
      <w:bookmarkEnd w:id="6"/>
      <w:bookmarkEnd w:id="7"/>
      <w:r>
        <w:t xml:space="preserve"> </w:t>
      </w:r>
    </w:p>
    <w:p w14:paraId="723B7BB6" w14:textId="77777777" w:rsidR="00510607" w:rsidRPr="0056145F" w:rsidRDefault="00510607" w:rsidP="00510607">
      <w:pPr>
        <w:pStyle w:val="NumberLevel1"/>
        <w:numPr>
          <w:ilvl w:val="0"/>
          <w:numId w:val="17"/>
        </w:numPr>
        <w:jc w:val="both"/>
      </w:pPr>
      <w:r w:rsidRPr="0056145F">
        <w:t>A request dated 30 July 2019, was received from a representative of a veterans' organisation, seeking a review into the association between "exposure to insecticides in Vietnam" and malignant neoplasm of the lung. In support of the request, the applicant provided the following:</w:t>
      </w:r>
    </w:p>
    <w:p w14:paraId="6F05EE0D" w14:textId="77777777" w:rsidR="00510607" w:rsidRPr="0056145F" w:rsidRDefault="00510607" w:rsidP="00510607">
      <w:pPr>
        <w:pStyle w:val="NumberLevel1"/>
        <w:numPr>
          <w:ilvl w:val="0"/>
          <w:numId w:val="19"/>
        </w:numPr>
        <w:spacing w:before="0" w:after="0"/>
        <w:ind w:left="1276" w:hanging="425"/>
        <w:jc w:val="both"/>
      </w:pPr>
      <w:r w:rsidRPr="0056145F">
        <w:t xml:space="preserve">Mordike J (2013). Insecticide deceit?: the truth about insecticides used at Nui Dat. </w:t>
      </w:r>
    </w:p>
    <w:p w14:paraId="518A4928" w14:textId="77777777" w:rsidR="00510607" w:rsidRPr="0056145F" w:rsidRDefault="00510607" w:rsidP="00510607">
      <w:pPr>
        <w:pStyle w:val="NumberLevel1"/>
        <w:numPr>
          <w:ilvl w:val="0"/>
          <w:numId w:val="19"/>
        </w:numPr>
        <w:spacing w:before="0" w:after="0"/>
        <w:ind w:left="1276" w:hanging="425"/>
        <w:jc w:val="both"/>
      </w:pPr>
      <w:r w:rsidRPr="0056145F">
        <w:t xml:space="preserve">Denner R (2013). Rampant &amp; uncontrolled use of insecticides in Australian Army bases in South Vietnam. </w:t>
      </w:r>
      <w:r>
        <w:t>The Vietnam Veterans Peacekeepers and Peacemakers Journal; pp 12-13.</w:t>
      </w:r>
    </w:p>
    <w:p w14:paraId="412554AE" w14:textId="77777777" w:rsidR="00510607" w:rsidRPr="0056145F" w:rsidRDefault="00510607" w:rsidP="00510607">
      <w:pPr>
        <w:pStyle w:val="NumberLevel1"/>
        <w:numPr>
          <w:ilvl w:val="0"/>
          <w:numId w:val="19"/>
        </w:numPr>
        <w:spacing w:before="0" w:after="0"/>
        <w:ind w:left="1276" w:hanging="425"/>
        <w:jc w:val="both"/>
      </w:pPr>
      <w:r w:rsidRPr="0056145F">
        <w:t>Tchounwou PB, Patlolla AK, Yedjou CG, et al (2015). Environmental exposure and health effects associated with malathion toxicity. Intech Open Limi</w:t>
      </w:r>
      <w:r>
        <w:t>ted. Internet published article</w:t>
      </w:r>
      <w:r w:rsidRPr="0056145F">
        <w:t xml:space="preserve">.  https://www.intechopen.com/books/toxicity-and-hazard-of-agrochemicals/environmental-exposure-and-health-effects-associated-with-malathion-toxicity. </w:t>
      </w:r>
    </w:p>
    <w:p w14:paraId="502E662F" w14:textId="77777777" w:rsidR="00510607" w:rsidRDefault="00510607" w:rsidP="00510607">
      <w:pPr>
        <w:pStyle w:val="NumberLevel1"/>
        <w:numPr>
          <w:ilvl w:val="0"/>
          <w:numId w:val="17"/>
        </w:numPr>
        <w:jc w:val="both"/>
      </w:pPr>
      <w:r>
        <w:t>On 2 October 2019, the Authority, under s 196B(7A) of the VEA, decided to review the contents of the Statements of Principles, Instrument Nos. 92 and 93 of 2014, to find out if there was new information in respect of "insecticides" as a factor in malignant neoplasm of the lung.</w:t>
      </w:r>
    </w:p>
    <w:p w14:paraId="1F130426" w14:textId="77777777" w:rsidR="00510607" w:rsidRDefault="00510607" w:rsidP="00510607">
      <w:pPr>
        <w:pStyle w:val="NumberLevel1"/>
        <w:numPr>
          <w:ilvl w:val="0"/>
          <w:numId w:val="17"/>
        </w:numPr>
        <w:jc w:val="both"/>
      </w:pPr>
      <w:r>
        <w:t xml:space="preserve">The investigation notice was signed by the Chairperson of the Authority on 18 October 2019 and was gazetted in accordance with s 196G of the VEA in the </w:t>
      </w:r>
      <w:r>
        <w:rPr>
          <w:i/>
        </w:rPr>
        <w:t>Commonwealth of Australia Gazette</w:t>
      </w:r>
      <w:r>
        <w:t xml:space="preserve"> on 29 October 2019. Submissions were invited from persons and organisations wishing to make a submission by 19 November 2019.</w:t>
      </w:r>
    </w:p>
    <w:p w14:paraId="3792EEEF" w14:textId="77777777" w:rsidR="00510607" w:rsidRDefault="00510607" w:rsidP="00510607">
      <w:pPr>
        <w:pStyle w:val="PartHeading"/>
        <w:numPr>
          <w:ilvl w:val="0"/>
          <w:numId w:val="16"/>
        </w:numPr>
        <w:spacing w:before="360"/>
      </w:pPr>
      <w:bookmarkStart w:id="8" w:name="_Toc14446404"/>
      <w:bookmarkStart w:id="9" w:name="_Toc31889336"/>
      <w:bookmarkStart w:id="10" w:name="_Toc32913854"/>
      <w:r>
        <w:t>Submissions received by the Authority pursuant to section 196F</w:t>
      </w:r>
      <w:bookmarkEnd w:id="8"/>
      <w:bookmarkEnd w:id="9"/>
      <w:bookmarkEnd w:id="10"/>
    </w:p>
    <w:p w14:paraId="1AE52B75" w14:textId="77777777" w:rsidR="00510607" w:rsidRDefault="00510607" w:rsidP="00510607">
      <w:pPr>
        <w:pStyle w:val="NumberLevel1"/>
        <w:numPr>
          <w:ilvl w:val="0"/>
          <w:numId w:val="17"/>
        </w:numPr>
        <w:jc w:val="both"/>
        <w:rPr>
          <w:rFonts w:ascii="Times New Roman" w:hAnsi="Times New Roman" w:cs="Times New Roman"/>
          <w:sz w:val="24"/>
          <w:szCs w:val="24"/>
        </w:rPr>
      </w:pPr>
      <w:r>
        <w:t>Following notification of its investigation, the Authority did not receive any information from persons eligible to make submissions pursuant to s 196F of the VEA.</w:t>
      </w:r>
    </w:p>
    <w:p w14:paraId="64C0D8CE" w14:textId="77777777" w:rsidR="00510607" w:rsidRDefault="00510607" w:rsidP="00510607">
      <w:pPr>
        <w:pStyle w:val="PartHeading"/>
        <w:numPr>
          <w:ilvl w:val="0"/>
          <w:numId w:val="16"/>
        </w:numPr>
        <w:spacing w:before="360"/>
      </w:pPr>
      <w:bookmarkStart w:id="11" w:name="_Toc14446405"/>
      <w:bookmarkStart w:id="12" w:name="_Toc31889337"/>
      <w:bookmarkStart w:id="13" w:name="_Toc32913855"/>
      <w:r>
        <w:lastRenderedPageBreak/>
        <w:t>Evidence/Information Available to the Repatriation Medical Authority</w:t>
      </w:r>
      <w:bookmarkEnd w:id="11"/>
      <w:bookmarkEnd w:id="12"/>
      <w:bookmarkEnd w:id="13"/>
      <w:r>
        <w:t xml:space="preserve"> </w:t>
      </w:r>
    </w:p>
    <w:p w14:paraId="554A449B" w14:textId="77777777" w:rsidR="00510607" w:rsidRDefault="00510607" w:rsidP="00510607">
      <w:pPr>
        <w:pStyle w:val="NumberLevel1"/>
        <w:keepNext/>
        <w:keepLines/>
        <w:numPr>
          <w:ilvl w:val="0"/>
          <w:numId w:val="17"/>
        </w:numPr>
        <w:jc w:val="both"/>
      </w:pPr>
      <w:r>
        <w:t>The following information was available to the Authority:</w:t>
      </w:r>
    </w:p>
    <w:p w14:paraId="1D36CC1F" w14:textId="77777777" w:rsidR="00510607" w:rsidRDefault="00510607" w:rsidP="00510607">
      <w:pPr>
        <w:pStyle w:val="NumberLevel2"/>
        <w:numPr>
          <w:ilvl w:val="1"/>
          <w:numId w:val="17"/>
        </w:numPr>
        <w:jc w:val="both"/>
      </w:pPr>
      <w:r>
        <w:t>The information held by the Authority and obtained during its previous considerations leading to the determination of Statements of Principles concerning malignant neoplasm of the lung, Instrument Nos. 92 and 93 of 2014.</w:t>
      </w:r>
    </w:p>
    <w:p w14:paraId="5A41849F" w14:textId="77777777" w:rsidR="00510607" w:rsidRDefault="00510607" w:rsidP="00510607">
      <w:pPr>
        <w:pStyle w:val="NumberLevel2"/>
        <w:numPr>
          <w:ilvl w:val="1"/>
          <w:numId w:val="17"/>
        </w:numPr>
        <w:jc w:val="both"/>
      </w:pPr>
      <w:r>
        <w:t>Literature searches were conducted on 15 October 2019 using the Ovid search engine from 2004 to current, limited to English language and humans. The search terms were: Exp Dieldrin which produced 69 articles, Exp Diazinon which produced 32 articles, Exposure Malathion which produced 41 articles and Exp Organophosphates combined with exp Neoplasms which produced 148 articles. An additional 4 articles were selected for further study. Articles were selected based on relevance, study quality, reliability and journal authority.</w:t>
      </w:r>
    </w:p>
    <w:p w14:paraId="1E89ACEB" w14:textId="77777777" w:rsidR="00510607" w:rsidRDefault="00510607" w:rsidP="00510607">
      <w:pPr>
        <w:pStyle w:val="NumberLevel2"/>
        <w:numPr>
          <w:ilvl w:val="1"/>
          <w:numId w:val="17"/>
        </w:numPr>
        <w:jc w:val="both"/>
      </w:pPr>
      <w:r>
        <w:t>A briefing paper concerning malignant neoplasm of the lung prepared for presentation to the Authority by a Medical Researcher of the Secretariat.</w:t>
      </w:r>
    </w:p>
    <w:p w14:paraId="22BB6F17" w14:textId="77777777" w:rsidR="00510607" w:rsidRDefault="00510607" w:rsidP="00510607">
      <w:pPr>
        <w:pStyle w:val="PartHeading"/>
        <w:numPr>
          <w:ilvl w:val="0"/>
          <w:numId w:val="16"/>
        </w:numPr>
        <w:spacing w:before="360"/>
      </w:pPr>
      <w:bookmarkStart w:id="14" w:name="_Toc14446406"/>
      <w:bookmarkStart w:id="15" w:name="_Toc31889338"/>
      <w:bookmarkStart w:id="16" w:name="_Toc32913856"/>
      <w:r>
        <w:t>Sound medical-scientific evidence</w:t>
      </w:r>
      <w:bookmarkEnd w:id="14"/>
      <w:bookmarkEnd w:id="15"/>
      <w:bookmarkEnd w:id="16"/>
    </w:p>
    <w:p w14:paraId="0BA19648" w14:textId="77777777" w:rsidR="00510607" w:rsidRDefault="00510607" w:rsidP="00510607">
      <w:pPr>
        <w:pStyle w:val="NumberLevel1"/>
        <w:numPr>
          <w:ilvl w:val="0"/>
          <w:numId w:val="17"/>
        </w:numPr>
        <w:jc w:val="both"/>
      </w:pPr>
      <w:r>
        <w:t>The Statements of Principles are determined on the basis of the available "sound medical-scientific evidence" as defined in s 5AB(2) of the VEA which states:</w:t>
      </w:r>
    </w:p>
    <w:p w14:paraId="510F023A" w14:textId="77777777" w:rsidR="00510607" w:rsidRDefault="00510607" w:rsidP="00510607">
      <w:pPr>
        <w:ind w:left="720" w:right="567"/>
        <w:jc w:val="both"/>
        <w:rPr>
          <w:i/>
          <w:sz w:val="21"/>
          <w:szCs w:val="21"/>
        </w:rPr>
      </w:pPr>
      <w:r>
        <w:rPr>
          <w:sz w:val="21"/>
          <w:szCs w:val="21"/>
        </w:rPr>
        <w:t>"</w:t>
      </w:r>
      <w:r>
        <w:rPr>
          <w:i/>
          <w:sz w:val="21"/>
          <w:szCs w:val="21"/>
        </w:rPr>
        <w:t>Information about a particular kind of injury, disease or death is taken to be</w:t>
      </w:r>
      <w:r>
        <w:rPr>
          <w:b/>
          <w:i/>
          <w:sz w:val="21"/>
          <w:szCs w:val="21"/>
        </w:rPr>
        <w:t xml:space="preserve"> sound</w:t>
      </w:r>
      <w:r>
        <w:rPr>
          <w:i/>
          <w:sz w:val="21"/>
          <w:szCs w:val="21"/>
        </w:rPr>
        <w:t xml:space="preserve"> </w:t>
      </w:r>
      <w:r>
        <w:rPr>
          <w:b/>
          <w:i/>
          <w:sz w:val="21"/>
          <w:szCs w:val="21"/>
        </w:rPr>
        <w:t>medical-scientific evidence</w:t>
      </w:r>
      <w:r>
        <w:rPr>
          <w:i/>
          <w:sz w:val="21"/>
          <w:szCs w:val="21"/>
        </w:rPr>
        <w:t xml:space="preserve"> if:</w:t>
      </w:r>
    </w:p>
    <w:p w14:paraId="47D53C24" w14:textId="77777777" w:rsidR="00510607" w:rsidRDefault="00510607" w:rsidP="00510607">
      <w:pPr>
        <w:spacing w:before="120"/>
        <w:ind w:left="1134" w:right="567" w:hanging="414"/>
        <w:jc w:val="both"/>
        <w:rPr>
          <w:i/>
          <w:sz w:val="21"/>
          <w:szCs w:val="21"/>
        </w:rPr>
      </w:pPr>
      <w:r>
        <w:rPr>
          <w:i/>
          <w:sz w:val="21"/>
          <w:szCs w:val="21"/>
        </w:rPr>
        <w:t>(a)</w:t>
      </w:r>
      <w:r>
        <w:rPr>
          <w:i/>
          <w:sz w:val="21"/>
          <w:szCs w:val="21"/>
        </w:rPr>
        <w:tab/>
        <w:t>the information:</w:t>
      </w:r>
    </w:p>
    <w:p w14:paraId="5A711F72" w14:textId="77777777" w:rsidR="00510607" w:rsidRDefault="00510607" w:rsidP="00510607">
      <w:pPr>
        <w:ind w:left="2160" w:right="567" w:hanging="720"/>
        <w:jc w:val="both"/>
        <w:rPr>
          <w:i/>
          <w:sz w:val="21"/>
          <w:szCs w:val="21"/>
        </w:rPr>
      </w:pPr>
      <w:r>
        <w:rPr>
          <w:i/>
          <w:sz w:val="21"/>
          <w:szCs w:val="21"/>
        </w:rPr>
        <w:t>(i)</w:t>
      </w:r>
      <w:r>
        <w:rPr>
          <w:i/>
          <w:sz w:val="21"/>
          <w:szCs w:val="21"/>
        </w:rPr>
        <w:tab/>
        <w:t xml:space="preserve">is consistent with material relating to medical science that has been published in a medical or scientific publication and has been, in the opinion of the Repatriation Medical Authority, subjected to a peer review process; or </w:t>
      </w:r>
    </w:p>
    <w:p w14:paraId="40D0479C" w14:textId="77777777" w:rsidR="00510607" w:rsidRDefault="00510607" w:rsidP="00510607">
      <w:pPr>
        <w:ind w:left="2160" w:right="567" w:hanging="720"/>
        <w:jc w:val="both"/>
        <w:rPr>
          <w:i/>
          <w:sz w:val="21"/>
          <w:szCs w:val="21"/>
        </w:rPr>
      </w:pPr>
      <w:r>
        <w:rPr>
          <w:i/>
          <w:sz w:val="21"/>
          <w:szCs w:val="21"/>
        </w:rPr>
        <w:t>(ii)</w:t>
      </w:r>
      <w:r>
        <w:rPr>
          <w:i/>
          <w:sz w:val="21"/>
          <w:szCs w:val="21"/>
        </w:rPr>
        <w:tab/>
        <w:t>in accordance with generally accepted medical practice, would serve as the basis for the diagnosis and management of a medical condition; and</w:t>
      </w:r>
    </w:p>
    <w:p w14:paraId="1157F46E" w14:textId="77777777" w:rsidR="00510607" w:rsidRDefault="00510607" w:rsidP="00510607">
      <w:pPr>
        <w:ind w:left="1134" w:right="567" w:hanging="414"/>
        <w:jc w:val="both"/>
        <w:rPr>
          <w:sz w:val="21"/>
          <w:szCs w:val="21"/>
        </w:rPr>
      </w:pPr>
      <w:r>
        <w:rPr>
          <w:i/>
          <w:sz w:val="21"/>
          <w:szCs w:val="21"/>
        </w:rPr>
        <w:t>(b)</w:t>
      </w:r>
      <w:r>
        <w:rPr>
          <w:i/>
          <w:sz w:val="21"/>
          <w:szCs w:val="21"/>
        </w:rPr>
        <w:tab/>
        <w:t>in the case of information about how that kind of injury, disease or death may be caused - meets the applicable criteria for assessing causation currently applied in the field of epidemiology.</w:t>
      </w:r>
      <w:r>
        <w:rPr>
          <w:sz w:val="21"/>
          <w:szCs w:val="21"/>
        </w:rPr>
        <w:t>"</w:t>
      </w:r>
    </w:p>
    <w:p w14:paraId="7648E1BF" w14:textId="77777777" w:rsidR="00510607" w:rsidRDefault="00510607" w:rsidP="00510607">
      <w:pPr>
        <w:pStyle w:val="PartHeading"/>
        <w:numPr>
          <w:ilvl w:val="0"/>
          <w:numId w:val="16"/>
        </w:numPr>
        <w:spacing w:before="360"/>
      </w:pPr>
      <w:bookmarkStart w:id="17" w:name="_Toc156722918"/>
      <w:bookmarkStart w:id="18" w:name="_Toc14446407"/>
      <w:bookmarkStart w:id="19" w:name="_Toc31889339"/>
      <w:bookmarkStart w:id="20" w:name="_Toc32913857"/>
      <w:bookmarkEnd w:id="17"/>
      <w:r>
        <w:t>Reasons for the decision</w:t>
      </w:r>
      <w:bookmarkEnd w:id="18"/>
      <w:bookmarkEnd w:id="19"/>
      <w:bookmarkEnd w:id="20"/>
    </w:p>
    <w:p w14:paraId="650948A8" w14:textId="77777777" w:rsidR="00510607" w:rsidRPr="000A3E0B" w:rsidRDefault="00510607" w:rsidP="00510607">
      <w:pPr>
        <w:pStyle w:val="NumberLevel1"/>
        <w:numPr>
          <w:ilvl w:val="0"/>
          <w:numId w:val="17"/>
        </w:numPr>
        <w:jc w:val="both"/>
        <w:rPr>
          <w:lang w:val="en"/>
        </w:rPr>
      </w:pPr>
      <w:bookmarkStart w:id="21" w:name="_Toc156722920"/>
      <w:bookmarkEnd w:id="21"/>
      <w:r>
        <w:t xml:space="preserve">The </w:t>
      </w:r>
      <w:r w:rsidRPr="00C86551">
        <w:t>International Agency for Research on Cancer (2017)</w:t>
      </w:r>
      <w:r>
        <w:t>,</w:t>
      </w:r>
      <w:r w:rsidRPr="000A3E0B">
        <w:rPr>
          <w:lang w:val="en"/>
        </w:rPr>
        <w:t xml:space="preserve"> in a recent evaluation of the organophosphate insecticide diazinon (Group 2A), concluded that there is limited evidence for an association with leukaemia, non-Hodgkin lymphoma and lung cancer. </w:t>
      </w:r>
    </w:p>
    <w:p w14:paraId="30354101" w14:textId="77777777" w:rsidR="00510607" w:rsidRPr="004E762D" w:rsidRDefault="00510607" w:rsidP="00510607">
      <w:pPr>
        <w:pStyle w:val="NumberLevel1"/>
        <w:numPr>
          <w:ilvl w:val="0"/>
          <w:numId w:val="17"/>
        </w:numPr>
        <w:jc w:val="both"/>
        <w:rPr>
          <w:lang w:val="en"/>
        </w:rPr>
      </w:pPr>
      <w:r w:rsidRPr="004E762D">
        <w:rPr>
          <w:lang w:val="en"/>
        </w:rPr>
        <w:t xml:space="preserve">There is some consistency in </w:t>
      </w:r>
      <w:r>
        <w:rPr>
          <w:lang w:val="en"/>
        </w:rPr>
        <w:t>the</w:t>
      </w:r>
      <w:r w:rsidRPr="004E762D">
        <w:rPr>
          <w:lang w:val="en"/>
        </w:rPr>
        <w:t xml:space="preserve"> limited number of cohort </w:t>
      </w:r>
      <w:r>
        <w:rPr>
          <w:lang w:val="en"/>
        </w:rPr>
        <w:t>and</w:t>
      </w:r>
      <w:r w:rsidRPr="004E762D">
        <w:rPr>
          <w:lang w:val="en"/>
        </w:rPr>
        <w:t xml:space="preserve"> nested case-control studies, with </w:t>
      </w:r>
      <w:r>
        <w:rPr>
          <w:lang w:val="en"/>
        </w:rPr>
        <w:t>two of three studies</w:t>
      </w:r>
      <w:r w:rsidRPr="004E762D">
        <w:rPr>
          <w:lang w:val="en"/>
        </w:rPr>
        <w:t xml:space="preserve"> </w:t>
      </w:r>
      <w:r>
        <w:rPr>
          <w:lang w:val="en"/>
        </w:rPr>
        <w:t xml:space="preserve">finding </w:t>
      </w:r>
      <w:r w:rsidRPr="004E762D">
        <w:rPr>
          <w:lang w:val="en"/>
        </w:rPr>
        <w:t>positive</w:t>
      </w:r>
      <w:r>
        <w:rPr>
          <w:lang w:val="en"/>
        </w:rPr>
        <w:t xml:space="preserve"> associations</w:t>
      </w:r>
      <w:r w:rsidRPr="004E762D">
        <w:rPr>
          <w:lang w:val="en"/>
        </w:rPr>
        <w:t>. Several analyses of the Agricultural Health Stu</w:t>
      </w:r>
      <w:r>
        <w:rPr>
          <w:lang w:val="en"/>
        </w:rPr>
        <w:t>dy (AHS) (Alavanja et al 2004, Beane F</w:t>
      </w:r>
      <w:r w:rsidRPr="004E762D">
        <w:rPr>
          <w:lang w:val="en"/>
        </w:rPr>
        <w:t>reeman et al 2005, Jones et al 2015) reported that pesticide applicators had a significantly increased risk of lung cancer with lifetime days of exposure to diazinon.</w:t>
      </w:r>
      <w:r>
        <w:rPr>
          <w:lang w:val="en"/>
        </w:rPr>
        <w:t xml:space="preserve"> </w:t>
      </w:r>
      <w:r w:rsidRPr="004E762D">
        <w:rPr>
          <w:lang w:val="en"/>
        </w:rPr>
        <w:t xml:space="preserve">A case-control study nested in a cohort of Florida pest control workers (Pesatori et al 1994) reported that ever exposure to diazinon non-significantly increased the risk of lung cancer </w:t>
      </w:r>
      <w:r>
        <w:rPr>
          <w:lang w:val="en"/>
        </w:rPr>
        <w:t>two-fold</w:t>
      </w:r>
      <w:r w:rsidRPr="004E762D">
        <w:rPr>
          <w:lang w:val="en"/>
        </w:rPr>
        <w:t xml:space="preserve">.  In contrast, no </w:t>
      </w:r>
      <w:r w:rsidRPr="004E762D">
        <w:rPr>
          <w:lang w:val="en"/>
        </w:rPr>
        <w:lastRenderedPageBreak/>
        <w:t xml:space="preserve">association was found between ever use of diazinon and lung cancer in the spouses of pesticide applicators in an analysis of AHS (Lerro et al 2015). </w:t>
      </w:r>
    </w:p>
    <w:p w14:paraId="060B9364" w14:textId="77777777" w:rsidR="00510607" w:rsidRPr="004E762D" w:rsidRDefault="00510607" w:rsidP="00510607">
      <w:pPr>
        <w:pStyle w:val="NumberLevel1"/>
        <w:numPr>
          <w:ilvl w:val="0"/>
          <w:numId w:val="17"/>
        </w:numPr>
        <w:jc w:val="both"/>
        <w:rPr>
          <w:lang w:val="en"/>
        </w:rPr>
      </w:pPr>
      <w:r w:rsidRPr="004E762D">
        <w:rPr>
          <w:lang w:val="en"/>
        </w:rPr>
        <w:t xml:space="preserve">The strength of the association was moderate; at least </w:t>
      </w:r>
      <w:r>
        <w:rPr>
          <w:lang w:val="en"/>
        </w:rPr>
        <w:t>around</w:t>
      </w:r>
      <w:r w:rsidRPr="004E762D">
        <w:rPr>
          <w:lang w:val="en"/>
        </w:rPr>
        <w:t xml:space="preserve"> 100 days of exposure to diazinon in a lifetime increased the risk of lung cancer</w:t>
      </w:r>
      <w:r>
        <w:rPr>
          <w:lang w:val="en"/>
        </w:rPr>
        <w:t xml:space="preserve">, with relative risks ranging from </w:t>
      </w:r>
      <w:r w:rsidRPr="004E762D">
        <w:rPr>
          <w:lang w:val="en"/>
        </w:rPr>
        <w:t>1.8 to 3.5 in the AHS</w:t>
      </w:r>
      <w:r>
        <w:rPr>
          <w:lang w:val="en"/>
        </w:rPr>
        <w:t xml:space="preserve"> study analyses</w:t>
      </w:r>
      <w:r w:rsidRPr="004E762D">
        <w:rPr>
          <w:lang w:val="en"/>
        </w:rPr>
        <w:t xml:space="preserve">. Evidence for a dose-response </w:t>
      </w:r>
      <w:r>
        <w:rPr>
          <w:lang w:val="en"/>
        </w:rPr>
        <w:t xml:space="preserve">was </w:t>
      </w:r>
      <w:r w:rsidRPr="004E762D">
        <w:rPr>
          <w:lang w:val="en"/>
        </w:rPr>
        <w:t xml:space="preserve">observed in the AHS, reporting a significant positive trend with lifetime days of exposure to diazinon. </w:t>
      </w:r>
    </w:p>
    <w:p w14:paraId="05221682" w14:textId="77777777" w:rsidR="00510607" w:rsidRPr="004E762D" w:rsidRDefault="00510607" w:rsidP="00510607">
      <w:pPr>
        <w:pStyle w:val="NumberLevel1"/>
        <w:numPr>
          <w:ilvl w:val="0"/>
          <w:numId w:val="17"/>
        </w:numPr>
        <w:jc w:val="both"/>
        <w:rPr>
          <w:lang w:val="en"/>
        </w:rPr>
      </w:pPr>
      <w:r w:rsidRPr="004E762D">
        <w:rPr>
          <w:lang w:val="en"/>
        </w:rPr>
        <w:t xml:space="preserve">The correct temporal relationship has been demonstrated by the AHS with exposure to diazinon recorded prior to </w:t>
      </w:r>
      <w:r>
        <w:rPr>
          <w:lang w:val="en"/>
        </w:rPr>
        <w:t xml:space="preserve">the </w:t>
      </w:r>
      <w:r w:rsidRPr="004E762D">
        <w:rPr>
          <w:lang w:val="en"/>
        </w:rPr>
        <w:t xml:space="preserve">development of lung cancer. </w:t>
      </w:r>
      <w:r>
        <w:rPr>
          <w:lang w:val="en"/>
        </w:rPr>
        <w:t>There is s</w:t>
      </w:r>
      <w:r w:rsidRPr="004E762D">
        <w:rPr>
          <w:lang w:val="en"/>
        </w:rPr>
        <w:t xml:space="preserve">ome biological plausibility as diazinon </w:t>
      </w:r>
      <w:r>
        <w:rPr>
          <w:lang w:val="en"/>
        </w:rPr>
        <w:t xml:space="preserve">is </w:t>
      </w:r>
      <w:r w:rsidRPr="004E762D">
        <w:rPr>
          <w:lang w:val="en"/>
        </w:rPr>
        <w:t>considered to be genotoxic and produce oxidative stress</w:t>
      </w:r>
      <w:r>
        <w:rPr>
          <w:lang w:val="en"/>
        </w:rPr>
        <w:t xml:space="preserve"> (IARC 2017)</w:t>
      </w:r>
      <w:r w:rsidRPr="004E762D">
        <w:rPr>
          <w:lang w:val="en"/>
        </w:rPr>
        <w:t xml:space="preserve">. </w:t>
      </w:r>
    </w:p>
    <w:p w14:paraId="07C62F07" w14:textId="77777777" w:rsidR="00510607" w:rsidRPr="004E762D" w:rsidRDefault="00510607" w:rsidP="00510607">
      <w:pPr>
        <w:pStyle w:val="NumberLevel1"/>
        <w:numPr>
          <w:ilvl w:val="0"/>
          <w:numId w:val="17"/>
        </w:numPr>
        <w:jc w:val="both"/>
        <w:rPr>
          <w:lang w:val="en"/>
        </w:rPr>
      </w:pPr>
      <w:r>
        <w:rPr>
          <w:lang w:val="en"/>
        </w:rPr>
        <w:t xml:space="preserve">There were some limitations in the available studies which weakened the evidence for the association between diazinon and lung cancer being causal. </w:t>
      </w:r>
      <w:r w:rsidRPr="004E762D">
        <w:rPr>
          <w:lang w:val="en"/>
        </w:rPr>
        <w:t>The AHS and Florida pest control workers cohort adjusted for smoking and other pesticides</w:t>
      </w:r>
      <w:r>
        <w:rPr>
          <w:lang w:val="en"/>
        </w:rPr>
        <w:t>. However, exposure to particular pesticides is correlated with exposure to other pesticides, and statistical adjustment may not completely account for confounding by other pesticides.</w:t>
      </w:r>
      <w:r w:rsidRPr="004E762D">
        <w:rPr>
          <w:lang w:val="en"/>
        </w:rPr>
        <w:t xml:space="preserve"> The latest analysis of the AHS (Jones et al 2015) stratified </w:t>
      </w:r>
      <w:r>
        <w:rPr>
          <w:lang w:val="en"/>
        </w:rPr>
        <w:t xml:space="preserve">the data </w:t>
      </w:r>
      <w:r w:rsidRPr="004E762D">
        <w:rPr>
          <w:lang w:val="en"/>
        </w:rPr>
        <w:t>by smoking status. The risk of lung cancer was still elevated in never smokers, but the dose-response was somewhat attenuated. Chance may also be an alternate explanation, as the AHS performed multiple testing and the association was not statistically significant in the pest control workers nested case-control study. Exposure assessment was based on self-report in the AHS</w:t>
      </w:r>
      <w:r>
        <w:rPr>
          <w:lang w:val="en"/>
        </w:rPr>
        <w:t xml:space="preserve"> and n</w:t>
      </w:r>
      <w:r w:rsidRPr="004E762D">
        <w:rPr>
          <w:lang w:val="en"/>
        </w:rPr>
        <w:t xml:space="preserve">o biological measurements of diazinon </w:t>
      </w:r>
      <w:r>
        <w:rPr>
          <w:lang w:val="en"/>
        </w:rPr>
        <w:t>exposure were undertaken</w:t>
      </w:r>
      <w:r w:rsidRPr="004E762D">
        <w:rPr>
          <w:lang w:val="en"/>
        </w:rPr>
        <w:t xml:space="preserve">. </w:t>
      </w:r>
    </w:p>
    <w:p w14:paraId="5906E30D" w14:textId="77777777" w:rsidR="00510607" w:rsidRDefault="00510607" w:rsidP="00510607">
      <w:pPr>
        <w:pStyle w:val="PartHeading"/>
        <w:numPr>
          <w:ilvl w:val="0"/>
          <w:numId w:val="16"/>
        </w:numPr>
        <w:spacing w:before="360"/>
      </w:pPr>
      <w:bookmarkStart w:id="22" w:name="_Toc14446408"/>
      <w:bookmarkStart w:id="23" w:name="_Toc31889340"/>
      <w:bookmarkStart w:id="24" w:name="_Toc32913858"/>
      <w:r>
        <w:t>Summary and conclusions</w:t>
      </w:r>
      <w:bookmarkEnd w:id="22"/>
      <w:bookmarkEnd w:id="23"/>
      <w:bookmarkEnd w:id="24"/>
    </w:p>
    <w:p w14:paraId="78415CCF" w14:textId="77777777" w:rsidR="00510607" w:rsidRPr="00F514B4" w:rsidRDefault="00510607" w:rsidP="00510607">
      <w:pPr>
        <w:pStyle w:val="NumberLevel1"/>
        <w:numPr>
          <w:ilvl w:val="0"/>
          <w:numId w:val="17"/>
        </w:numPr>
        <w:jc w:val="both"/>
      </w:pPr>
      <w:r w:rsidRPr="00F514B4">
        <w:rPr>
          <w:lang w:val="en"/>
        </w:rPr>
        <w:t xml:space="preserve">Overall, results of the available studies </w:t>
      </w:r>
      <w:bookmarkStart w:id="25" w:name="_Toc415058139"/>
      <w:r w:rsidRPr="00F514B4">
        <w:rPr>
          <w:lang w:val="en"/>
        </w:rPr>
        <w:t>indicate that</w:t>
      </w:r>
      <w:r w:rsidRPr="00F514B4">
        <w:t xml:space="preserve"> </w:t>
      </w:r>
      <w:bookmarkEnd w:id="25"/>
      <w:r w:rsidRPr="00F514B4">
        <w:t xml:space="preserve">the evidence is too limited to permit a judgement of a probable or convincing causal relationship between malignant neoplasm of the lung and exposure to the insecticide diazinon, but supports a judgement of a possible causal relationship. An association has been observed between exposure to diazinon and malignant neoplasm of the lung, but the evidence is limited in quality and quantity. </w:t>
      </w:r>
    </w:p>
    <w:p w14:paraId="7E927166" w14:textId="77777777" w:rsidR="00510607" w:rsidRPr="00F514B4" w:rsidRDefault="00510607" w:rsidP="00510607">
      <w:pPr>
        <w:pStyle w:val="NumberLevel1"/>
        <w:numPr>
          <w:ilvl w:val="0"/>
          <w:numId w:val="17"/>
        </w:numPr>
        <w:jc w:val="both"/>
      </w:pPr>
      <w:r w:rsidRPr="00F514B4">
        <w:rPr>
          <w:lang w:val="en"/>
        </w:rPr>
        <w:t xml:space="preserve">The VEA requires that the same body of evidence be assessed according to two different standards of proof. For assessment under the reasonable hypothesis standard (s 196B(2)) the VEA requires that the </w:t>
      </w:r>
      <w:r w:rsidRPr="00F514B4">
        <w:t>sound medical-scientific evidence</w:t>
      </w:r>
      <w:r w:rsidRPr="00F514B4">
        <w:rPr>
          <w:lang w:val="en"/>
        </w:rPr>
        <w:t xml:space="preserve"> must indicate or point to a causal association between a risk factor related to t</w:t>
      </w:r>
      <w:r w:rsidRPr="00F514B4">
        <w:rPr>
          <w:rFonts w:ascii="Helvetica" w:hAnsi="Helvetica" w:cs="Helvetica"/>
          <w:shd w:val="clear" w:color="auto" w:fill="FFFFFF"/>
        </w:rPr>
        <w:t>he circumstances of service</w:t>
      </w:r>
      <w:r w:rsidRPr="00F514B4">
        <w:rPr>
          <w:lang w:val="en"/>
        </w:rPr>
        <w:t xml:space="preserve"> and the disease in question. On the other hand, for the balance of probabilities standard (s 196B(3)), the </w:t>
      </w:r>
      <w:r w:rsidRPr="00F514B4">
        <w:t>sound medical-scientific evidence</w:t>
      </w:r>
      <w:r w:rsidRPr="00F514B4">
        <w:rPr>
          <w:lang w:val="en"/>
        </w:rPr>
        <w:t xml:space="preserve"> must show that it is more probable than not that there is a causal association between a risk factor related to t</w:t>
      </w:r>
      <w:r w:rsidRPr="00F514B4">
        <w:rPr>
          <w:rFonts w:ascii="Helvetica" w:hAnsi="Helvetica" w:cs="Helvetica"/>
          <w:shd w:val="clear" w:color="auto" w:fill="FFFFFF"/>
        </w:rPr>
        <w:t>he circumstances of service</w:t>
      </w:r>
      <w:r w:rsidRPr="00F514B4">
        <w:rPr>
          <w:lang w:val="en"/>
        </w:rPr>
        <w:t xml:space="preserve"> and the disease. In this matter the distinction between those standards of proof is significant. </w:t>
      </w:r>
    </w:p>
    <w:p w14:paraId="53154E2A" w14:textId="77777777" w:rsidR="00510607" w:rsidRPr="00F514B4" w:rsidRDefault="00510607" w:rsidP="00510607">
      <w:pPr>
        <w:pStyle w:val="NumberLevel1"/>
        <w:numPr>
          <w:ilvl w:val="0"/>
          <w:numId w:val="17"/>
        </w:numPr>
        <w:jc w:val="both"/>
      </w:pPr>
      <w:r w:rsidRPr="00F514B4">
        <w:t>The available sound medical-scientific evidence</w:t>
      </w:r>
      <w:r w:rsidRPr="00F514B4">
        <w:rPr>
          <w:lang w:val="en"/>
        </w:rPr>
        <w:t xml:space="preserve"> indicates or points to a causal association between </w:t>
      </w:r>
      <w:r w:rsidRPr="00F514B4">
        <w:t xml:space="preserve">exposure to the insecticide diazinon and malignant neoplasm of the lung, such being sufficient to support a judgement of a possible causal association. The </w:t>
      </w:r>
      <w:r w:rsidRPr="00F514B4">
        <w:lastRenderedPageBreak/>
        <w:t>reasonable hypothesis standard is met and a factor will be included in that Statement of Principles.</w:t>
      </w:r>
    </w:p>
    <w:p w14:paraId="736481B0" w14:textId="5B9F2986" w:rsidR="00510607" w:rsidRPr="00F514B4" w:rsidRDefault="00510607" w:rsidP="00510607">
      <w:pPr>
        <w:pStyle w:val="NumberLevel1"/>
        <w:numPr>
          <w:ilvl w:val="0"/>
          <w:numId w:val="17"/>
        </w:numPr>
        <w:jc w:val="both"/>
      </w:pPr>
      <w:r w:rsidRPr="00F514B4">
        <w:t>However, as detailed in the reasons set out above, the sound medical-scientific evidence</w:t>
      </w:r>
      <w:r w:rsidRPr="00F514B4">
        <w:rPr>
          <w:lang w:val="en"/>
        </w:rPr>
        <w:t xml:space="preserve"> does not show that it is more probable than not that there is a causal association between </w:t>
      </w:r>
      <w:r w:rsidRPr="00F514B4">
        <w:t xml:space="preserve">exposure to diazinon and malignant neoplasm of the lung. The available evidence is therefore </w:t>
      </w:r>
      <w:r w:rsidR="00D9057B">
        <w:t xml:space="preserve">not </w:t>
      </w:r>
      <w:r w:rsidRPr="00F514B4">
        <w:t>sufficient to support a judgement of a probable causal association between exposure to diazinon and malignant neoplasm of the lung, and the balance of probabilities standard cannot be met. In these circumstances no factor can be included in that Statement of Principles.</w:t>
      </w:r>
    </w:p>
    <w:p w14:paraId="71D0345F" w14:textId="77777777" w:rsidR="00510607" w:rsidRDefault="00510607" w:rsidP="00510607">
      <w:pPr>
        <w:pStyle w:val="PartHeading"/>
        <w:numPr>
          <w:ilvl w:val="0"/>
          <w:numId w:val="16"/>
        </w:numPr>
        <w:spacing w:before="360"/>
      </w:pPr>
      <w:bookmarkStart w:id="26" w:name="_Toc14446409"/>
      <w:bookmarkStart w:id="27" w:name="_Toc31889341"/>
      <w:bookmarkStart w:id="28" w:name="_Toc32913859"/>
      <w:r>
        <w:t>Decision not to amend Instrument No. 93 of 2014</w:t>
      </w:r>
      <w:bookmarkEnd w:id="26"/>
      <w:bookmarkEnd w:id="27"/>
      <w:bookmarkEnd w:id="28"/>
    </w:p>
    <w:p w14:paraId="5B760F08" w14:textId="653258DA" w:rsidR="00510607" w:rsidRPr="00F514B4" w:rsidRDefault="00510607" w:rsidP="00510607">
      <w:pPr>
        <w:pStyle w:val="NumberLevel1"/>
        <w:keepNext/>
        <w:keepLines/>
        <w:numPr>
          <w:ilvl w:val="0"/>
          <w:numId w:val="17"/>
        </w:numPr>
        <w:jc w:val="both"/>
      </w:pPr>
      <w:r w:rsidRPr="00F514B4">
        <w:t>At its meeting on 1</w:t>
      </w:r>
      <w:r w:rsidR="00431756">
        <w:t>1</w:t>
      </w:r>
      <w:r w:rsidRPr="00F514B4">
        <w:t xml:space="preserve"> February 2020 the Authority decided not to amend the balance of probabilities Statement of Principles in respect of malignant neoplasm of the lung for the purposes of subsections 196B(3) and (8) of the VEA as the Authority concluded, for the reasons set out above, that the sound medical-scientific evidence available to it, including the new sound medical-scientific evidence, is </w:t>
      </w:r>
      <w:r w:rsidR="00D9057B">
        <w:t xml:space="preserve">not </w:t>
      </w:r>
      <w:r w:rsidRPr="00F514B4">
        <w:t>sufficient to justify the inclusion of a factor relating to exposure to the insecticide diazinon in the balance of probabilities Statement of Principles already determined in respect of malignant neoplasm of the lung.</w:t>
      </w:r>
    </w:p>
    <w:p w14:paraId="5B2B7CBF" w14:textId="77777777" w:rsidR="00510607" w:rsidRPr="000C3083" w:rsidRDefault="00510607" w:rsidP="00510607"/>
    <w:p w14:paraId="2E5D993C" w14:textId="77777777" w:rsidR="00510607" w:rsidRDefault="00510607" w:rsidP="00510607"/>
    <w:p w14:paraId="57CC5136" w14:textId="77777777" w:rsidR="00510607" w:rsidRDefault="00510607" w:rsidP="00510607"/>
    <w:p w14:paraId="54546A38" w14:textId="196B37BC" w:rsidR="00510607" w:rsidRDefault="00CB73D6" w:rsidP="00510607">
      <w:r>
        <w:rPr>
          <w:noProof/>
        </w:rPr>
        <w:drawing>
          <wp:inline distT="0" distB="0" distL="0" distR="0" wp14:anchorId="4145E244" wp14:editId="310622AC">
            <wp:extent cx="2463800" cy="533400"/>
            <wp:effectExtent l="0" t="0" r="0" b="0"/>
            <wp:docPr id="3" name="Picture 3" descr="RMA - Chairperson signature"/>
            <wp:cNvGraphicFramePr/>
            <a:graphic xmlns:a="http://schemas.openxmlformats.org/drawingml/2006/main">
              <a:graphicData uri="http://schemas.openxmlformats.org/drawingml/2006/picture">
                <pic:pic xmlns:pic="http://schemas.openxmlformats.org/drawingml/2006/picture">
                  <pic:nvPicPr>
                    <pic:cNvPr id="3" name="Picture 3" descr="RMA - Chairperson signatur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p w14:paraId="39490892" w14:textId="77777777" w:rsidR="00510607" w:rsidRPr="00591BD7" w:rsidRDefault="00510607" w:rsidP="00510607"/>
    <w:p w14:paraId="41DAABB8" w14:textId="77777777" w:rsidR="00510607" w:rsidRDefault="00510607" w:rsidP="00510607">
      <w:pPr>
        <w:keepNext/>
        <w:outlineLvl w:val="0"/>
        <w:rPr>
          <w:rFonts w:ascii="Arial" w:hAnsi="Arial" w:cs="Arial"/>
          <w:sz w:val="22"/>
          <w:szCs w:val="22"/>
        </w:rPr>
      </w:pPr>
      <w:r>
        <w:rPr>
          <w:rFonts w:ascii="Arial" w:hAnsi="Arial" w:cs="Arial"/>
          <w:sz w:val="22"/>
          <w:szCs w:val="22"/>
        </w:rPr>
        <w:t>Professor Nicholas Saunders AO</w:t>
      </w:r>
    </w:p>
    <w:p w14:paraId="7CFA9425" w14:textId="77777777" w:rsidR="00510607" w:rsidRDefault="00510607" w:rsidP="00510607">
      <w:pPr>
        <w:outlineLvl w:val="0"/>
        <w:rPr>
          <w:rFonts w:ascii="Arial" w:hAnsi="Arial" w:cs="Arial"/>
          <w:sz w:val="22"/>
          <w:szCs w:val="22"/>
        </w:rPr>
      </w:pPr>
      <w:r>
        <w:rPr>
          <w:rFonts w:ascii="Arial" w:hAnsi="Arial" w:cs="Arial"/>
          <w:sz w:val="22"/>
          <w:szCs w:val="22"/>
        </w:rPr>
        <w:t>Chairperson</w:t>
      </w:r>
    </w:p>
    <w:p w14:paraId="34125BA2" w14:textId="77777777" w:rsidR="00510607" w:rsidRDefault="00510607" w:rsidP="00510607">
      <w:pPr>
        <w:rPr>
          <w:rFonts w:ascii="Arial" w:hAnsi="Arial" w:cs="Arial"/>
          <w:sz w:val="22"/>
          <w:szCs w:val="22"/>
        </w:rPr>
      </w:pPr>
      <w:r>
        <w:rPr>
          <w:rFonts w:ascii="Arial" w:hAnsi="Arial" w:cs="Arial"/>
          <w:sz w:val="22"/>
          <w:szCs w:val="22"/>
        </w:rPr>
        <w:t>Repatriation Medical Authority</w:t>
      </w:r>
    </w:p>
    <w:p w14:paraId="3F5229FF" w14:textId="77777777" w:rsidR="00510607" w:rsidRDefault="00510607" w:rsidP="00510607">
      <w:pPr>
        <w:jc w:val="both"/>
        <w:rPr>
          <w:rFonts w:ascii="Arial" w:hAnsi="Arial" w:cs="Arial"/>
          <w:sz w:val="22"/>
          <w:szCs w:val="22"/>
        </w:rPr>
      </w:pPr>
    </w:p>
    <w:p w14:paraId="4E21F4CD" w14:textId="77777777" w:rsidR="00510607" w:rsidRDefault="00510607" w:rsidP="00510607">
      <w:pPr>
        <w:keepNext/>
        <w:jc w:val="both"/>
        <w:outlineLvl w:val="8"/>
      </w:pPr>
      <w:r>
        <w:rPr>
          <w:rFonts w:ascii="Arial" w:hAnsi="Arial" w:cs="Arial"/>
          <w:sz w:val="22"/>
          <w:szCs w:val="22"/>
        </w:rPr>
        <w:t>28 February 2020</w:t>
      </w:r>
    </w:p>
    <w:p w14:paraId="07B93C29" w14:textId="77777777" w:rsidR="00510607" w:rsidRDefault="00510607" w:rsidP="00510607">
      <w:pPr>
        <w:pStyle w:val="PartHeading"/>
        <w:numPr>
          <w:ilvl w:val="0"/>
          <w:numId w:val="16"/>
        </w:numPr>
        <w:tabs>
          <w:tab w:val="clear" w:pos="1134"/>
          <w:tab w:val="num" w:pos="1238"/>
        </w:tabs>
        <w:spacing w:line="480" w:lineRule="auto"/>
        <w:ind w:left="1238"/>
        <w:rPr>
          <w:szCs w:val="20"/>
        </w:rPr>
      </w:pPr>
      <w:r>
        <w:rPr>
          <w:rFonts w:ascii="Palatino Linotype" w:hAnsi="Palatino Linotype"/>
          <w:b w:val="0"/>
          <w:caps w:val="0"/>
        </w:rPr>
        <w:br w:type="page"/>
      </w:r>
      <w:bookmarkStart w:id="29" w:name="_Toc135439896"/>
      <w:r>
        <w:rPr>
          <w:szCs w:val="20"/>
        </w:rPr>
        <w:lastRenderedPageBreak/>
        <w:t xml:space="preserve"> </w:t>
      </w:r>
      <w:r>
        <w:rPr>
          <w:szCs w:val="20"/>
        </w:rPr>
        <w:tab/>
      </w:r>
      <w:bookmarkStart w:id="30" w:name="_Toc14446410"/>
      <w:bookmarkStart w:id="31" w:name="_Toc31889342"/>
      <w:bookmarkStart w:id="32" w:name="_Toc32913860"/>
      <w:r>
        <w:rPr>
          <w:szCs w:val="20"/>
        </w:rPr>
        <w:t>Bibliography</w:t>
      </w:r>
      <w:bookmarkEnd w:id="29"/>
      <w:bookmarkEnd w:id="30"/>
      <w:bookmarkEnd w:id="31"/>
      <w:bookmarkEnd w:id="32"/>
    </w:p>
    <w:p w14:paraId="6845A2A5" w14:textId="77777777" w:rsidR="00510607" w:rsidRPr="00C86551" w:rsidRDefault="00510607" w:rsidP="00510607">
      <w:pPr>
        <w:jc w:val="both"/>
        <w:rPr>
          <w:rFonts w:ascii="Arial" w:hAnsi="Arial" w:cs="Arial"/>
          <w:sz w:val="22"/>
          <w:szCs w:val="22"/>
        </w:rPr>
      </w:pPr>
    </w:p>
    <w:p w14:paraId="527D8528" w14:textId="77777777" w:rsidR="00510607" w:rsidRPr="00C86551" w:rsidRDefault="00510607" w:rsidP="00510607">
      <w:pPr>
        <w:spacing w:before="60" w:after="60"/>
        <w:rPr>
          <w:rFonts w:ascii="Arial" w:hAnsi="Arial" w:cs="Arial"/>
          <w:sz w:val="22"/>
          <w:szCs w:val="22"/>
        </w:rPr>
      </w:pPr>
      <w:r w:rsidRPr="00C86551">
        <w:rPr>
          <w:rFonts w:ascii="Arial" w:hAnsi="Arial" w:cs="Arial"/>
          <w:sz w:val="22"/>
          <w:szCs w:val="22"/>
        </w:rPr>
        <w:t xml:space="preserve">  Alavanja MCR, Dosemeci M, Samanic C, et al (2004). Pesticides and Lung Cancer Risk in the Agricultural Health Study Cohort. American Journal of Epidemiology, 160(9): 876-85. </w:t>
      </w:r>
    </w:p>
    <w:p w14:paraId="346A3AFB" w14:textId="77777777" w:rsidR="00510607" w:rsidRPr="00C86551" w:rsidRDefault="00510607" w:rsidP="00510607">
      <w:pPr>
        <w:spacing w:before="60" w:after="60"/>
        <w:rPr>
          <w:rFonts w:ascii="Arial" w:hAnsi="Arial" w:cs="Arial"/>
          <w:sz w:val="22"/>
          <w:szCs w:val="22"/>
        </w:rPr>
      </w:pPr>
      <w:r w:rsidRPr="00C86551">
        <w:rPr>
          <w:rFonts w:ascii="Arial" w:hAnsi="Arial" w:cs="Arial"/>
          <w:sz w:val="22"/>
          <w:szCs w:val="22"/>
        </w:rPr>
        <w:t xml:space="preserve">  Beane Freeman JE, Bonner MR, Blair A, et al (2005). Cancer incidence among male pesticide applicators in the agricultural health study cohort exposed to diazinon. Am J Epidemiol, 162(11): 1070-9. </w:t>
      </w:r>
    </w:p>
    <w:p w14:paraId="6A6574CA" w14:textId="77777777" w:rsidR="00510607" w:rsidRPr="00C86551" w:rsidRDefault="00510607" w:rsidP="00510607">
      <w:pPr>
        <w:spacing w:before="60" w:after="60"/>
        <w:rPr>
          <w:rFonts w:ascii="Arial" w:hAnsi="Arial" w:cs="Arial"/>
          <w:sz w:val="22"/>
          <w:szCs w:val="22"/>
        </w:rPr>
      </w:pPr>
      <w:r w:rsidRPr="00C86551">
        <w:rPr>
          <w:rFonts w:ascii="Arial" w:hAnsi="Arial" w:cs="Arial"/>
          <w:sz w:val="22"/>
          <w:szCs w:val="22"/>
        </w:rPr>
        <w:t xml:space="preserve">  Bonner M, Beane Freeman L, Hoppin J, et al (2017). Occupational exposure to pesticides and the incidence of lung cancer in the Agricultural Health Study. Environmental Health Perspectives, 125: 544-51. </w:t>
      </w:r>
    </w:p>
    <w:p w14:paraId="513E5FC5" w14:textId="77777777" w:rsidR="00510607" w:rsidRPr="00C86551" w:rsidRDefault="00510607" w:rsidP="00510607">
      <w:pPr>
        <w:spacing w:before="60" w:after="60"/>
        <w:rPr>
          <w:rFonts w:ascii="Arial" w:hAnsi="Arial" w:cs="Arial"/>
          <w:sz w:val="22"/>
          <w:szCs w:val="22"/>
        </w:rPr>
      </w:pPr>
      <w:r w:rsidRPr="00C86551">
        <w:rPr>
          <w:rFonts w:ascii="Arial" w:hAnsi="Arial" w:cs="Arial"/>
          <w:sz w:val="22"/>
          <w:szCs w:val="22"/>
        </w:rPr>
        <w:t xml:space="preserve">  International Agency for Research on Cancer (2017). Some organophosphate insecticides and herbicides. Diazinon. Volume 112: 223-320. IARC </w:t>
      </w:r>
      <w:r>
        <w:rPr>
          <w:rFonts w:ascii="Arial" w:hAnsi="Arial" w:cs="Arial"/>
          <w:sz w:val="22"/>
          <w:szCs w:val="22"/>
        </w:rPr>
        <w:t>M</w:t>
      </w:r>
      <w:r w:rsidRPr="00C86551">
        <w:rPr>
          <w:rFonts w:ascii="Arial" w:hAnsi="Arial" w:cs="Arial"/>
          <w:sz w:val="22"/>
          <w:szCs w:val="22"/>
        </w:rPr>
        <w:t xml:space="preserve">onographs on the </w:t>
      </w:r>
      <w:r>
        <w:rPr>
          <w:rFonts w:ascii="Arial" w:hAnsi="Arial" w:cs="Arial"/>
          <w:sz w:val="22"/>
          <w:szCs w:val="22"/>
        </w:rPr>
        <w:t>E</w:t>
      </w:r>
      <w:r w:rsidRPr="00C86551">
        <w:rPr>
          <w:rFonts w:ascii="Arial" w:hAnsi="Arial" w:cs="Arial"/>
          <w:sz w:val="22"/>
          <w:szCs w:val="22"/>
        </w:rPr>
        <w:t xml:space="preserve">valuation of </w:t>
      </w:r>
      <w:r>
        <w:rPr>
          <w:rFonts w:ascii="Arial" w:hAnsi="Arial" w:cs="Arial"/>
          <w:sz w:val="22"/>
          <w:szCs w:val="22"/>
        </w:rPr>
        <w:t>C</w:t>
      </w:r>
      <w:r w:rsidRPr="00C86551">
        <w:rPr>
          <w:rFonts w:ascii="Arial" w:hAnsi="Arial" w:cs="Arial"/>
          <w:sz w:val="22"/>
          <w:szCs w:val="22"/>
        </w:rPr>
        <w:t xml:space="preserve">arcinogenic </w:t>
      </w:r>
      <w:r>
        <w:rPr>
          <w:rFonts w:ascii="Arial" w:hAnsi="Arial" w:cs="Arial"/>
          <w:sz w:val="22"/>
          <w:szCs w:val="22"/>
        </w:rPr>
        <w:t>R</w:t>
      </w:r>
      <w:r w:rsidRPr="00C86551">
        <w:rPr>
          <w:rFonts w:ascii="Arial" w:hAnsi="Arial" w:cs="Arial"/>
          <w:sz w:val="22"/>
          <w:szCs w:val="22"/>
        </w:rPr>
        <w:t xml:space="preserve">isks to </w:t>
      </w:r>
      <w:r>
        <w:rPr>
          <w:rFonts w:ascii="Arial" w:hAnsi="Arial" w:cs="Arial"/>
          <w:sz w:val="22"/>
          <w:szCs w:val="22"/>
        </w:rPr>
        <w:t>H</w:t>
      </w:r>
      <w:r w:rsidRPr="00C86551">
        <w:rPr>
          <w:rFonts w:ascii="Arial" w:hAnsi="Arial" w:cs="Arial"/>
          <w:sz w:val="22"/>
          <w:szCs w:val="22"/>
        </w:rPr>
        <w:t xml:space="preserve">umans. Lyon, France. </w:t>
      </w:r>
    </w:p>
    <w:p w14:paraId="60ECE21B" w14:textId="77777777" w:rsidR="00510607" w:rsidRPr="00C86551" w:rsidRDefault="00510607" w:rsidP="00510607">
      <w:pPr>
        <w:spacing w:before="60" w:after="60"/>
        <w:rPr>
          <w:rFonts w:ascii="Arial" w:hAnsi="Arial" w:cs="Arial"/>
          <w:sz w:val="22"/>
          <w:szCs w:val="22"/>
        </w:rPr>
      </w:pPr>
      <w:r w:rsidRPr="00C86551">
        <w:rPr>
          <w:rFonts w:ascii="Arial" w:hAnsi="Arial" w:cs="Arial"/>
          <w:sz w:val="22"/>
          <w:szCs w:val="22"/>
        </w:rPr>
        <w:t xml:space="preserve">  Jones R, Barone-Adesi F, Koutors S, et al (2015). Incidence of solid tumors among pesticide applicators exposed to the organophosphate insecticide diazinon in the Agricultural Health Study: an updated analysis. Occup Environ Med, 72(7): 496-503. </w:t>
      </w:r>
    </w:p>
    <w:p w14:paraId="7AAB01F8" w14:textId="77777777" w:rsidR="00510607" w:rsidRPr="00C86551" w:rsidRDefault="00510607" w:rsidP="00510607">
      <w:pPr>
        <w:spacing w:before="60" w:after="60"/>
        <w:rPr>
          <w:rFonts w:ascii="Arial" w:hAnsi="Arial" w:cs="Arial"/>
          <w:sz w:val="22"/>
          <w:szCs w:val="22"/>
        </w:rPr>
      </w:pPr>
      <w:r w:rsidRPr="00C86551">
        <w:rPr>
          <w:rFonts w:ascii="Arial" w:hAnsi="Arial" w:cs="Arial"/>
          <w:sz w:val="22"/>
          <w:szCs w:val="22"/>
        </w:rPr>
        <w:t xml:space="preserve">  Lerro C, Koutros S, Andreotti G, et al (2015). Organophosphate insecticide use and cancer incidence among spouses of pesticide applicators in the Agricultural Health Study. Occup Environ Med, 72(10): 736-44. </w:t>
      </w:r>
    </w:p>
    <w:p w14:paraId="0D7770F9" w14:textId="77777777" w:rsidR="00510607" w:rsidRPr="00C86551" w:rsidRDefault="00510607" w:rsidP="00510607">
      <w:pPr>
        <w:spacing w:before="60" w:after="60"/>
        <w:rPr>
          <w:rFonts w:ascii="Arial" w:hAnsi="Arial" w:cs="Arial"/>
          <w:sz w:val="22"/>
          <w:szCs w:val="22"/>
        </w:rPr>
      </w:pPr>
      <w:r w:rsidRPr="00C86551">
        <w:rPr>
          <w:rFonts w:ascii="Arial" w:hAnsi="Arial" w:cs="Arial"/>
          <w:sz w:val="22"/>
          <w:szCs w:val="22"/>
        </w:rPr>
        <w:t xml:space="preserve">  Pesatori AC, Sontag JM, Lubin JH, et al (1994). Cohort mortality and nested case-control study of lung cancer among structural pest control workers in Florida (United States). Cancer Causes Control, 5(4): 310-8. </w:t>
      </w:r>
    </w:p>
    <w:p w14:paraId="3A35A6E5" w14:textId="77777777" w:rsidR="00510607" w:rsidRPr="00C86551" w:rsidRDefault="00510607" w:rsidP="00510607">
      <w:pPr>
        <w:spacing w:before="60" w:after="60"/>
        <w:rPr>
          <w:rFonts w:ascii="Arial" w:hAnsi="Arial" w:cs="Arial"/>
          <w:sz w:val="22"/>
          <w:szCs w:val="22"/>
        </w:rPr>
      </w:pPr>
      <w:r w:rsidRPr="00C86551">
        <w:rPr>
          <w:rFonts w:ascii="Arial" w:hAnsi="Arial" w:cs="Arial"/>
          <w:sz w:val="22"/>
          <w:szCs w:val="22"/>
        </w:rPr>
        <w:t xml:space="preserve">  Tchounwou PB, Patlolla AK, Yedjou CG, et al (2015). Environmental exposure and health effects associated with malathion toxicity. Intech Open Limited. Internet published article, not on Pubmed.  https://www.intechopen.com/books/toxicity-and-hazard-of-agrochemicals/environmental-exposure-and-health-effects-associated-with-malathion-toxicity</w:t>
      </w:r>
    </w:p>
    <w:p w14:paraId="4FEFD9F7" w14:textId="77777777" w:rsidR="00946644" w:rsidRPr="00C86551" w:rsidRDefault="00946644" w:rsidP="00946644">
      <w:pPr>
        <w:rPr>
          <w:rFonts w:ascii="Arial" w:hAnsi="Arial" w:cs="Arial"/>
          <w:sz w:val="22"/>
          <w:szCs w:val="22"/>
        </w:rPr>
      </w:pPr>
    </w:p>
    <w:sectPr w:rsidR="00946644" w:rsidRPr="00C86551">
      <w:footerReference w:type="even" r:id="rId10"/>
      <w:footerReference w:type="default" r:id="rId11"/>
      <w:pgSz w:w="11907" w:h="16840" w:code="9"/>
      <w:pgMar w:top="1361" w:right="1247" w:bottom="1559" w:left="1247" w:header="720" w:footer="720" w:gutter="0"/>
      <w:paperSrc w:first="281" w:other="27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B29E1" w14:textId="77777777" w:rsidR="00460A86" w:rsidRDefault="00460A86">
      <w:r>
        <w:separator/>
      </w:r>
    </w:p>
  </w:endnote>
  <w:endnote w:type="continuationSeparator" w:id="0">
    <w:p w14:paraId="1EC238EB" w14:textId="77777777" w:rsidR="00460A86" w:rsidRDefault="0046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05BF0" w14:textId="77777777" w:rsidR="00DA7A9A" w:rsidRDefault="00DA7A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b/>
        <w:bCs/>
        <w:noProof/>
        <w:lang w:val="en-US"/>
      </w:rPr>
      <w:t>Error! Main Document Only.</w:t>
    </w:r>
    <w:r>
      <w:rPr>
        <w:rStyle w:val="PageNumber"/>
      </w:rPr>
      <w:fldChar w:fldCharType="end"/>
    </w:r>
  </w:p>
  <w:p w14:paraId="7F0402DD" w14:textId="77777777" w:rsidR="00DA7A9A" w:rsidRDefault="00DA7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3F49B" w14:textId="6E70B762" w:rsidR="00DA7A9A" w:rsidRDefault="00DA7A9A">
    <w:pPr>
      <w:pStyle w:val="Footer"/>
      <w:jc w:val="center"/>
    </w:pPr>
    <w:r>
      <w:t xml:space="preserve">- </w:t>
    </w:r>
    <w:r>
      <w:fldChar w:fldCharType="begin"/>
    </w:r>
    <w:r>
      <w:instrText xml:space="preserve"> PAGE </w:instrText>
    </w:r>
    <w:r>
      <w:fldChar w:fldCharType="separate"/>
    </w:r>
    <w:r w:rsidR="00D232F2">
      <w:rPr>
        <w:noProof/>
      </w:rPr>
      <w:t>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E662D" w14:textId="77777777" w:rsidR="00460A86" w:rsidRDefault="00460A86">
      <w:r>
        <w:separator/>
      </w:r>
    </w:p>
  </w:footnote>
  <w:footnote w:type="continuationSeparator" w:id="0">
    <w:p w14:paraId="0CCDFB0B" w14:textId="77777777" w:rsidR="00460A86" w:rsidRDefault="00460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5290"/>
    <w:multiLevelType w:val="hybridMultilevel"/>
    <w:tmpl w:val="418606F0"/>
    <w:lvl w:ilvl="0" w:tplc="0C090001">
      <w:start w:val="1"/>
      <w:numFmt w:val="bullet"/>
      <w:lvlText w:val=""/>
      <w:lvlJc w:val="left"/>
      <w:pPr>
        <w:ind w:left="1599" w:hanging="360"/>
      </w:pPr>
      <w:rPr>
        <w:rFonts w:ascii="Symbol" w:hAnsi="Symbol" w:hint="default"/>
      </w:rPr>
    </w:lvl>
    <w:lvl w:ilvl="1" w:tplc="0C090003" w:tentative="1">
      <w:start w:val="1"/>
      <w:numFmt w:val="bullet"/>
      <w:lvlText w:val="o"/>
      <w:lvlJc w:val="left"/>
      <w:pPr>
        <w:ind w:left="2319" w:hanging="360"/>
      </w:pPr>
      <w:rPr>
        <w:rFonts w:ascii="Courier New" w:hAnsi="Courier New" w:cs="Courier New" w:hint="default"/>
      </w:rPr>
    </w:lvl>
    <w:lvl w:ilvl="2" w:tplc="0C090005" w:tentative="1">
      <w:start w:val="1"/>
      <w:numFmt w:val="bullet"/>
      <w:lvlText w:val=""/>
      <w:lvlJc w:val="left"/>
      <w:pPr>
        <w:ind w:left="3039" w:hanging="360"/>
      </w:pPr>
      <w:rPr>
        <w:rFonts w:ascii="Wingdings" w:hAnsi="Wingdings" w:hint="default"/>
      </w:rPr>
    </w:lvl>
    <w:lvl w:ilvl="3" w:tplc="0C090001" w:tentative="1">
      <w:start w:val="1"/>
      <w:numFmt w:val="bullet"/>
      <w:lvlText w:val=""/>
      <w:lvlJc w:val="left"/>
      <w:pPr>
        <w:ind w:left="3759" w:hanging="360"/>
      </w:pPr>
      <w:rPr>
        <w:rFonts w:ascii="Symbol" w:hAnsi="Symbol" w:hint="default"/>
      </w:rPr>
    </w:lvl>
    <w:lvl w:ilvl="4" w:tplc="0C090003" w:tentative="1">
      <w:start w:val="1"/>
      <w:numFmt w:val="bullet"/>
      <w:lvlText w:val="o"/>
      <w:lvlJc w:val="left"/>
      <w:pPr>
        <w:ind w:left="4479" w:hanging="360"/>
      </w:pPr>
      <w:rPr>
        <w:rFonts w:ascii="Courier New" w:hAnsi="Courier New" w:cs="Courier New" w:hint="default"/>
      </w:rPr>
    </w:lvl>
    <w:lvl w:ilvl="5" w:tplc="0C090005" w:tentative="1">
      <w:start w:val="1"/>
      <w:numFmt w:val="bullet"/>
      <w:lvlText w:val=""/>
      <w:lvlJc w:val="left"/>
      <w:pPr>
        <w:ind w:left="5199" w:hanging="360"/>
      </w:pPr>
      <w:rPr>
        <w:rFonts w:ascii="Wingdings" w:hAnsi="Wingdings" w:hint="default"/>
      </w:rPr>
    </w:lvl>
    <w:lvl w:ilvl="6" w:tplc="0C090001" w:tentative="1">
      <w:start w:val="1"/>
      <w:numFmt w:val="bullet"/>
      <w:lvlText w:val=""/>
      <w:lvlJc w:val="left"/>
      <w:pPr>
        <w:ind w:left="5919" w:hanging="360"/>
      </w:pPr>
      <w:rPr>
        <w:rFonts w:ascii="Symbol" w:hAnsi="Symbol" w:hint="default"/>
      </w:rPr>
    </w:lvl>
    <w:lvl w:ilvl="7" w:tplc="0C090003" w:tentative="1">
      <w:start w:val="1"/>
      <w:numFmt w:val="bullet"/>
      <w:lvlText w:val="o"/>
      <w:lvlJc w:val="left"/>
      <w:pPr>
        <w:ind w:left="6639" w:hanging="360"/>
      </w:pPr>
      <w:rPr>
        <w:rFonts w:ascii="Courier New" w:hAnsi="Courier New" w:cs="Courier New" w:hint="default"/>
      </w:rPr>
    </w:lvl>
    <w:lvl w:ilvl="8" w:tplc="0C090005" w:tentative="1">
      <w:start w:val="1"/>
      <w:numFmt w:val="bullet"/>
      <w:lvlText w:val=""/>
      <w:lvlJc w:val="left"/>
      <w:pPr>
        <w:ind w:left="7359" w:hanging="360"/>
      </w:pPr>
      <w:rPr>
        <w:rFonts w:ascii="Wingdings" w:hAnsi="Wingdings" w:hint="default"/>
      </w:rPr>
    </w:lvl>
  </w:abstractNum>
  <w:abstractNum w:abstractNumId="1" w15:restartNumberingAfterBreak="0">
    <w:nsid w:val="0AC1468B"/>
    <w:multiLevelType w:val="hybridMultilevel"/>
    <w:tmpl w:val="144C18D0"/>
    <w:lvl w:ilvl="0" w:tplc="0C090001">
      <w:start w:val="1"/>
      <w:numFmt w:val="bullet"/>
      <w:lvlText w:val=""/>
      <w:lvlJc w:val="left"/>
      <w:pPr>
        <w:ind w:left="1096" w:hanging="360"/>
      </w:pPr>
      <w:rPr>
        <w:rFonts w:ascii="Symbol" w:hAnsi="Symbol" w:hint="default"/>
      </w:rPr>
    </w:lvl>
    <w:lvl w:ilvl="1" w:tplc="0C090003" w:tentative="1">
      <w:start w:val="1"/>
      <w:numFmt w:val="bullet"/>
      <w:lvlText w:val="o"/>
      <w:lvlJc w:val="left"/>
      <w:pPr>
        <w:ind w:left="1816" w:hanging="360"/>
      </w:pPr>
      <w:rPr>
        <w:rFonts w:ascii="Courier New" w:hAnsi="Courier New" w:cs="Courier New" w:hint="default"/>
      </w:rPr>
    </w:lvl>
    <w:lvl w:ilvl="2" w:tplc="0C090005" w:tentative="1">
      <w:start w:val="1"/>
      <w:numFmt w:val="bullet"/>
      <w:lvlText w:val=""/>
      <w:lvlJc w:val="left"/>
      <w:pPr>
        <w:ind w:left="2536" w:hanging="360"/>
      </w:pPr>
      <w:rPr>
        <w:rFonts w:ascii="Wingdings" w:hAnsi="Wingdings" w:hint="default"/>
      </w:rPr>
    </w:lvl>
    <w:lvl w:ilvl="3" w:tplc="0C090001" w:tentative="1">
      <w:start w:val="1"/>
      <w:numFmt w:val="bullet"/>
      <w:lvlText w:val=""/>
      <w:lvlJc w:val="left"/>
      <w:pPr>
        <w:ind w:left="3256" w:hanging="360"/>
      </w:pPr>
      <w:rPr>
        <w:rFonts w:ascii="Symbol" w:hAnsi="Symbol" w:hint="default"/>
      </w:rPr>
    </w:lvl>
    <w:lvl w:ilvl="4" w:tplc="0C090003" w:tentative="1">
      <w:start w:val="1"/>
      <w:numFmt w:val="bullet"/>
      <w:lvlText w:val="o"/>
      <w:lvlJc w:val="left"/>
      <w:pPr>
        <w:ind w:left="3976" w:hanging="360"/>
      </w:pPr>
      <w:rPr>
        <w:rFonts w:ascii="Courier New" w:hAnsi="Courier New" w:cs="Courier New" w:hint="default"/>
      </w:rPr>
    </w:lvl>
    <w:lvl w:ilvl="5" w:tplc="0C090005" w:tentative="1">
      <w:start w:val="1"/>
      <w:numFmt w:val="bullet"/>
      <w:lvlText w:val=""/>
      <w:lvlJc w:val="left"/>
      <w:pPr>
        <w:ind w:left="4696" w:hanging="360"/>
      </w:pPr>
      <w:rPr>
        <w:rFonts w:ascii="Wingdings" w:hAnsi="Wingdings" w:hint="default"/>
      </w:rPr>
    </w:lvl>
    <w:lvl w:ilvl="6" w:tplc="0C090001" w:tentative="1">
      <w:start w:val="1"/>
      <w:numFmt w:val="bullet"/>
      <w:lvlText w:val=""/>
      <w:lvlJc w:val="left"/>
      <w:pPr>
        <w:ind w:left="5416" w:hanging="360"/>
      </w:pPr>
      <w:rPr>
        <w:rFonts w:ascii="Symbol" w:hAnsi="Symbol" w:hint="default"/>
      </w:rPr>
    </w:lvl>
    <w:lvl w:ilvl="7" w:tplc="0C090003" w:tentative="1">
      <w:start w:val="1"/>
      <w:numFmt w:val="bullet"/>
      <w:lvlText w:val="o"/>
      <w:lvlJc w:val="left"/>
      <w:pPr>
        <w:ind w:left="6136" w:hanging="360"/>
      </w:pPr>
      <w:rPr>
        <w:rFonts w:ascii="Courier New" w:hAnsi="Courier New" w:cs="Courier New" w:hint="default"/>
      </w:rPr>
    </w:lvl>
    <w:lvl w:ilvl="8" w:tplc="0C090005" w:tentative="1">
      <w:start w:val="1"/>
      <w:numFmt w:val="bullet"/>
      <w:lvlText w:val=""/>
      <w:lvlJc w:val="left"/>
      <w:pPr>
        <w:ind w:left="6856" w:hanging="360"/>
      </w:pPr>
      <w:rPr>
        <w:rFonts w:ascii="Wingdings" w:hAnsi="Wingdings" w:hint="default"/>
      </w:rPr>
    </w:lvl>
  </w:abstractNum>
  <w:abstractNum w:abstractNumId="2" w15:restartNumberingAfterBreak="0">
    <w:nsid w:val="1477581E"/>
    <w:multiLevelType w:val="multilevel"/>
    <w:tmpl w:val="5A387B3A"/>
    <w:lvl w:ilvl="0">
      <w:start w:val="1"/>
      <w:numFmt w:val="bullet"/>
      <w:lvlText w:val=""/>
      <w:lvlJc w:val="left"/>
      <w:pPr>
        <w:tabs>
          <w:tab w:val="num" w:pos="1446"/>
        </w:tabs>
        <w:ind w:left="1446" w:hanging="567"/>
      </w:pPr>
      <w:rPr>
        <w:rFonts w:ascii="Symbol" w:hAnsi="Symbol" w:hint="default"/>
      </w:rPr>
    </w:lvl>
    <w:lvl w:ilvl="1">
      <w:start w:val="1"/>
      <w:numFmt w:val="decimal"/>
      <w:lvlText w:val="%1.%2."/>
      <w:lvlJc w:val="left"/>
      <w:pPr>
        <w:tabs>
          <w:tab w:val="num" w:pos="2018"/>
        </w:tabs>
        <w:ind w:left="2018" w:hanging="567"/>
      </w:pPr>
    </w:lvl>
    <w:lvl w:ilvl="2">
      <w:start w:val="1"/>
      <w:numFmt w:val="decimal"/>
      <w:lvlText w:val="%1.%2.%3."/>
      <w:lvlJc w:val="left"/>
      <w:pPr>
        <w:tabs>
          <w:tab w:val="num" w:pos="2551"/>
        </w:tabs>
        <w:ind w:left="2551" w:hanging="850"/>
      </w:pPr>
    </w:lvl>
    <w:lvl w:ilvl="3">
      <w:start w:val="1"/>
      <w:numFmt w:val="decimal"/>
      <w:lvlText w:val="%1.%2.%3.%4."/>
      <w:lvlJc w:val="left"/>
      <w:pPr>
        <w:tabs>
          <w:tab w:val="num" w:pos="3402"/>
        </w:tabs>
        <w:ind w:left="3402" w:hanging="851"/>
      </w:pPr>
    </w:lvl>
    <w:lvl w:ilvl="4">
      <w:start w:val="1"/>
      <w:numFmt w:val="decimal"/>
      <w:lvlText w:val="%1.%2.%3.%4.%5."/>
      <w:lvlJc w:val="left"/>
      <w:pPr>
        <w:tabs>
          <w:tab w:val="num" w:pos="4536"/>
        </w:tabs>
        <w:ind w:left="4536" w:hanging="1134"/>
      </w:pPr>
    </w:lvl>
    <w:lvl w:ilvl="5">
      <w:start w:val="1"/>
      <w:numFmt w:val="decimal"/>
      <w:lvlText w:val="%1.%2.%3.%4.%5.%6."/>
      <w:lvlJc w:val="left"/>
      <w:pPr>
        <w:tabs>
          <w:tab w:val="num" w:pos="5669"/>
        </w:tabs>
        <w:ind w:left="5669" w:hanging="1133"/>
      </w:pPr>
    </w:lvl>
    <w:lvl w:ilvl="6">
      <w:start w:val="1"/>
      <w:numFmt w:val="decimal"/>
      <w:lvlText w:val="%1.%2.%3.%4.%5.%6.%7."/>
      <w:lvlJc w:val="left"/>
      <w:pPr>
        <w:tabs>
          <w:tab w:val="num" w:pos="6803"/>
        </w:tabs>
        <w:ind w:left="6803" w:hanging="1134"/>
      </w:pPr>
    </w:lvl>
    <w:lvl w:ilvl="7">
      <w:start w:val="1"/>
      <w:numFmt w:val="decimal"/>
      <w:lvlText w:val="%1.%2.%3.%4.%5.%6.%7.%8."/>
      <w:lvlJc w:val="left"/>
      <w:pPr>
        <w:tabs>
          <w:tab w:val="num" w:pos="7937"/>
        </w:tabs>
        <w:ind w:left="7937" w:hanging="1134"/>
      </w:pPr>
    </w:lvl>
    <w:lvl w:ilvl="8">
      <w:start w:val="1"/>
      <w:numFmt w:val="decimal"/>
      <w:lvlText w:val="%1.%2.%3.%4.%5.%6.%7.%8.%9."/>
      <w:lvlJc w:val="left"/>
      <w:pPr>
        <w:tabs>
          <w:tab w:val="num" w:pos="7937"/>
        </w:tabs>
        <w:ind w:left="7937" w:hanging="1134"/>
      </w:pPr>
    </w:lvl>
  </w:abstractNum>
  <w:abstractNum w:abstractNumId="3" w15:restartNumberingAfterBreak="0">
    <w:nsid w:val="204248D0"/>
    <w:multiLevelType w:val="multilevel"/>
    <w:tmpl w:val="44B43A50"/>
    <w:lvl w:ilvl="0">
      <w:start w:val="1"/>
      <w:numFmt w:val="decimal"/>
      <w:pStyle w:val="NumberLevel1"/>
      <w:lvlText w:val="%1."/>
      <w:lvlJc w:val="left"/>
      <w:pPr>
        <w:tabs>
          <w:tab w:val="num" w:pos="879"/>
        </w:tabs>
        <w:ind w:left="879" w:hanging="567"/>
      </w:pPr>
      <w:rPr>
        <w:rFonts w:ascii="Arial" w:hAnsi="Arial" w:cs="Arial" w:hint="default"/>
      </w:rPr>
    </w:lvl>
    <w:lvl w:ilvl="1">
      <w:start w:val="1"/>
      <w:numFmt w:val="decimal"/>
      <w:pStyle w:val="NumberLevel2"/>
      <w:lvlText w:val="%1.%2."/>
      <w:lvlJc w:val="left"/>
      <w:pPr>
        <w:tabs>
          <w:tab w:val="num" w:pos="1451"/>
        </w:tabs>
        <w:ind w:left="1451" w:hanging="567"/>
      </w:pPr>
    </w:lvl>
    <w:lvl w:ilvl="2">
      <w:start w:val="1"/>
      <w:numFmt w:val="decimal"/>
      <w:pStyle w:val="NumberLevel3"/>
      <w:lvlText w:val="%1.%2.%3."/>
      <w:lvlJc w:val="left"/>
      <w:pPr>
        <w:tabs>
          <w:tab w:val="num" w:pos="1984"/>
        </w:tabs>
        <w:ind w:left="1984" w:hanging="850"/>
      </w:pPr>
    </w:lvl>
    <w:lvl w:ilvl="3">
      <w:start w:val="1"/>
      <w:numFmt w:val="decimal"/>
      <w:pStyle w:val="NumberLevel4"/>
      <w:lvlText w:val="%1.%2.%3.%4."/>
      <w:lvlJc w:val="left"/>
      <w:pPr>
        <w:tabs>
          <w:tab w:val="num" w:pos="2835"/>
        </w:tabs>
        <w:ind w:left="2835" w:hanging="851"/>
      </w:pPr>
    </w:lvl>
    <w:lvl w:ilvl="4">
      <w:start w:val="1"/>
      <w:numFmt w:val="decimal"/>
      <w:pStyle w:val="NumberLevel5"/>
      <w:lvlText w:val="%1.%2.%3.%4.%5."/>
      <w:lvlJc w:val="left"/>
      <w:pPr>
        <w:tabs>
          <w:tab w:val="num" w:pos="3969"/>
        </w:tabs>
        <w:ind w:left="3969" w:hanging="1134"/>
      </w:pPr>
    </w:lvl>
    <w:lvl w:ilvl="5">
      <w:start w:val="1"/>
      <w:numFmt w:val="decimal"/>
      <w:pStyle w:val="NumberLevel6"/>
      <w:lvlText w:val="%1.%2.%3.%4.%5.%6."/>
      <w:lvlJc w:val="left"/>
      <w:pPr>
        <w:tabs>
          <w:tab w:val="num" w:pos="5102"/>
        </w:tabs>
        <w:ind w:left="5102" w:hanging="1133"/>
      </w:pPr>
    </w:lvl>
    <w:lvl w:ilvl="6">
      <w:start w:val="1"/>
      <w:numFmt w:val="decimal"/>
      <w:pStyle w:val="NumberLevel7"/>
      <w:lvlText w:val="%1.%2.%3.%4.%5.%6.%7."/>
      <w:lvlJc w:val="left"/>
      <w:pPr>
        <w:tabs>
          <w:tab w:val="num" w:pos="6236"/>
        </w:tabs>
        <w:ind w:left="6236" w:hanging="1134"/>
      </w:pPr>
    </w:lvl>
    <w:lvl w:ilvl="7">
      <w:start w:val="1"/>
      <w:numFmt w:val="decimal"/>
      <w:pStyle w:val="NumberLevel8"/>
      <w:lvlText w:val="%1.%2.%3.%4.%5.%6.%7.%8."/>
      <w:lvlJc w:val="left"/>
      <w:pPr>
        <w:tabs>
          <w:tab w:val="num" w:pos="7370"/>
        </w:tabs>
        <w:ind w:left="7370" w:hanging="1134"/>
      </w:pPr>
    </w:lvl>
    <w:lvl w:ilvl="8">
      <w:start w:val="1"/>
      <w:numFmt w:val="decimal"/>
      <w:pStyle w:val="NumberLevel9"/>
      <w:lvlText w:val="%1.%2.%3.%4.%5.%6.%7.%8.%9."/>
      <w:lvlJc w:val="left"/>
      <w:pPr>
        <w:tabs>
          <w:tab w:val="num" w:pos="7370"/>
        </w:tabs>
        <w:ind w:left="7370" w:hanging="1134"/>
      </w:pPr>
    </w:lvl>
  </w:abstractNum>
  <w:abstractNum w:abstractNumId="4" w15:restartNumberingAfterBreak="0">
    <w:nsid w:val="341703FA"/>
    <w:multiLevelType w:val="hybridMultilevel"/>
    <w:tmpl w:val="8480A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9E6775"/>
    <w:multiLevelType w:val="hybridMultilevel"/>
    <w:tmpl w:val="A4144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62240C"/>
    <w:multiLevelType w:val="hybridMultilevel"/>
    <w:tmpl w:val="2FCE766A"/>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7" w15:restartNumberingAfterBreak="0">
    <w:nsid w:val="53FD4BC6"/>
    <w:multiLevelType w:val="multilevel"/>
    <w:tmpl w:val="920E9568"/>
    <w:lvl w:ilvl="0">
      <w:start w:val="1"/>
      <w:numFmt w:val="upperRoman"/>
      <w:pStyle w:val="PartHeading"/>
      <w:lvlText w:val="Part  %1"/>
      <w:lvlJc w:val="left"/>
      <w:pPr>
        <w:tabs>
          <w:tab w:val="num" w:pos="1134"/>
        </w:tabs>
        <w:ind w:left="1134" w:hanging="113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EFB1015"/>
    <w:multiLevelType w:val="hybridMultilevel"/>
    <w:tmpl w:val="33164588"/>
    <w:lvl w:ilvl="0" w:tplc="0C090001">
      <w:start w:val="1"/>
      <w:numFmt w:val="bullet"/>
      <w:lvlText w:val=""/>
      <w:lvlJc w:val="left"/>
      <w:pPr>
        <w:ind w:left="1276" w:hanging="397"/>
      </w:pPr>
      <w:rPr>
        <w:rFonts w:ascii="Symbol" w:hAnsi="Symbol" w:hint="default"/>
      </w:rPr>
    </w:lvl>
    <w:lvl w:ilvl="1" w:tplc="0C090003" w:tentative="1">
      <w:start w:val="1"/>
      <w:numFmt w:val="bullet"/>
      <w:lvlText w:val="o"/>
      <w:lvlJc w:val="left"/>
      <w:pPr>
        <w:ind w:left="1959" w:hanging="360"/>
      </w:pPr>
      <w:rPr>
        <w:rFonts w:ascii="Courier New" w:hAnsi="Courier New" w:cs="Courier New" w:hint="default"/>
      </w:rPr>
    </w:lvl>
    <w:lvl w:ilvl="2" w:tplc="0C090005" w:tentative="1">
      <w:start w:val="1"/>
      <w:numFmt w:val="bullet"/>
      <w:lvlText w:val=""/>
      <w:lvlJc w:val="left"/>
      <w:pPr>
        <w:ind w:left="2679" w:hanging="360"/>
      </w:pPr>
      <w:rPr>
        <w:rFonts w:ascii="Wingdings" w:hAnsi="Wingdings" w:hint="default"/>
      </w:rPr>
    </w:lvl>
    <w:lvl w:ilvl="3" w:tplc="0C090001" w:tentative="1">
      <w:start w:val="1"/>
      <w:numFmt w:val="bullet"/>
      <w:lvlText w:val=""/>
      <w:lvlJc w:val="left"/>
      <w:pPr>
        <w:ind w:left="3399" w:hanging="360"/>
      </w:pPr>
      <w:rPr>
        <w:rFonts w:ascii="Symbol" w:hAnsi="Symbol" w:hint="default"/>
      </w:rPr>
    </w:lvl>
    <w:lvl w:ilvl="4" w:tplc="0C090003" w:tentative="1">
      <w:start w:val="1"/>
      <w:numFmt w:val="bullet"/>
      <w:lvlText w:val="o"/>
      <w:lvlJc w:val="left"/>
      <w:pPr>
        <w:ind w:left="4119" w:hanging="360"/>
      </w:pPr>
      <w:rPr>
        <w:rFonts w:ascii="Courier New" w:hAnsi="Courier New" w:cs="Courier New" w:hint="default"/>
      </w:rPr>
    </w:lvl>
    <w:lvl w:ilvl="5" w:tplc="0C090005" w:tentative="1">
      <w:start w:val="1"/>
      <w:numFmt w:val="bullet"/>
      <w:lvlText w:val=""/>
      <w:lvlJc w:val="left"/>
      <w:pPr>
        <w:ind w:left="4839" w:hanging="360"/>
      </w:pPr>
      <w:rPr>
        <w:rFonts w:ascii="Wingdings" w:hAnsi="Wingdings" w:hint="default"/>
      </w:rPr>
    </w:lvl>
    <w:lvl w:ilvl="6" w:tplc="0C090001" w:tentative="1">
      <w:start w:val="1"/>
      <w:numFmt w:val="bullet"/>
      <w:lvlText w:val=""/>
      <w:lvlJc w:val="left"/>
      <w:pPr>
        <w:ind w:left="5559" w:hanging="360"/>
      </w:pPr>
      <w:rPr>
        <w:rFonts w:ascii="Symbol" w:hAnsi="Symbol" w:hint="default"/>
      </w:rPr>
    </w:lvl>
    <w:lvl w:ilvl="7" w:tplc="0C090003" w:tentative="1">
      <w:start w:val="1"/>
      <w:numFmt w:val="bullet"/>
      <w:lvlText w:val="o"/>
      <w:lvlJc w:val="left"/>
      <w:pPr>
        <w:ind w:left="6279" w:hanging="360"/>
      </w:pPr>
      <w:rPr>
        <w:rFonts w:ascii="Courier New" w:hAnsi="Courier New" w:cs="Courier New" w:hint="default"/>
      </w:rPr>
    </w:lvl>
    <w:lvl w:ilvl="8" w:tplc="0C090005" w:tentative="1">
      <w:start w:val="1"/>
      <w:numFmt w:val="bullet"/>
      <w:lvlText w:val=""/>
      <w:lvlJc w:val="left"/>
      <w:pPr>
        <w:ind w:left="6999" w:hanging="360"/>
      </w:pPr>
      <w:rPr>
        <w:rFonts w:ascii="Wingdings" w:hAnsi="Wingdings" w:hint="default"/>
      </w:rPr>
    </w:lvl>
  </w:abstractNum>
  <w:abstractNum w:abstractNumId="9" w15:restartNumberingAfterBreak="0">
    <w:nsid w:val="69C4537F"/>
    <w:multiLevelType w:val="hybridMultilevel"/>
    <w:tmpl w:val="0D04CE6E"/>
    <w:lvl w:ilvl="0" w:tplc="0C090001">
      <w:start w:val="1"/>
      <w:numFmt w:val="bullet"/>
      <w:lvlText w:val=""/>
      <w:lvlJc w:val="left"/>
      <w:pPr>
        <w:ind w:left="1599" w:hanging="360"/>
      </w:pPr>
      <w:rPr>
        <w:rFonts w:ascii="Symbol" w:hAnsi="Symbol" w:hint="default"/>
      </w:rPr>
    </w:lvl>
    <w:lvl w:ilvl="1" w:tplc="0C090003" w:tentative="1">
      <w:start w:val="1"/>
      <w:numFmt w:val="bullet"/>
      <w:lvlText w:val="o"/>
      <w:lvlJc w:val="left"/>
      <w:pPr>
        <w:ind w:left="2319" w:hanging="360"/>
      </w:pPr>
      <w:rPr>
        <w:rFonts w:ascii="Courier New" w:hAnsi="Courier New" w:cs="Courier New" w:hint="default"/>
      </w:rPr>
    </w:lvl>
    <w:lvl w:ilvl="2" w:tplc="0C090005" w:tentative="1">
      <w:start w:val="1"/>
      <w:numFmt w:val="bullet"/>
      <w:lvlText w:val=""/>
      <w:lvlJc w:val="left"/>
      <w:pPr>
        <w:ind w:left="3039" w:hanging="360"/>
      </w:pPr>
      <w:rPr>
        <w:rFonts w:ascii="Wingdings" w:hAnsi="Wingdings" w:hint="default"/>
      </w:rPr>
    </w:lvl>
    <w:lvl w:ilvl="3" w:tplc="0C090001" w:tentative="1">
      <w:start w:val="1"/>
      <w:numFmt w:val="bullet"/>
      <w:lvlText w:val=""/>
      <w:lvlJc w:val="left"/>
      <w:pPr>
        <w:ind w:left="3759" w:hanging="360"/>
      </w:pPr>
      <w:rPr>
        <w:rFonts w:ascii="Symbol" w:hAnsi="Symbol" w:hint="default"/>
      </w:rPr>
    </w:lvl>
    <w:lvl w:ilvl="4" w:tplc="0C090003" w:tentative="1">
      <w:start w:val="1"/>
      <w:numFmt w:val="bullet"/>
      <w:lvlText w:val="o"/>
      <w:lvlJc w:val="left"/>
      <w:pPr>
        <w:ind w:left="4479" w:hanging="360"/>
      </w:pPr>
      <w:rPr>
        <w:rFonts w:ascii="Courier New" w:hAnsi="Courier New" w:cs="Courier New" w:hint="default"/>
      </w:rPr>
    </w:lvl>
    <w:lvl w:ilvl="5" w:tplc="0C090005" w:tentative="1">
      <w:start w:val="1"/>
      <w:numFmt w:val="bullet"/>
      <w:lvlText w:val=""/>
      <w:lvlJc w:val="left"/>
      <w:pPr>
        <w:ind w:left="5199" w:hanging="360"/>
      </w:pPr>
      <w:rPr>
        <w:rFonts w:ascii="Wingdings" w:hAnsi="Wingdings" w:hint="default"/>
      </w:rPr>
    </w:lvl>
    <w:lvl w:ilvl="6" w:tplc="0C090001" w:tentative="1">
      <w:start w:val="1"/>
      <w:numFmt w:val="bullet"/>
      <w:lvlText w:val=""/>
      <w:lvlJc w:val="left"/>
      <w:pPr>
        <w:ind w:left="5919" w:hanging="360"/>
      </w:pPr>
      <w:rPr>
        <w:rFonts w:ascii="Symbol" w:hAnsi="Symbol" w:hint="default"/>
      </w:rPr>
    </w:lvl>
    <w:lvl w:ilvl="7" w:tplc="0C090003" w:tentative="1">
      <w:start w:val="1"/>
      <w:numFmt w:val="bullet"/>
      <w:lvlText w:val="o"/>
      <w:lvlJc w:val="left"/>
      <w:pPr>
        <w:ind w:left="6639" w:hanging="360"/>
      </w:pPr>
      <w:rPr>
        <w:rFonts w:ascii="Courier New" w:hAnsi="Courier New" w:cs="Courier New" w:hint="default"/>
      </w:rPr>
    </w:lvl>
    <w:lvl w:ilvl="8" w:tplc="0C090005" w:tentative="1">
      <w:start w:val="1"/>
      <w:numFmt w:val="bullet"/>
      <w:lvlText w:val=""/>
      <w:lvlJc w:val="left"/>
      <w:pPr>
        <w:ind w:left="7359" w:hanging="360"/>
      </w:pPr>
      <w:rPr>
        <w:rFonts w:ascii="Wingdings" w:hAnsi="Wingdings" w:hint="default"/>
      </w:rPr>
    </w:lvl>
  </w:abstractNum>
  <w:num w:numId="1">
    <w:abstractNumId w:val="7"/>
  </w:num>
  <w:num w:numId="2">
    <w:abstractNumId w:val="3"/>
  </w:num>
  <w:num w:numId="3">
    <w:abstractNumId w:val="8"/>
  </w:num>
  <w:num w:numId="4">
    <w:abstractNumId w:val="3"/>
  </w:num>
  <w:num w:numId="5">
    <w:abstractNumId w:val="3"/>
  </w:num>
  <w:num w:numId="6">
    <w:abstractNumId w:val="3"/>
  </w:num>
  <w:num w:numId="7">
    <w:abstractNumId w:val="3"/>
  </w:num>
  <w:num w:numId="8">
    <w:abstractNumId w:val="9"/>
  </w:num>
  <w:num w:numId="9">
    <w:abstractNumId w:val="3"/>
  </w:num>
  <w:num w:numId="10">
    <w:abstractNumId w:val="1"/>
  </w:num>
  <w:num w:numId="11">
    <w:abstractNumId w:val="4"/>
  </w:num>
  <w:num w:numId="12">
    <w:abstractNumId w:val="2"/>
  </w:num>
  <w:num w:numId="13">
    <w:abstractNumId w:val="7"/>
  </w:num>
  <w:num w:numId="14">
    <w:abstractNumId w:val="3"/>
  </w:num>
  <w:num w:numId="15">
    <w:abstractNumId w:val="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85"/>
    <w:rsid w:val="000154C1"/>
    <w:rsid w:val="000209E6"/>
    <w:rsid w:val="0002424C"/>
    <w:rsid w:val="00030BC9"/>
    <w:rsid w:val="00033C38"/>
    <w:rsid w:val="0004342A"/>
    <w:rsid w:val="00092018"/>
    <w:rsid w:val="000A2427"/>
    <w:rsid w:val="000B4388"/>
    <w:rsid w:val="000C051C"/>
    <w:rsid w:val="000C0848"/>
    <w:rsid w:val="000C2E4B"/>
    <w:rsid w:val="000C55B5"/>
    <w:rsid w:val="000E1E92"/>
    <w:rsid w:val="000E4EAB"/>
    <w:rsid w:val="00112639"/>
    <w:rsid w:val="0012176A"/>
    <w:rsid w:val="00126678"/>
    <w:rsid w:val="001307D1"/>
    <w:rsid w:val="00132586"/>
    <w:rsid w:val="001373F2"/>
    <w:rsid w:val="00143A45"/>
    <w:rsid w:val="00161378"/>
    <w:rsid w:val="00167DF3"/>
    <w:rsid w:val="001776D7"/>
    <w:rsid w:val="00182143"/>
    <w:rsid w:val="001B2CD6"/>
    <w:rsid w:val="001B5886"/>
    <w:rsid w:val="001B6800"/>
    <w:rsid w:val="001C1E40"/>
    <w:rsid w:val="001F503C"/>
    <w:rsid w:val="001F5DB5"/>
    <w:rsid w:val="00200927"/>
    <w:rsid w:val="00211F0C"/>
    <w:rsid w:val="00212F9F"/>
    <w:rsid w:val="00223033"/>
    <w:rsid w:val="00256440"/>
    <w:rsid w:val="00261618"/>
    <w:rsid w:val="002629E3"/>
    <w:rsid w:val="00273FC9"/>
    <w:rsid w:val="002901C0"/>
    <w:rsid w:val="00290B84"/>
    <w:rsid w:val="002B0D5F"/>
    <w:rsid w:val="002B1300"/>
    <w:rsid w:val="002C5AE0"/>
    <w:rsid w:val="002C5D18"/>
    <w:rsid w:val="00326FC9"/>
    <w:rsid w:val="00336303"/>
    <w:rsid w:val="00371AE5"/>
    <w:rsid w:val="003820B2"/>
    <w:rsid w:val="003D613A"/>
    <w:rsid w:val="003E24B8"/>
    <w:rsid w:val="003F451F"/>
    <w:rsid w:val="00401E82"/>
    <w:rsid w:val="004140F9"/>
    <w:rsid w:val="0041784B"/>
    <w:rsid w:val="004235E2"/>
    <w:rsid w:val="00431756"/>
    <w:rsid w:val="00451BB0"/>
    <w:rsid w:val="00455C66"/>
    <w:rsid w:val="00460A86"/>
    <w:rsid w:val="00466B33"/>
    <w:rsid w:val="004778ED"/>
    <w:rsid w:val="004819C1"/>
    <w:rsid w:val="0049121F"/>
    <w:rsid w:val="004971D9"/>
    <w:rsid w:val="004B3BD3"/>
    <w:rsid w:val="004C1D6B"/>
    <w:rsid w:val="004C3F24"/>
    <w:rsid w:val="004D78C0"/>
    <w:rsid w:val="004E27FA"/>
    <w:rsid w:val="004E7396"/>
    <w:rsid w:val="00501F2D"/>
    <w:rsid w:val="00510607"/>
    <w:rsid w:val="0052530F"/>
    <w:rsid w:val="0053068D"/>
    <w:rsid w:val="00534259"/>
    <w:rsid w:val="00550DA8"/>
    <w:rsid w:val="0056145F"/>
    <w:rsid w:val="005629CD"/>
    <w:rsid w:val="005735F7"/>
    <w:rsid w:val="00581DEE"/>
    <w:rsid w:val="00582F45"/>
    <w:rsid w:val="00591BD7"/>
    <w:rsid w:val="005951A1"/>
    <w:rsid w:val="00597E44"/>
    <w:rsid w:val="005A24E7"/>
    <w:rsid w:val="005A2E76"/>
    <w:rsid w:val="005A6063"/>
    <w:rsid w:val="005A6910"/>
    <w:rsid w:val="005B3B4A"/>
    <w:rsid w:val="005C2F0F"/>
    <w:rsid w:val="005F0D90"/>
    <w:rsid w:val="0060468B"/>
    <w:rsid w:val="00613495"/>
    <w:rsid w:val="0061423A"/>
    <w:rsid w:val="00623501"/>
    <w:rsid w:val="006266A2"/>
    <w:rsid w:val="00662B20"/>
    <w:rsid w:val="006710BA"/>
    <w:rsid w:val="006C1E53"/>
    <w:rsid w:val="006D0A9D"/>
    <w:rsid w:val="006D7E3A"/>
    <w:rsid w:val="006E70A1"/>
    <w:rsid w:val="006F131A"/>
    <w:rsid w:val="006F2D58"/>
    <w:rsid w:val="007017EC"/>
    <w:rsid w:val="0070463E"/>
    <w:rsid w:val="00725836"/>
    <w:rsid w:val="00741C7A"/>
    <w:rsid w:val="0074522F"/>
    <w:rsid w:val="007466A7"/>
    <w:rsid w:val="00751682"/>
    <w:rsid w:val="00755AF6"/>
    <w:rsid w:val="007609C0"/>
    <w:rsid w:val="00761B87"/>
    <w:rsid w:val="00764AB0"/>
    <w:rsid w:val="00782E36"/>
    <w:rsid w:val="007B429F"/>
    <w:rsid w:val="007E5FEC"/>
    <w:rsid w:val="00811579"/>
    <w:rsid w:val="00862F6A"/>
    <w:rsid w:val="00867A94"/>
    <w:rsid w:val="00870889"/>
    <w:rsid w:val="0087300F"/>
    <w:rsid w:val="008748E7"/>
    <w:rsid w:val="00886FB2"/>
    <w:rsid w:val="008901B9"/>
    <w:rsid w:val="008A5ED8"/>
    <w:rsid w:val="008D369F"/>
    <w:rsid w:val="008D7C66"/>
    <w:rsid w:val="008E1B4E"/>
    <w:rsid w:val="00913A35"/>
    <w:rsid w:val="00922425"/>
    <w:rsid w:val="00922FBD"/>
    <w:rsid w:val="00924F85"/>
    <w:rsid w:val="0093724B"/>
    <w:rsid w:val="009459D0"/>
    <w:rsid w:val="00945C45"/>
    <w:rsid w:val="0094647F"/>
    <w:rsid w:val="00946644"/>
    <w:rsid w:val="00972E23"/>
    <w:rsid w:val="00975D41"/>
    <w:rsid w:val="0099413E"/>
    <w:rsid w:val="009A73C3"/>
    <w:rsid w:val="009B6843"/>
    <w:rsid w:val="009C193C"/>
    <w:rsid w:val="00A05350"/>
    <w:rsid w:val="00A30A6A"/>
    <w:rsid w:val="00A42EFB"/>
    <w:rsid w:val="00A523CA"/>
    <w:rsid w:val="00A5763B"/>
    <w:rsid w:val="00A64E6A"/>
    <w:rsid w:val="00A66EF0"/>
    <w:rsid w:val="00AA3A94"/>
    <w:rsid w:val="00AB7AE1"/>
    <w:rsid w:val="00AC144C"/>
    <w:rsid w:val="00AC4A71"/>
    <w:rsid w:val="00AD1E2D"/>
    <w:rsid w:val="00AF670F"/>
    <w:rsid w:val="00B03EA2"/>
    <w:rsid w:val="00B06394"/>
    <w:rsid w:val="00B12626"/>
    <w:rsid w:val="00B27BE7"/>
    <w:rsid w:val="00B41D53"/>
    <w:rsid w:val="00B51401"/>
    <w:rsid w:val="00B52299"/>
    <w:rsid w:val="00B75D4F"/>
    <w:rsid w:val="00B801B0"/>
    <w:rsid w:val="00B95069"/>
    <w:rsid w:val="00BA0B3E"/>
    <w:rsid w:val="00BD58E6"/>
    <w:rsid w:val="00C10B42"/>
    <w:rsid w:val="00C1378E"/>
    <w:rsid w:val="00C17B7F"/>
    <w:rsid w:val="00C2458E"/>
    <w:rsid w:val="00C37AE3"/>
    <w:rsid w:val="00C44AE3"/>
    <w:rsid w:val="00C47464"/>
    <w:rsid w:val="00C6550D"/>
    <w:rsid w:val="00C85C47"/>
    <w:rsid w:val="00C86551"/>
    <w:rsid w:val="00CA266B"/>
    <w:rsid w:val="00CB73D6"/>
    <w:rsid w:val="00CC4954"/>
    <w:rsid w:val="00CD1E99"/>
    <w:rsid w:val="00CD77A1"/>
    <w:rsid w:val="00CF3D3C"/>
    <w:rsid w:val="00D06E97"/>
    <w:rsid w:val="00D1475B"/>
    <w:rsid w:val="00D232F2"/>
    <w:rsid w:val="00D36CF4"/>
    <w:rsid w:val="00D50472"/>
    <w:rsid w:val="00D604B4"/>
    <w:rsid w:val="00D865E8"/>
    <w:rsid w:val="00D9057B"/>
    <w:rsid w:val="00D91262"/>
    <w:rsid w:val="00DA7A9A"/>
    <w:rsid w:val="00DC0CA4"/>
    <w:rsid w:val="00DC2A17"/>
    <w:rsid w:val="00DC5835"/>
    <w:rsid w:val="00DF396A"/>
    <w:rsid w:val="00E16686"/>
    <w:rsid w:val="00E40DC7"/>
    <w:rsid w:val="00E66EAE"/>
    <w:rsid w:val="00E674E2"/>
    <w:rsid w:val="00E83BE0"/>
    <w:rsid w:val="00E859BB"/>
    <w:rsid w:val="00E938CC"/>
    <w:rsid w:val="00E94166"/>
    <w:rsid w:val="00EA50FC"/>
    <w:rsid w:val="00EA6CA4"/>
    <w:rsid w:val="00EC1F9F"/>
    <w:rsid w:val="00EE3CDD"/>
    <w:rsid w:val="00EF05E3"/>
    <w:rsid w:val="00EF1F0E"/>
    <w:rsid w:val="00F04549"/>
    <w:rsid w:val="00F146BB"/>
    <w:rsid w:val="00F2751D"/>
    <w:rsid w:val="00F45836"/>
    <w:rsid w:val="00F45B51"/>
    <w:rsid w:val="00F61FEB"/>
    <w:rsid w:val="00F7783A"/>
    <w:rsid w:val="00F8552B"/>
    <w:rsid w:val="00F9504C"/>
    <w:rsid w:val="00FB471E"/>
    <w:rsid w:val="00FC10A4"/>
    <w:rsid w:val="00FC5DD8"/>
    <w:rsid w:val="00FD2857"/>
    <w:rsid w:val="00FF535C"/>
    <w:rsid w:val="00FF7D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oNotEmbedSmartTags/>
  <w:decimalSymbol w:val="."/>
  <w:listSeparator w:val=","/>
  <w14:docId w14:val="4BA0F0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both"/>
      <w:outlineLvl w:val="1"/>
    </w:pPr>
    <w:rPr>
      <w:b/>
      <w:sz w:val="28"/>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jc w:val="both"/>
      <w:outlineLvl w:val="3"/>
    </w:pPr>
    <w:rPr>
      <w:sz w:val="24"/>
      <w:u w:val="single"/>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keepNext/>
      <w:jc w:val="both"/>
      <w:outlineLvl w:val="5"/>
    </w:pPr>
    <w:rPr>
      <w:b/>
      <w:sz w:val="24"/>
      <w:u w:val="single"/>
    </w:rPr>
  </w:style>
  <w:style w:type="paragraph" w:styleId="Heading7">
    <w:name w:val="heading 7"/>
    <w:basedOn w:val="Normal"/>
    <w:next w:val="Normal"/>
    <w:qFormat/>
    <w:pPr>
      <w:keepNext/>
      <w:ind w:left="851"/>
      <w:jc w:val="both"/>
      <w:outlineLvl w:val="6"/>
    </w:pPr>
    <w:rPr>
      <w:b/>
      <w:i/>
      <w:sz w:val="24"/>
    </w:rPr>
  </w:style>
  <w:style w:type="paragraph" w:styleId="Heading8">
    <w:name w:val="heading 8"/>
    <w:basedOn w:val="Normal"/>
    <w:next w:val="Normal"/>
    <w:qFormat/>
    <w:pPr>
      <w:keepNext/>
      <w:ind w:firstLine="720"/>
      <w:jc w:val="both"/>
      <w:outlineLvl w:val="7"/>
    </w:pPr>
    <w:rPr>
      <w:sz w:val="24"/>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jc w:val="both"/>
    </w:pPr>
    <w:rPr>
      <w:sz w:val="24"/>
    </w:rPr>
  </w:style>
  <w:style w:type="paragraph" w:styleId="BodyText2">
    <w:name w:val="Body Text 2"/>
    <w:basedOn w:val="Normal"/>
    <w:pPr>
      <w:jc w:val="both"/>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jc w:val="both"/>
    </w:pPr>
    <w:rPr>
      <w:sz w:val="24"/>
    </w:rPr>
  </w:style>
  <w:style w:type="paragraph" w:styleId="BodyText3">
    <w:name w:val="Body Text 3"/>
    <w:basedOn w:val="Normal"/>
    <w:rPr>
      <w:strike/>
      <w:sz w:val="24"/>
    </w:rPr>
  </w:style>
  <w:style w:type="paragraph" w:styleId="BodyTextIndent2">
    <w:name w:val="Body Text Indent 2"/>
    <w:basedOn w:val="Normal"/>
    <w:pPr>
      <w:ind w:left="1440" w:hanging="1440"/>
      <w:jc w:val="both"/>
    </w:pPr>
    <w:rPr>
      <w:sz w:val="24"/>
    </w:r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lang w:val="en-GB"/>
    </w:rPr>
  </w:style>
  <w:style w:type="paragraph" w:styleId="BodyTextIndent3">
    <w:name w:val="Body Text Indent 3"/>
    <w:basedOn w:val="Normal"/>
    <w:pPr>
      <w:ind w:left="1418"/>
    </w:pPr>
    <w:rPr>
      <w:snapToGrid w:val="0"/>
      <w:sz w:val="24"/>
      <w:lang w:eastAsia="en-US"/>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Blockquote">
    <w:name w:val="Blockquote"/>
    <w:basedOn w:val="Normal"/>
    <w:pPr>
      <w:spacing w:before="100" w:after="100"/>
      <w:ind w:left="360" w:right="360"/>
    </w:pPr>
    <w:rPr>
      <w:snapToGrid w:val="0"/>
      <w:sz w:val="24"/>
      <w:lang w:eastAsia="en-US"/>
    </w:rPr>
  </w:style>
  <w:style w:type="paragraph" w:styleId="BlockText">
    <w:name w:val="Block Text"/>
    <w:basedOn w:val="Normal"/>
    <w:pPr>
      <w:ind w:left="567" w:right="766"/>
      <w:jc w:val="both"/>
    </w:pPr>
    <w:rPr>
      <w:i/>
      <w:sz w:val="23"/>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Indent">
    <w:name w:val="Normal Indent"/>
    <w:basedOn w:val="Normal"/>
    <w:pPr>
      <w:spacing w:line="240" w:lineRule="atLeast"/>
      <w:ind w:left="720"/>
      <w:jc w:val="both"/>
    </w:pPr>
    <w:rPr>
      <w:sz w:val="26"/>
      <w:lang w:val="en-GB" w:eastAsia="en-US"/>
    </w:rPr>
  </w:style>
  <w:style w:type="paragraph" w:customStyle="1" w:styleId="paragraph">
    <w:name w:val="paragraph"/>
    <w:basedOn w:val="Normal"/>
    <w:pPr>
      <w:spacing w:before="100" w:beforeAutospacing="1" w:after="100" w:afterAutospacing="1"/>
    </w:pPr>
    <w:rPr>
      <w:sz w:val="24"/>
      <w:szCs w:val="24"/>
    </w:rPr>
  </w:style>
  <w:style w:type="paragraph" w:customStyle="1" w:styleId="paragraphsub">
    <w:name w:val="paragraphsub"/>
    <w:basedOn w:val="Normal"/>
    <w:pPr>
      <w:spacing w:before="100" w:beforeAutospacing="1" w:after="100" w:afterAutospacing="1"/>
    </w:pPr>
    <w:rPr>
      <w:sz w:val="24"/>
      <w:szCs w:val="24"/>
    </w:rPr>
  </w:style>
  <w:style w:type="paragraph" w:customStyle="1" w:styleId="PlainParagraphChar">
    <w:name w:val="Plain Paragraph Char"/>
    <w:basedOn w:val="Normal"/>
    <w:link w:val="PlainParagraphCharChar"/>
    <w:pPr>
      <w:spacing w:before="140" w:after="140" w:line="280" w:lineRule="atLeast"/>
    </w:pPr>
    <w:rPr>
      <w:rFonts w:ascii="Arial" w:hAnsi="Arial" w:cs="Arial"/>
      <w:sz w:val="22"/>
      <w:szCs w:val="22"/>
    </w:rPr>
  </w:style>
  <w:style w:type="paragraph" w:styleId="TOC3">
    <w:name w:val="toc 3"/>
    <w:basedOn w:val="TOC2"/>
    <w:next w:val="Normal"/>
    <w:autoRedefine/>
    <w:uiPriority w:val="39"/>
    <w:pPr>
      <w:keepNext/>
      <w:widowControl w:val="0"/>
      <w:tabs>
        <w:tab w:val="left" w:pos="1430"/>
        <w:tab w:val="right" w:leader="dot" w:pos="9072"/>
      </w:tabs>
      <w:spacing w:before="60" w:line="240" w:lineRule="atLeast"/>
      <w:ind w:left="425"/>
    </w:pPr>
    <w:rPr>
      <w:rFonts w:ascii="Helvetica" w:hAnsi="Helvetica" w:cs="Arial"/>
      <w:noProof/>
    </w:rPr>
  </w:style>
  <w:style w:type="paragraph" w:customStyle="1" w:styleId="FormTitle">
    <w:name w:val="Form Title"/>
    <w:pPr>
      <w:spacing w:before="420" w:after="140" w:line="280" w:lineRule="atLeast"/>
      <w:jc w:val="center"/>
    </w:pPr>
    <w:rPr>
      <w:rFonts w:ascii="Arial" w:hAnsi="Arial" w:cs="Arial"/>
      <w:b/>
      <w:caps/>
      <w:szCs w:val="22"/>
    </w:rPr>
  </w:style>
  <w:style w:type="paragraph" w:customStyle="1" w:styleId="PartHeading">
    <w:name w:val="Part Heading"/>
    <w:next w:val="NumberLevel1"/>
    <w:pPr>
      <w:keepNext/>
      <w:keepLines/>
      <w:numPr>
        <w:numId w:val="1"/>
      </w:numPr>
      <w:pBdr>
        <w:bottom w:val="single" w:sz="2" w:space="0" w:color="auto"/>
      </w:pBdr>
      <w:spacing w:before="420" w:after="140" w:line="280" w:lineRule="atLeast"/>
      <w:outlineLvl w:val="0"/>
    </w:pPr>
    <w:rPr>
      <w:rFonts w:ascii="Arial" w:hAnsi="Arial" w:cs="Arial"/>
      <w:b/>
      <w:caps/>
      <w:szCs w:val="22"/>
    </w:rPr>
  </w:style>
  <w:style w:type="paragraph" w:customStyle="1" w:styleId="NumberLevel1">
    <w:name w:val="Number Level 1"/>
    <w:basedOn w:val="PlainParagraphChar"/>
    <w:pPr>
      <w:numPr>
        <w:numId w:val="2"/>
      </w:numPr>
      <w:outlineLvl w:val="0"/>
    </w:pPr>
  </w:style>
  <w:style w:type="paragraph" w:customStyle="1" w:styleId="NumberLevel2">
    <w:name w:val="Number Level 2"/>
    <w:basedOn w:val="PlainParagraphChar"/>
    <w:pPr>
      <w:numPr>
        <w:ilvl w:val="1"/>
        <w:numId w:val="2"/>
      </w:numPr>
      <w:outlineLvl w:val="1"/>
    </w:pPr>
  </w:style>
  <w:style w:type="paragraph" w:customStyle="1" w:styleId="NumberLevel3">
    <w:name w:val="Number Level 3"/>
    <w:basedOn w:val="PlainParagraphChar"/>
    <w:pPr>
      <w:numPr>
        <w:ilvl w:val="2"/>
        <w:numId w:val="2"/>
      </w:numPr>
      <w:outlineLvl w:val="2"/>
    </w:pPr>
  </w:style>
  <w:style w:type="paragraph" w:customStyle="1" w:styleId="NumberLevel4">
    <w:name w:val="Number Level 4"/>
    <w:basedOn w:val="PlainParagraphChar"/>
    <w:pPr>
      <w:numPr>
        <w:ilvl w:val="3"/>
        <w:numId w:val="2"/>
      </w:numPr>
      <w:outlineLvl w:val="3"/>
    </w:pPr>
  </w:style>
  <w:style w:type="paragraph" w:customStyle="1" w:styleId="NumberLevel5">
    <w:name w:val="Number Level 5"/>
    <w:basedOn w:val="PlainParagraphChar"/>
    <w:semiHidden/>
    <w:pPr>
      <w:numPr>
        <w:ilvl w:val="4"/>
        <w:numId w:val="2"/>
      </w:numPr>
      <w:outlineLvl w:val="4"/>
    </w:pPr>
  </w:style>
  <w:style w:type="paragraph" w:customStyle="1" w:styleId="NumberLevel6">
    <w:name w:val="Number Level 6"/>
    <w:basedOn w:val="PlainParagraphChar"/>
    <w:semiHidden/>
    <w:pPr>
      <w:numPr>
        <w:ilvl w:val="5"/>
        <w:numId w:val="2"/>
      </w:numPr>
      <w:outlineLvl w:val="5"/>
    </w:pPr>
  </w:style>
  <w:style w:type="paragraph" w:customStyle="1" w:styleId="NumberLevel7">
    <w:name w:val="Number Level 7"/>
    <w:basedOn w:val="PlainParagraphChar"/>
    <w:semiHidden/>
    <w:pPr>
      <w:numPr>
        <w:ilvl w:val="6"/>
        <w:numId w:val="2"/>
      </w:numPr>
      <w:outlineLvl w:val="6"/>
    </w:pPr>
  </w:style>
  <w:style w:type="paragraph" w:customStyle="1" w:styleId="NumberLevel8">
    <w:name w:val="Number Level 8"/>
    <w:basedOn w:val="PlainParagraphChar"/>
    <w:semiHidden/>
    <w:pPr>
      <w:numPr>
        <w:ilvl w:val="7"/>
        <w:numId w:val="2"/>
      </w:numPr>
      <w:outlineLvl w:val="7"/>
    </w:pPr>
  </w:style>
  <w:style w:type="paragraph" w:customStyle="1" w:styleId="NumberLevel9">
    <w:name w:val="Number Level 9"/>
    <w:basedOn w:val="PlainParagraphChar"/>
    <w:semiHidden/>
    <w:pPr>
      <w:numPr>
        <w:ilvl w:val="8"/>
        <w:numId w:val="2"/>
      </w:numPr>
      <w:outlineLvl w:val="8"/>
    </w:pPr>
  </w:style>
  <w:style w:type="character" w:customStyle="1" w:styleId="PlainParagraphCharChar">
    <w:name w:val="Plain Paragraph Char Char"/>
    <w:link w:val="PlainParagraphChar"/>
    <w:rPr>
      <w:rFonts w:ascii="Arial" w:hAnsi="Arial" w:cs="Arial"/>
      <w:sz w:val="22"/>
      <w:szCs w:val="22"/>
      <w:lang w:val="en-AU" w:eastAsia="en-AU" w:bidi="ar-SA"/>
    </w:rPr>
  </w:style>
  <w:style w:type="paragraph" w:styleId="TOC2">
    <w:name w:val="toc 2"/>
    <w:basedOn w:val="Normal"/>
    <w:next w:val="Normal"/>
    <w:autoRedefine/>
    <w:semiHidden/>
    <w:pPr>
      <w:ind w:left="200"/>
    </w:pPr>
  </w:style>
  <w:style w:type="character" w:styleId="FootnoteReference">
    <w:name w:val="footnote reference"/>
    <w:semiHidden/>
    <w:rPr>
      <w:position w:val="6"/>
      <w:sz w:val="16"/>
    </w:rPr>
  </w:style>
  <w:style w:type="paragraph" w:styleId="FootnoteText">
    <w:name w:val="footnote text"/>
    <w:basedOn w:val="Normal"/>
    <w:semiHidden/>
    <w:pPr>
      <w:spacing w:line="240" w:lineRule="atLeast"/>
    </w:pPr>
    <w:rPr>
      <w:rFonts w:ascii="Arial" w:hAnsi="Arial"/>
      <w:lang w:val="en-GB"/>
    </w:rPr>
  </w:style>
  <w:style w:type="paragraph" w:styleId="Caption">
    <w:name w:val="caption"/>
    <w:basedOn w:val="Normal"/>
    <w:next w:val="Normal"/>
    <w:qFormat/>
    <w:rsid w:val="00EC1F9F"/>
    <w:pPr>
      <w:spacing w:before="120" w:after="120" w:line="288" w:lineRule="auto"/>
    </w:pPr>
    <w:rPr>
      <w:rFonts w:ascii="Arial" w:hAnsi="Arial"/>
      <w:b/>
      <w:smallCaps/>
    </w:rPr>
  </w:style>
  <w:style w:type="character" w:customStyle="1" w:styleId="st1">
    <w:name w:val="st1"/>
    <w:basedOn w:val="DefaultParagraphFont"/>
    <w:rsid w:val="00E938CC"/>
  </w:style>
  <w:style w:type="table" w:styleId="TableGrid">
    <w:name w:val="Table Grid"/>
    <w:basedOn w:val="TableNormal"/>
    <w:uiPriority w:val="39"/>
    <w:rsid w:val="00946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2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412D8-EEC9-432C-9D38-D7EDAA94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1903</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13246</CharactersWithSpaces>
  <SharedDoc>false</SharedDoc>
  <HLinks>
    <vt:vector size="48" baseType="variant">
      <vt:variant>
        <vt:i4>1966130</vt:i4>
      </vt:variant>
      <vt:variant>
        <vt:i4>44</vt:i4>
      </vt:variant>
      <vt:variant>
        <vt:i4>0</vt:i4>
      </vt:variant>
      <vt:variant>
        <vt:i4>5</vt:i4>
      </vt:variant>
      <vt:variant>
        <vt:lpwstr/>
      </vt:variant>
      <vt:variant>
        <vt:lpwstr>_Toc370997802</vt:lpwstr>
      </vt:variant>
      <vt:variant>
        <vt:i4>1966130</vt:i4>
      </vt:variant>
      <vt:variant>
        <vt:i4>38</vt:i4>
      </vt:variant>
      <vt:variant>
        <vt:i4>0</vt:i4>
      </vt:variant>
      <vt:variant>
        <vt:i4>5</vt:i4>
      </vt:variant>
      <vt:variant>
        <vt:lpwstr/>
      </vt:variant>
      <vt:variant>
        <vt:lpwstr>_Toc370997801</vt:lpwstr>
      </vt:variant>
      <vt:variant>
        <vt:i4>1966130</vt:i4>
      </vt:variant>
      <vt:variant>
        <vt:i4>32</vt:i4>
      </vt:variant>
      <vt:variant>
        <vt:i4>0</vt:i4>
      </vt:variant>
      <vt:variant>
        <vt:i4>5</vt:i4>
      </vt:variant>
      <vt:variant>
        <vt:lpwstr/>
      </vt:variant>
      <vt:variant>
        <vt:lpwstr>_Toc370997800</vt:lpwstr>
      </vt:variant>
      <vt:variant>
        <vt:i4>1507389</vt:i4>
      </vt:variant>
      <vt:variant>
        <vt:i4>26</vt:i4>
      </vt:variant>
      <vt:variant>
        <vt:i4>0</vt:i4>
      </vt:variant>
      <vt:variant>
        <vt:i4>5</vt:i4>
      </vt:variant>
      <vt:variant>
        <vt:lpwstr/>
      </vt:variant>
      <vt:variant>
        <vt:lpwstr>_Toc370997799</vt:lpwstr>
      </vt:variant>
      <vt:variant>
        <vt:i4>1507389</vt:i4>
      </vt:variant>
      <vt:variant>
        <vt:i4>20</vt:i4>
      </vt:variant>
      <vt:variant>
        <vt:i4>0</vt:i4>
      </vt:variant>
      <vt:variant>
        <vt:i4>5</vt:i4>
      </vt:variant>
      <vt:variant>
        <vt:lpwstr/>
      </vt:variant>
      <vt:variant>
        <vt:lpwstr>_Toc370997798</vt:lpwstr>
      </vt:variant>
      <vt:variant>
        <vt:i4>1507389</vt:i4>
      </vt:variant>
      <vt:variant>
        <vt:i4>14</vt:i4>
      </vt:variant>
      <vt:variant>
        <vt:i4>0</vt:i4>
      </vt:variant>
      <vt:variant>
        <vt:i4>5</vt:i4>
      </vt:variant>
      <vt:variant>
        <vt:lpwstr/>
      </vt:variant>
      <vt:variant>
        <vt:lpwstr>_Toc370997797</vt:lpwstr>
      </vt:variant>
      <vt:variant>
        <vt:i4>1507389</vt:i4>
      </vt:variant>
      <vt:variant>
        <vt:i4>8</vt:i4>
      </vt:variant>
      <vt:variant>
        <vt:i4>0</vt:i4>
      </vt:variant>
      <vt:variant>
        <vt:i4>5</vt:i4>
      </vt:variant>
      <vt:variant>
        <vt:lpwstr/>
      </vt:variant>
      <vt:variant>
        <vt:lpwstr>_Toc370997796</vt:lpwstr>
      </vt:variant>
      <vt:variant>
        <vt:i4>1507389</vt:i4>
      </vt:variant>
      <vt:variant>
        <vt:i4>2</vt:i4>
      </vt:variant>
      <vt:variant>
        <vt:i4>0</vt:i4>
      </vt:variant>
      <vt:variant>
        <vt:i4>5</vt:i4>
      </vt:variant>
      <vt:variant>
        <vt:lpwstr/>
      </vt:variant>
      <vt:variant>
        <vt:lpwstr>_Toc370997795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2020-02-05T01:52:00Z</dcterms:created>
  <dcterms:modified xsi:type="dcterms:W3CDTF">2020-02-27T22:18:00Z</dcterms:modified>
</cp:coreProperties>
</file>